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46" w:name="X9a1f6e7f08c209630b78e97957070233e1b72b0"/>
    <w:p>
      <w:pPr>
        <w:pStyle w:val="Heading1"/>
      </w:pPr>
      <w:r>
        <w:t xml:space="preserve">Supplementary methods for</w:t>
      </w:r>
      <w:r>
        <w:t xml:space="preserve"> </w:t>
      </w:r>
      <w:r>
        <w:rPr>
          <w:i/>
          <w:iCs/>
        </w:rPr>
        <w:t xml:space="preserve">Tetranychus urticae</w:t>
      </w:r>
    </w:p>
    <w:bookmarkStart w:id="20" w:name="author-contributions"/>
    <w:p>
      <w:pPr>
        <w:pStyle w:val="Heading2"/>
      </w:pPr>
      <w:r>
        <w:t xml:space="preserve">Author contributions</w:t>
      </w:r>
    </w:p>
    <w:p>
      <w:pPr>
        <w:pStyle w:val="Compact"/>
        <w:numPr>
          <w:ilvl w:val="0"/>
          <w:numId w:val="1001"/>
        </w:numPr>
      </w:pPr>
      <w:r>
        <w:t xml:space="preserve">Anna-Gaëlle De Groote (A.D.G.): conduct experiment</w:t>
      </w:r>
    </w:p>
    <w:p>
      <w:pPr>
        <w:pStyle w:val="Compact"/>
        <w:numPr>
          <w:ilvl w:val="0"/>
          <w:numId w:val="1001"/>
        </w:numPr>
      </w:pPr>
      <w:r>
        <w:t xml:space="preserve">Siebe van Wunnik (S.v.W.): statistical analysis, writing</w:t>
      </w:r>
    </w:p>
    <w:p>
      <w:pPr>
        <w:pStyle w:val="Compact"/>
        <w:numPr>
          <w:ilvl w:val="0"/>
          <w:numId w:val="1001"/>
        </w:numPr>
      </w:pPr>
      <w:r>
        <w:t xml:space="preserve">Dries Bonte (D.B.): conceptualization, methodology, funding acquisition</w:t>
      </w:r>
    </w:p>
    <w:bookmarkEnd w:id="20"/>
    <w:bookmarkStart w:id="21" w:name="acknowledegements"/>
    <w:p>
      <w:pPr>
        <w:pStyle w:val="Heading2"/>
      </w:pPr>
      <w:r>
        <w:t xml:space="preserve">Acknowledegements</w:t>
      </w:r>
    </w:p>
    <w:p>
      <w:pPr>
        <w:pStyle w:val="FirstParagraph"/>
      </w:pPr>
      <w:r>
        <w:t xml:space="preserve">We thank Nicky Wybouw for providing access to the spider mite populations used in this study.</w:t>
      </w:r>
    </w:p>
    <w:p>
      <w:pPr>
        <w:pStyle w:val="BodyText"/>
      </w:pPr>
      <w:r>
        <w:t xml:space="preserve">Funding for S.v.W. and D.B. was provided by the FWO research network EVENET (W001322N). Additional support for S.v.W. was obtained through FWO grant G020524N.</w:t>
      </w:r>
    </w:p>
    <w:bookmarkEnd w:id="21"/>
    <w:bookmarkStart w:id="22" w:name="study-organism"/>
    <w:p>
      <w:pPr>
        <w:pStyle w:val="Heading2"/>
      </w:pPr>
      <w:r>
        <w:t xml:space="preserve">Study organism</w:t>
      </w:r>
    </w:p>
    <w:p>
      <w:pPr>
        <w:pStyle w:val="FirstParagraph"/>
      </w:pPr>
      <w:r>
        <w:t xml:space="preserve">Tetranychus urticae:</w:t>
      </w:r>
    </w:p>
    <w:p>
      <w:pPr>
        <w:pStyle w:val="Compact"/>
        <w:numPr>
          <w:ilvl w:val="0"/>
          <w:numId w:val="1002"/>
        </w:numPr>
      </w:pPr>
      <w:r>
        <w:t xml:space="preserve">Beis C</w:t>
      </w:r>
    </w:p>
    <w:p>
      <w:pPr>
        <w:pStyle w:val="Compact"/>
        <w:numPr>
          <w:ilvl w:val="0"/>
          <w:numId w:val="1002"/>
        </w:numPr>
      </w:pPr>
      <w:r>
        <w:t xml:space="preserve">Led-5</w:t>
      </w:r>
    </w:p>
    <w:p>
      <w:pPr>
        <w:pStyle w:val="Compact"/>
        <w:numPr>
          <w:ilvl w:val="0"/>
          <w:numId w:val="1002"/>
        </w:numPr>
      </w:pPr>
      <w:r>
        <w:t xml:space="preserve">Lux</w:t>
      </w:r>
    </w:p>
    <w:p>
      <w:pPr>
        <w:pStyle w:val="Compact"/>
        <w:numPr>
          <w:ilvl w:val="0"/>
          <w:numId w:val="1002"/>
        </w:numPr>
      </w:pPr>
      <w:r>
        <w:t xml:space="preserve">Mar</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3"/>
        </w:numPr>
      </w:pPr>
      <w:r>
        <w:t xml:space="preserve">Beis C: Brugge, Belgium. Solomon’s seal</w:t>
      </w:r>
    </w:p>
    <w:p>
      <w:pPr>
        <w:pStyle w:val="Compact"/>
        <w:numPr>
          <w:ilvl w:val="0"/>
          <w:numId w:val="1003"/>
        </w:numPr>
      </w:pPr>
      <w:r>
        <w:t xml:space="preserve">Led-5: Ghent, Belgium. Strawberry</w:t>
      </w:r>
    </w:p>
    <w:p>
      <w:pPr>
        <w:pStyle w:val="Compact"/>
        <w:numPr>
          <w:ilvl w:val="0"/>
          <w:numId w:val="1003"/>
        </w:numPr>
      </w:pPr>
      <w:r>
        <w:t xml:space="preserve">Lux: Mullerthal, Luxembourg. Mallow</w:t>
      </w:r>
    </w:p>
    <w:p>
      <w:pPr>
        <w:pStyle w:val="Compact"/>
        <w:numPr>
          <w:ilvl w:val="0"/>
          <w:numId w:val="1003"/>
        </w:numPr>
      </w:pPr>
      <w:r>
        <w:t xml:space="preserve">Mar: Paris, France. Greater celandine</w:t>
      </w:r>
    </w:p>
    <w:p>
      <w:pPr>
        <w:pStyle w:val="FirstParagraph"/>
      </w:pPr>
      <w:r>
        <w:t xml:space="preserve">#How were individuals/populations treated before the experiment?</w:t>
      </w:r>
    </w:p>
    <w:p>
      <w:pPr>
        <w:numPr>
          <w:ilvl w:val="0"/>
          <w:numId w:val="1004"/>
        </w:numPr>
      </w:pPr>
      <w:r>
        <w:t xml:space="preserve">The mites were made isofemale lines, after which they were maintained under constant conditions as a stock. Food was ad libitum, temperature was kept at 24°C, and constant light.</w:t>
      </w:r>
      <w:r>
        <w:t xml:space="preserve"> </w:t>
      </w:r>
      <w:r>
        <w:t xml:space="preserve">When were the lines collected:</w:t>
      </w:r>
    </w:p>
    <w:p>
      <w:pPr>
        <w:numPr>
          <w:ilvl w:val="0"/>
          <w:numId w:val="1004"/>
        </w:numPr>
      </w:pPr>
      <w:r>
        <w:t xml:space="preserve">Beis C: 2020</w:t>
      </w:r>
    </w:p>
    <w:p>
      <w:pPr>
        <w:numPr>
          <w:ilvl w:val="0"/>
          <w:numId w:val="1004"/>
        </w:numPr>
      </w:pPr>
      <w:r>
        <w:t xml:space="preserve">Led-5: 2023</w:t>
      </w:r>
    </w:p>
    <w:p>
      <w:pPr>
        <w:numPr>
          <w:ilvl w:val="0"/>
          <w:numId w:val="1004"/>
        </w:numPr>
      </w:pPr>
      <w:r>
        <w:t xml:space="preserve">Lux: 2023</w:t>
      </w:r>
    </w:p>
    <w:p>
      <w:pPr>
        <w:numPr>
          <w:ilvl w:val="0"/>
          <w:numId w:val="1004"/>
        </w:numPr>
      </w:pPr>
      <w:r>
        <w:t xml:space="preserve">Mar: 2023</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Compact"/>
        <w:numPr>
          <w:ilvl w:val="0"/>
          <w:numId w:val="1005"/>
        </w:numPr>
      </w:pPr>
      <w:r>
        <w:t xml:space="preserve">Tcold: 24°C; Sufficiently cold to be suboptimal, while still above diapause temperature and mites will still show activity and movement.</w:t>
      </w:r>
    </w:p>
    <w:p>
      <w:pPr>
        <w:pStyle w:val="Compact"/>
        <w:numPr>
          <w:ilvl w:val="0"/>
          <w:numId w:val="1005"/>
        </w:numPr>
      </w:pPr>
      <w:r>
        <w:t xml:space="preserve">Topt: 30°C; Optimal temperature for spider mites, as here their generation time and number of offspring increases.</w:t>
      </w:r>
    </w:p>
    <w:p>
      <w:pPr>
        <w:pStyle w:val="Compact"/>
        <w:numPr>
          <w:ilvl w:val="0"/>
          <w:numId w:val="1005"/>
        </w:numPr>
      </w:pPr>
      <w:r>
        <w:t xml:space="preserve">Thot: 36°C; Sufficiently hot to affect the spider mites, while not causing complete mortality.</w:t>
      </w:r>
    </w:p>
    <w:bookmarkEnd w:id="23"/>
    <w:bookmarkStart w:id="24"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6"/>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6"/>
        </w:numPr>
      </w:pPr>
      <w:r>
        <w:t xml:space="preserve">Replicates</w:t>
      </w:r>
    </w:p>
    <w:p>
      <w:pPr>
        <w:pStyle w:val="Compact"/>
        <w:numPr>
          <w:ilvl w:val="1"/>
          <w:numId w:val="1007"/>
        </w:numPr>
      </w:pPr>
      <w:r>
        <w:t xml:space="preserve">Three replication rounds</w:t>
      </w:r>
    </w:p>
    <w:p>
      <w:pPr>
        <w:pStyle w:val="Compact"/>
        <w:numPr>
          <w:ilvl w:val="1"/>
          <w:numId w:val="1007"/>
        </w:numPr>
      </w:pPr>
      <w:r>
        <w:t xml:space="preserve">Variable number of replicates per adult female: dependent on number of eggs laid</w:t>
      </w:r>
    </w:p>
    <w:p>
      <w:pPr>
        <w:pStyle w:val="Compact"/>
        <w:numPr>
          <w:ilvl w:val="1"/>
          <w:numId w:val="1007"/>
        </w:numPr>
      </w:pPr>
      <w:r>
        <w:t xml:space="preserve">Blocked on replication rounds</w:t>
      </w:r>
    </w:p>
    <w:p>
      <w:pPr>
        <w:numPr>
          <w:ilvl w:val="0"/>
          <w:numId w:val="1006"/>
        </w:numPr>
      </w:pPr>
      <w:r>
        <w:t xml:space="preserve">Food was available ad libitum in the form of bean leaves.</w:t>
      </w:r>
    </w:p>
    <w:p>
      <w:pPr>
        <w:numPr>
          <w:ilvl w:val="0"/>
          <w:numId w:val="1006"/>
        </w:numPr>
      </w:pPr>
      <w:r>
        <w:t xml:space="preserve">Starting density of one mite.</w:t>
      </w:r>
      <w:r>
        <w:br/>
      </w:r>
    </w:p>
    <w:p>
      <w:pPr>
        <w:numPr>
          <w:ilvl w:val="0"/>
          <w:numId w:val="1006"/>
        </w:numPr>
      </w:pPr>
      <w:r>
        <w:t xml:space="preserve">Fitness assay lasted until all eggs were hatched or visible defect</w:t>
      </w:r>
    </w:p>
    <w:p>
      <w:pPr>
        <w:numPr>
          <w:ilvl w:val="0"/>
          <w:numId w:val="1006"/>
        </w:numPr>
      </w:pPr>
      <w:r>
        <w:t xml:space="preserve">Only females were used for the fitness assay</w:t>
      </w:r>
    </w:p>
    <w:p>
      <w:pPr>
        <w:numPr>
          <w:ilvl w:val="0"/>
          <w:numId w:val="1006"/>
        </w:numPr>
      </w:pPr>
      <w:r>
        <w:t xml:space="preserve">Daily fecundity was estimated by dividing the number of hatched female offspring by the developmental time.</w:t>
      </w:r>
    </w:p>
    <w:bookmarkEnd w:id="24"/>
    <w:bookmarkStart w:id="25" w:name="phase-2-dispersal-assay"/>
    <w:p>
      <w:pPr>
        <w:pStyle w:val="Heading3"/>
      </w:pPr>
      <w:r>
        <w:t xml:space="preserve">Phase 2: Dispersal assay</w:t>
      </w:r>
    </w:p>
    <w:p>
      <w:pPr>
        <w:numPr>
          <w:ilvl w:val="0"/>
          <w:numId w:val="1008"/>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8"/>
        </w:numPr>
      </w:pPr>
      <w:r>
        <w:t xml:space="preserve">Replicates</w:t>
      </w:r>
    </w:p>
    <w:p>
      <w:pPr>
        <w:pStyle w:val="Compact"/>
        <w:numPr>
          <w:ilvl w:val="1"/>
          <w:numId w:val="1009"/>
        </w:numPr>
      </w:pPr>
      <w:r>
        <w:t xml:space="preserve">Three replication rounds</w:t>
      </w:r>
    </w:p>
    <w:p>
      <w:pPr>
        <w:pStyle w:val="Compact"/>
        <w:numPr>
          <w:ilvl w:val="1"/>
          <w:numId w:val="1009"/>
        </w:numPr>
      </w:pPr>
      <w:r>
        <w:t xml:space="preserve">Variable number of replicates per adult female: dependent on number of eggs laid</w:t>
      </w:r>
    </w:p>
    <w:p>
      <w:pPr>
        <w:pStyle w:val="Compact"/>
        <w:numPr>
          <w:ilvl w:val="1"/>
          <w:numId w:val="1009"/>
        </w:numPr>
      </w:pPr>
      <w:r>
        <w:t xml:space="preserve">Blocked on replication rounds</w:t>
      </w:r>
    </w:p>
    <w:p>
      <w:pPr>
        <w:numPr>
          <w:ilvl w:val="0"/>
          <w:numId w:val="1008"/>
        </w:numPr>
      </w:pPr>
      <w:r>
        <w:t xml:space="preserve">Food was available ad libitum in the form of bean leaves.</w:t>
      </w:r>
    </w:p>
    <w:p>
      <w:pPr>
        <w:numPr>
          <w:ilvl w:val="0"/>
          <w:numId w:val="1008"/>
        </w:numPr>
      </w:pPr>
      <w:r>
        <w:t xml:space="preserve">Starting density of one mite.</w:t>
      </w:r>
    </w:p>
    <w:p>
      <w:pPr>
        <w:numPr>
          <w:ilvl w:val="0"/>
          <w:numId w:val="1008"/>
        </w:numPr>
      </w:pPr>
      <w:r>
        <w:t xml:space="preserve">Duration of dispersal assay including:</w:t>
      </w:r>
    </w:p>
    <w:p>
      <w:pPr>
        <w:pStyle w:val="Compact"/>
        <w:numPr>
          <w:ilvl w:val="1"/>
          <w:numId w:val="1010"/>
        </w:numPr>
      </w:pPr>
      <w:r>
        <w:t xml:space="preserve">Parent already experienced treatment temperature</w:t>
      </w:r>
      <w:r>
        <w:br/>
      </w:r>
    </w:p>
    <w:p>
      <w:pPr>
        <w:pStyle w:val="Compact"/>
        <w:numPr>
          <w:ilvl w:val="1"/>
          <w:numId w:val="1010"/>
        </w:numPr>
      </w:pPr>
      <w:r>
        <w:t xml:space="preserve">No acclimation period</w:t>
      </w:r>
    </w:p>
    <w:p>
      <w:pPr>
        <w:pStyle w:val="Compact"/>
        <w:numPr>
          <w:ilvl w:val="1"/>
          <w:numId w:val="1010"/>
        </w:numPr>
      </w:pPr>
      <w:r>
        <w:t xml:space="preserve">Dispersal assay lasted four days</w:t>
      </w:r>
    </w:p>
    <w:p>
      <w:pPr>
        <w:numPr>
          <w:ilvl w:val="0"/>
          <w:numId w:val="1008"/>
        </w:numPr>
      </w:pPr>
      <w:r>
        <w:t xml:space="preserve">Only females were used for the dispersal assay</w:t>
      </w:r>
    </w:p>
    <w:p>
      <w:pPr>
        <w:numPr>
          <w:ilvl w:val="0"/>
          <w:numId w:val="1008"/>
        </w:numPr>
      </w:pPr>
      <w:r>
        <w:t xml:space="preserve">Dispersal was measured by calculating the number of eggs laid on the second patch compared to the total number of eggs laid.</w:t>
      </w:r>
    </w:p>
    <w:p>
      <w:pPr>
        <w:numPr>
          <w:ilvl w:val="0"/>
          <w:numId w:val="1008"/>
        </w:numPr>
      </w:pPr>
      <w:r>
        <w:t xml:space="preserve">Individuals used in phase 2 were the same as used in phase 1</w:t>
      </w:r>
    </w:p>
    <w:p>
      <w:pPr>
        <w:numPr>
          <w:ilvl w:val="0"/>
          <w:numId w:val="1008"/>
        </w:numPr>
      </w:pPr>
      <w:r>
        <w:t xml:space="preserve">Provide details on data collection including:</w:t>
      </w:r>
    </w:p>
    <w:p>
      <w:pPr>
        <w:pStyle w:val="Compact"/>
        <w:numPr>
          <w:ilvl w:val="1"/>
          <w:numId w:val="1011"/>
        </w:numPr>
      </w:pPr>
      <w:r>
        <w:t xml:space="preserve">Daily sampling</w:t>
      </w:r>
    </w:p>
    <w:p>
      <w:pPr>
        <w:pStyle w:val="Compact"/>
        <w:numPr>
          <w:ilvl w:val="1"/>
          <w:numId w:val="1011"/>
        </w:numPr>
      </w:pPr>
      <w:r>
        <w:t xml:space="preserve">Sampling consisted of checking both patches and counting the number of eggs.</w:t>
      </w:r>
    </w:p>
    <w:p>
      <w:pPr>
        <w:numPr>
          <w:ilvl w:val="0"/>
          <w:numId w:val="1008"/>
        </w:numPr>
      </w:pPr>
      <w:r>
        <w:t xml:space="preserve">Individuals that died during the dispersal assay were excluded from the analysis of dispersal.</w:t>
      </w:r>
    </w:p>
    <w:bookmarkEnd w:id="25"/>
    <w:bookmarkEnd w:id="26"/>
    <w:bookmarkStart w:id="45" w:name="statistical-analysis"/>
    <w:p>
      <w:pPr>
        <w:pStyle w:val="Heading2"/>
      </w:pPr>
      <w:r>
        <w:t xml:space="preserve">Statistical Analysis</w:t>
      </w:r>
    </w:p>
    <w:bookmarkStart w:id="29" w:name="X28a23c8c518b1e72cdb0204b32b2c21bc767919"/>
    <w:p>
      <w:pPr>
        <w:pStyle w:val="Heading3"/>
      </w:pPr>
      <w:r>
        <w:t xml:space="preserve">Does fitness change with temperature (phase 1)?</w:t>
      </w:r>
    </w:p>
    <w:p>
      <w:pPr>
        <w:pStyle w:val="FirstParagraph"/>
      </w:pPr>
      <w:r>
        <w:t xml:space="preserve">The fitness proxy, population growth, r , was a binary variable.</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temp_treatment + (1 | plate)</w:t>
      </w:r>
    </w:p>
    <w:bookmarkStart w:id="27" w:name="X4d75bf29afdb3f3059f51b0f64a8b52a72d0286"/>
    <w:p>
      <w:pPr>
        <w:pStyle w:val="Heading4"/>
      </w:pPr>
      <w:r>
        <w:t xml:space="preserve">Results for main effect of temperature on fitness</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    </w:t>
      </w:r>
      <w:r>
        <w:br/>
      </w:r>
      <w:r>
        <w:rPr>
          <w:rStyle w:val="VerbatimChar"/>
        </w:rPr>
        <w:t xml:space="preserve">## &lt;none&gt;            712.27                     </w:t>
      </w:r>
      <w:r>
        <w:br/>
      </w:r>
      <w:r>
        <w:rPr>
          <w:rStyle w:val="VerbatimChar"/>
        </w:rPr>
        <w:t xml:space="preserve">## Temp.treatment  2 732.22 23.952 6.292e-06 ***</w:t>
      </w:r>
      <w:r>
        <w:br/>
      </w:r>
      <w:r>
        <w:rPr>
          <w:rStyle w:val="VerbatimChar"/>
        </w:rPr>
        <w:t xml:space="preserve">## ---</w:t>
      </w:r>
      <w:r>
        <w:br/>
      </w:r>
      <w:r>
        <w:rPr>
          <w:rStyle w:val="VerbatimChar"/>
        </w:rPr>
        <w:t xml:space="preserve">## Signif. codes:  0 '***' 0.001 '**' 0.01 '*' 0.05 '.' 0.1 ' ' 1</w:t>
      </w:r>
    </w:p>
    <w:bookmarkEnd w:id="27"/>
    <w:bookmarkStart w:id="28"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ratio     SE  df asymp.LCL asymp.UCL null z.ratio p.value</w:t>
      </w:r>
      <w:r>
        <w:br/>
      </w:r>
      <w:r>
        <w:rPr>
          <w:rStyle w:val="VerbatimChar"/>
        </w:rPr>
        <w:t xml:space="preserve">##  opt / high 51.07 42.700 Inf   9.90215   263.394    1   4.699  &lt;.0001</w:t>
      </w:r>
      <w:r>
        <w:br/>
      </w:r>
      <w:r>
        <w:rPr>
          <w:rStyle w:val="VerbatimChar"/>
        </w:rPr>
        <w:t xml:space="preserve">##  opt / low   2.55  1.290 Inf   0.94840     6.866    1   1.855  0.0636</w:t>
      </w:r>
      <w:r>
        <w:br/>
      </w:r>
      <w:r>
        <w:rPr>
          <w:rStyle w:val="VerbatimChar"/>
        </w:rPr>
        <w:t xml:space="preserve">##  high / low  0.05  0.043 Inf   0.00927     0.269    1  -3.486  0.0005</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xml:space="preserve">## Tests are performed on the log scale</w:t>
      </w:r>
    </w:p>
    <w:bookmarkEnd w:id="28"/>
    <w:bookmarkEnd w:id="29"/>
    <w:bookmarkStart w:id="35"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cbind(n_eggs_on_B, total_n_eggs - n_eggs_on_B) ~ temp_treatment + , (1 | plate)</w:t>
      </w:r>
    </w:p>
    <w:p>
      <w:pPr>
        <w:pStyle w:val="CaptionedFigure"/>
      </w:pPr>
      <w:r>
        <w:drawing>
          <wp:inline>
            <wp:extent cx="4620126" cy="3696101"/>
            <wp:effectExtent b="0" l="0" r="0" t="0"/>
            <wp:docPr descr="Figure 1. Dispersal as a function of temperature treatment. low = 24 C, opt = 30 C, high = 36 C. Error bars represent 95% confidence intervals predicted from GLMM." title="" id="31" name="Picture"/>
            <a:graphic>
              <a:graphicData uri="http://schemas.openxmlformats.org/drawingml/2006/picture">
                <pic:pic>
                  <pic:nvPicPr>
                    <pic:cNvPr descr="C:\Users\svwunnik\ONEDRI~1\UGent-PC\Svwunnik\Desktop\DOKTER~1\DEPAPE~1\4_ANNA~1\DISPNE~1\TETRAN~4\KNITTE~1\TETRAN~1/figure-docx/dispersalplot-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24 C, opt = 30 C, high = 36 C. Error bars represent 95% confidence intervals predicted from GLMM.</w:t>
      </w:r>
    </w:p>
    <w:bookmarkStart w:id="33"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n_eggs_on_A) ~ Temp.treatment + (1 | population) + </w:t>
      </w:r>
      <w:r>
        <w:br/>
      </w:r>
      <w:r>
        <w:rPr>
          <w:rStyle w:val="VerbatimChar"/>
        </w:rPr>
        <w:t xml:space="preserve">##     (1 | plate)</w:t>
      </w:r>
      <w:r>
        <w:br/>
      </w:r>
      <w:r>
        <w:rPr>
          <w:rStyle w:val="VerbatimChar"/>
        </w:rPr>
        <w:t xml:space="preserve">##                Df    AIC    LRT Pr(&gt;Chi)</w:t>
      </w:r>
      <w:r>
        <w:br/>
      </w:r>
      <w:r>
        <w:rPr>
          <w:rStyle w:val="VerbatimChar"/>
        </w:rPr>
        <w:t xml:space="preserve">## &lt;none&gt;            457.66                </w:t>
      </w:r>
      <w:r>
        <w:br/>
      </w:r>
      <w:r>
        <w:rPr>
          <w:rStyle w:val="VerbatimChar"/>
        </w:rPr>
        <w:t xml:space="preserve">## Temp.treatment  2 456.82 3.1599    0.206</w:t>
      </w:r>
    </w:p>
    <w:bookmarkEnd w:id="33"/>
    <w:bookmarkStart w:id="34"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3.805 4.080 Inf    0.4654     31.10    1   1.246  0.2126</w:t>
      </w:r>
      <w:r>
        <w:br/>
      </w:r>
      <w:r>
        <w:rPr>
          <w:rStyle w:val="VerbatimChar"/>
        </w:rPr>
        <w:t xml:space="preserve">##  opt / low       0.768 0.318 Inf    0.3406      1.73    1  -0.638  0.5235</w:t>
      </w:r>
      <w:r>
        <w:br/>
      </w:r>
      <w:r>
        <w:rPr>
          <w:rStyle w:val="VerbatimChar"/>
        </w:rPr>
        <w:t xml:space="preserve">##  high / low      0.202 0.218 Inf    0.0242      1.68    1  -1.481  0.1387</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4"/>
    <w:bookmarkEnd w:id="35"/>
    <w:bookmarkStart w:id="44" w:name="model-diagnostics"/>
    <w:p>
      <w:pPr>
        <w:pStyle w:val="Heading3"/>
      </w:pPr>
      <w:r>
        <w:t xml:space="preserve">Model Diagnostics</w:t>
      </w:r>
    </w:p>
    <w:p>
      <w:pPr>
        <w:pStyle w:val="FirstParagraph"/>
      </w:pPr>
      <w:r>
        <w:t xml:space="preserve">There was no evidence for lack of fit for either the fitness or the dispersal model.</w:t>
      </w:r>
    </w:p>
    <w:bookmarkStart w:id="39" w:name="diagnostic-plots-for-fitness-data"/>
    <w:p>
      <w:pPr>
        <w:pStyle w:val="Heading4"/>
      </w:pPr>
      <w:r>
        <w:t xml:space="preserve">Diagnostic plots for fitness data</w:t>
      </w:r>
    </w:p>
    <w:p>
      <w:pPr>
        <w:pStyle w:val="FirstParagraph"/>
      </w:pPr>
      <w:r>
        <w:drawing>
          <wp:inline>
            <wp:extent cx="5334000" cy="4667250"/>
            <wp:effectExtent b="0" l="0" r="0" t="0"/>
            <wp:docPr descr="" title="" id="37" name="Picture"/>
            <a:graphic>
              <a:graphicData uri="http://schemas.openxmlformats.org/drawingml/2006/picture">
                <pic:pic>
                  <pic:nvPicPr>
                    <pic:cNvPr descr="C:\Users\svwunnik\ONEDRI~1\UGent-PC\Svwunnik\Desktop\DOKTER~1\DEPAPE~1\4_ANNA~1\DISPNE~1\TETRAN~4\KNITTE~1\TETRAN~1/figure-docx/modeldiagnosticsfitness_zero-1.png" id="38" name="Picture"/>
                    <pic:cNvPicPr>
                      <a:picLocks noChangeArrowheads="1" noChangeAspect="1"/>
                    </pic:cNvPicPr>
                  </pic:nvPicPr>
                  <pic:blipFill>
                    <a:blip r:embed="rId36"/>
                    <a:stretch>
                      <a:fillRect/>
                    </a:stretch>
                  </pic:blipFill>
                  <pic:spPr bwMode="auto">
                    <a:xfrm>
                      <a:off x="0" y="0"/>
                      <a:ext cx="5334000" cy="4667250"/>
                    </a:xfrm>
                    <a:prstGeom prst="rect">
                      <a:avLst/>
                    </a:prstGeom>
                    <a:noFill/>
                    <a:ln w="9525">
                      <a:noFill/>
                      <a:headEnd/>
                      <a:tailEnd/>
                    </a:ln>
                  </pic:spPr>
                </pic:pic>
              </a:graphicData>
            </a:graphic>
          </wp:inline>
        </w:drawing>
      </w:r>
    </w:p>
    <w:bookmarkEnd w:id="39"/>
    <w:bookmarkStart w:id="43" w:name="diagnostic-plots-for-dispersal-data"/>
    <w:p>
      <w:pPr>
        <w:pStyle w:val="Heading4"/>
      </w:pPr>
      <w:r>
        <w:t xml:space="preserve">Diagnostic plots for dispersal data</w:t>
      </w:r>
    </w:p>
    <w:p>
      <w:pPr>
        <w:pStyle w:val="FirstParagraph"/>
      </w:pPr>
      <w:r>
        <w:drawing>
          <wp:inline>
            <wp:extent cx="5334000" cy="4667250"/>
            <wp:effectExtent b="0" l="0" r="0" t="0"/>
            <wp:docPr descr="" title="" id="41" name="Picture"/>
            <a:graphic>
              <a:graphicData uri="http://schemas.openxmlformats.org/drawingml/2006/picture">
                <pic:pic>
                  <pic:nvPicPr>
                    <pic:cNvPr descr="C:\Users\svwunnik\ONEDRI~1\UGent-PC\Svwunnik\Desktop\DOKTER~1\DEPAPE~1\4_ANNA~1\DISPNE~1\TETRAN~4\KNITTE~1\TETRAN~1/figure-docx/modeldiagnosticsdispersal_zero-1.png" id="42" name="Picture"/>
                    <pic:cNvPicPr>
                      <a:picLocks noChangeArrowheads="1" noChangeAspect="1"/>
                    </pic:cNvPicPr>
                  </pic:nvPicPr>
                  <pic:blipFill>
                    <a:blip r:embed="rId40"/>
                    <a:stretch>
                      <a:fillRect/>
                    </a:stretch>
                  </pic:blipFill>
                  <pic:spPr bwMode="auto">
                    <a:xfrm>
                      <a:off x="0" y="0"/>
                      <a:ext cx="5334000" cy="4667250"/>
                    </a:xfrm>
                    <a:prstGeom prst="rect">
                      <a:avLst/>
                    </a:prstGeom>
                    <a:noFill/>
                    <a:ln w="9525">
                      <a:noFill/>
                      <a:headEnd/>
                      <a:tailEnd/>
                    </a:ln>
                  </pic:spPr>
                </pic:pic>
              </a:graphicData>
            </a:graphic>
          </wp:inline>
        </w:drawing>
      </w:r>
    </w:p>
    <w:bookmarkEnd w:id="43"/>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2025-12-22T10:34:36Z</dcterms:created>
  <dcterms:modified xsi:type="dcterms:W3CDTF">2025-12-22T10:34:36Z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