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5.png" ContentType="image/png"/>
  <Override PartName="/word/media/rId31.png" ContentType="image/png"/>
  <Override PartName="/word/media/rId47.png" ContentType="image/png"/>
  <Override PartName="/word/media/rId43.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Temperature</w:t>
      </w:r>
      <w:r>
        <w:t xml:space="preserve"> </w:t>
      </w:r>
      <w:r>
        <w:t xml:space="preserve">dependent</w:t>
      </w:r>
      <w:r>
        <w:t xml:space="preserve"> </w:t>
      </w:r>
      <w:r>
        <w:t xml:space="preserve">dispersal:</w:t>
      </w:r>
      <w:r>
        <w:t xml:space="preserve"> </w:t>
      </w:r>
      <w:r>
        <w:t xml:space="preserve">A</w:t>
      </w:r>
      <w:r>
        <w:t xml:space="preserve"> </w:t>
      </w:r>
      <w:r>
        <w:t xml:space="preserve">distributed</w:t>
      </w:r>
      <w:r>
        <w:t xml:space="preserve"> </w:t>
      </w:r>
      <w:r>
        <w:t xml:space="preserve">experiment</w:t>
      </w:r>
    </w:p>
    <w:p>
      <w:pPr>
        <w:pStyle w:val="Author"/>
      </w:pPr>
      <w:r>
        <w:t xml:space="preserve">Peter</w:t>
      </w:r>
      <w:r>
        <w:t xml:space="preserve"> </w:t>
      </w:r>
      <w:r>
        <w:t xml:space="preserve">Kamal</w:t>
      </w:r>
      <w:r>
        <w:t xml:space="preserve"> </w:t>
      </w:r>
      <w:r>
        <w:t xml:space="preserve">&amp;</w:t>
      </w:r>
      <w:r>
        <w:t xml:space="preserve"> </w:t>
      </w:r>
      <w:r>
        <w:t xml:space="preserve">Emanuel</w:t>
      </w:r>
      <w:r>
        <w:t xml:space="preserve"> </w:t>
      </w:r>
      <w:r>
        <w:t xml:space="preserve">A.</w:t>
      </w:r>
      <w:r>
        <w:t xml:space="preserve"> </w:t>
      </w:r>
      <w:r>
        <w:t xml:space="preserve">Fronhofer</w:t>
      </w:r>
    </w:p>
    <w:bookmarkStart w:id="53" w:name="Xf71fff50e467bb49c60f8eb3690cd1e03bb2222"/>
    <w:p>
      <w:pPr>
        <w:pStyle w:val="Heading1"/>
      </w:pPr>
      <w:r>
        <w:t xml:space="preserve">Supplementary methods for</w:t>
      </w:r>
      <w:r>
        <w:t xml:space="preserve"> </w:t>
      </w:r>
      <w:r>
        <w:rPr>
          <w:i/>
          <w:iCs/>
        </w:rPr>
        <w:t xml:space="preserve">Tetrahymena thermophila_ISEM</w:t>
      </w:r>
    </w:p>
    <w:bookmarkStart w:id="20" w:name="study-organism"/>
    <w:p>
      <w:pPr>
        <w:pStyle w:val="Heading2"/>
      </w:pPr>
      <w:r>
        <w:t xml:space="preserve">Study organism</w:t>
      </w:r>
    </w:p>
    <w:p>
      <w:pPr>
        <w:pStyle w:val="Compact"/>
        <w:numPr>
          <w:ilvl w:val="0"/>
          <w:numId w:val="1001"/>
        </w:numPr>
      </w:pPr>
      <w:r>
        <w:rPr>
          <w:b/>
          <w:bCs/>
        </w:rPr>
        <w:t xml:space="preserve">Name and strain of species:</w:t>
      </w:r>
      <w:r>
        <w:t xml:space="preserve"> </w:t>
      </w:r>
      <w:r>
        <w:rPr>
          <w:i/>
          <w:iCs/>
        </w:rPr>
        <w:t xml:space="preserve">Tetrahymena thermophila</w:t>
      </w:r>
      <w:r>
        <w:t xml:space="preserve"> </w:t>
      </w:r>
      <w:r>
        <w:t xml:space="preserve">(strain SB3539)</w:t>
      </w:r>
    </w:p>
    <w:p>
      <w:pPr>
        <w:pStyle w:val="Compact"/>
        <w:numPr>
          <w:ilvl w:val="0"/>
          <w:numId w:val="1001"/>
        </w:numPr>
      </w:pPr>
      <w:r>
        <w:rPr>
          <w:b/>
          <w:bCs/>
        </w:rPr>
        <w:t xml:space="preserve">Basic life history:</w:t>
      </w:r>
      <w:r>
        <w:t xml:space="preserve"> </w:t>
      </w:r>
      <w:r>
        <w:t xml:space="preserve">Aquatic protist, active dispersal via swimming, generation time of ~ 4 hours</w:t>
      </w:r>
    </w:p>
    <w:p>
      <w:pPr>
        <w:pStyle w:val="Compact"/>
        <w:numPr>
          <w:ilvl w:val="0"/>
          <w:numId w:val="1001"/>
        </w:numPr>
      </w:pPr>
      <w:r>
        <w:rPr>
          <w:b/>
          <w:bCs/>
        </w:rPr>
        <w:t xml:space="preserve">Temperature range:</w:t>
      </w:r>
      <w:r>
        <w:t xml:space="preserve"> </w:t>
      </w:r>
      <w:r>
        <w:t xml:space="preserve">Lives originally in streams, ponds and lakes on the Atlantic coast of North America. Our strain has been kept in stock for at least six years (around 13,000 generations) at 20</w:t>
      </w:r>
      <m:oMath>
        <m:sSup>
          <m:e>
            <m:r>
              <m:t>​</m:t>
            </m:r>
          </m:e>
          <m:sup>
            <m:r>
              <m:rPr>
                <m:sty m:val="p"/>
              </m:rPr>
              <m:t>∘</m:t>
            </m:r>
          </m:sup>
        </m:sSup>
      </m:oMath>
      <w:r>
        <w:t xml:space="preserve">C.</w:t>
      </w:r>
    </w:p>
    <w:p>
      <w:pPr>
        <w:pStyle w:val="Compact"/>
        <w:numPr>
          <w:ilvl w:val="0"/>
          <w:numId w:val="1001"/>
        </w:numPr>
      </w:pPr>
      <w:r>
        <w:rPr>
          <w:b/>
          <w:bCs/>
        </w:rPr>
        <w:t xml:space="preserve">Source:</w:t>
      </w:r>
      <w:r>
        <w:t xml:space="preserve"> </w:t>
      </w:r>
      <w:r>
        <w:t xml:space="preserve">Cornell Tetrahymena Stock Center</w:t>
      </w:r>
    </w:p>
    <w:p>
      <w:pPr>
        <w:pStyle w:val="Compact"/>
        <w:numPr>
          <w:ilvl w:val="0"/>
          <w:numId w:val="1001"/>
        </w:numPr>
      </w:pPr>
      <w:r>
        <w:rPr>
          <w:b/>
          <w:bCs/>
        </w:rPr>
        <w:t xml:space="preserve">Holding conditions before experiment</w:t>
      </w:r>
      <w:r>
        <w:t xml:space="preserve">: For each experiment, we used individuals from our running batch cultures, kept at 20</w:t>
      </w:r>
      <m:oMath>
        <m:sSup>
          <m:e>
            <m:r>
              <m:t>​</m:t>
            </m:r>
          </m:e>
          <m:sup>
            <m:r>
              <m:rPr>
                <m:sty m:val="p"/>
              </m:rPr>
              <m:t>∘</m:t>
            </m:r>
          </m:sup>
        </m:sSup>
      </m:oMath>
      <w:r>
        <w:t xml:space="preserve">C in a dark incubator in sterile medium made up of mineral water, ground lettuce, and the bacterial species</w:t>
      </w:r>
      <w:r>
        <w:t xml:space="preserve"> </w:t>
      </w:r>
      <w:r>
        <w:rPr>
          <w:i/>
          <w:iCs/>
        </w:rPr>
        <w:t xml:space="preserve">Serratia fonticola</w:t>
      </w:r>
      <w:r>
        <w:t xml:space="preserve">. The medium was filtered to provide homogeneous spatial structure within the vessel. Whenever we add medium to a batch culture or a test tube, that medium is enriched with a three-day old culture of the bacterium</w:t>
      </w:r>
      <w:r>
        <w:t xml:space="preserve"> </w:t>
      </w:r>
      <w:r>
        <w:rPr>
          <w:i/>
          <w:iCs/>
        </w:rPr>
        <w:t xml:space="preserve">Serratia fonticola</w:t>
      </w:r>
      <w:r>
        <w:t xml:space="preserve"> </w:t>
      </w:r>
      <w:r>
        <w:t xml:space="preserve">at a ratio of 9:1 (medium:bacteria). No further selection for the experimental individuals was conducted.</w:t>
      </w:r>
    </w:p>
    <w:bookmarkEnd w:id="20"/>
    <w:bookmarkStart w:id="24" w:name="study-design"/>
    <w:p>
      <w:pPr>
        <w:pStyle w:val="Heading2"/>
      </w:pPr>
      <w:r>
        <w:t xml:space="preserve">Study design</w:t>
      </w:r>
    </w:p>
    <w:bookmarkStart w:id="21" w:name="temperature-treatments"/>
    <w:p>
      <w:pPr>
        <w:pStyle w:val="Heading3"/>
      </w:pPr>
      <w:r>
        <w:t xml:space="preserve">Temperature treatments</w:t>
      </w:r>
    </w:p>
    <w:p>
      <w:pPr>
        <w:pStyle w:val="FirstParagraph"/>
      </w:pPr>
      <w:r>
        <w:t xml:space="preserve">State the temperatures used for Topt, Thot, Tcold, and explain how they were chosen: We used Topt = 36C, Thot = 38C, and Tcold = 20C. Tcold is the culture temperature, Topt is the temperature at which the growth rate is maximal, Thot is the temperature at which some growth is still possible, but it is on the descending flank of the TPC. There was no daily variation in temperature.</w:t>
      </w:r>
    </w:p>
    <w:bookmarkEnd w:id="21"/>
    <w:bookmarkStart w:id="22" w:name="phase-1-fitness-assay"/>
    <w:p>
      <w:pPr>
        <w:pStyle w:val="Heading3"/>
      </w:pPr>
      <w:r>
        <w:t xml:space="preserve">Phase 1: Fitness assay</w:t>
      </w:r>
    </w:p>
    <w:p>
      <w:pPr>
        <w:pStyle w:val="Compact"/>
        <w:numPr>
          <w:ilvl w:val="0"/>
          <w:numId w:val="1002"/>
        </w:numPr>
      </w:pPr>
      <w:r>
        <w:rPr>
          <w:b/>
          <w:bCs/>
        </w:rPr>
        <w:t xml:space="preserve">Fitness proxy:</w:t>
      </w:r>
      <w:r>
        <w:t xml:space="preserve"> </w:t>
      </w:r>
      <w:r>
        <w:t xml:space="preserve">Maximum growth rate per replicate and temperature, estimated as suggested with the easy linear fit in the growth rates package based on time series data at different temperatures starting from low densities (~100 individuals per ml).</w:t>
      </w:r>
    </w:p>
    <w:p>
      <w:pPr>
        <w:pStyle w:val="Compact"/>
        <w:numPr>
          <w:ilvl w:val="0"/>
          <w:numId w:val="1002"/>
        </w:numPr>
      </w:pPr>
      <w:r>
        <w:rPr>
          <w:b/>
          <w:bCs/>
        </w:rPr>
        <w:t xml:space="preserve">Experimental setup:</w:t>
      </w:r>
      <w:r>
        <w:t xml:space="preserve"> </w:t>
      </w:r>
      <w:r>
        <w:t xml:space="preserve">Experiments were conducted in plastic vials (Sarstedt), filled with 20ml of the bacterized medium described above and kept in dark incubators.</w:t>
      </w:r>
    </w:p>
    <w:p>
      <w:pPr>
        <w:pStyle w:val="Compact"/>
        <w:numPr>
          <w:ilvl w:val="0"/>
          <w:numId w:val="1002"/>
        </w:numPr>
      </w:pPr>
      <w:r>
        <w:rPr>
          <w:b/>
          <w:bCs/>
        </w:rPr>
        <w:t xml:space="preserve">Replication:</w:t>
      </w:r>
      <w:r>
        <w:t xml:space="preserve"> </w:t>
      </w:r>
      <w:r>
        <w:t xml:space="preserve">5 experimental replicates per temperature. To avoid pseudoreplication, we switched incubators randomly every two days.</w:t>
      </w:r>
    </w:p>
    <w:p>
      <w:pPr>
        <w:pStyle w:val="Compact"/>
        <w:numPr>
          <w:ilvl w:val="0"/>
          <w:numId w:val="1002"/>
        </w:numPr>
      </w:pPr>
      <w:r>
        <w:rPr>
          <w:b/>
          <w:bCs/>
        </w:rPr>
        <w:t xml:space="preserve">Food provided:</w:t>
      </w:r>
      <w:r>
        <w:t xml:space="preserve"> </w:t>
      </w:r>
      <w:r>
        <w:t xml:space="preserve">Every two days, we replenished 10% of the culture with fresh medium that was enriched with bacteria at the same 9:1 ratio.</w:t>
      </w:r>
    </w:p>
    <w:p>
      <w:pPr>
        <w:pStyle w:val="Compact"/>
        <w:numPr>
          <w:ilvl w:val="0"/>
          <w:numId w:val="1002"/>
        </w:numPr>
      </w:pPr>
      <w:r>
        <w:rPr>
          <w:b/>
          <w:bCs/>
        </w:rPr>
        <w:t xml:space="preserve">Duration</w:t>
      </w:r>
      <w:r>
        <w:t xml:space="preserve">: The experiment lasted 9 days (until the populations at the coldest temperature had reached carrying capacity).</w:t>
      </w:r>
    </w:p>
    <w:p>
      <w:pPr>
        <w:pStyle w:val="Compact"/>
        <w:numPr>
          <w:ilvl w:val="0"/>
          <w:numId w:val="1002"/>
        </w:numPr>
      </w:pPr>
      <w:r>
        <w:rPr>
          <w:b/>
          <w:bCs/>
        </w:rPr>
        <w:t xml:space="preserve">Phenotypic assays:</w:t>
      </w:r>
      <w:r>
        <w:t xml:space="preserve"> </w:t>
      </w:r>
      <w:r>
        <w:t xml:space="preserve">We measured densities and phenotypes by recording videos under a stereoscope and analyzing those videos with the</w:t>
      </w:r>
      <w:r>
        <w:t xml:space="preserve"> </w:t>
      </w:r>
      <w:r>
        <w:rPr>
          <w:rStyle w:val="VerbatimChar"/>
        </w:rPr>
        <w:t xml:space="preserve">bemovi</w:t>
      </w:r>
      <w:r>
        <w:t xml:space="preserve"> </w:t>
      </w:r>
      <w:r>
        <w:t xml:space="preserve">software. That yielded (apart from densities) measurements of cell size as well as swimming speed.</w:t>
      </w:r>
    </w:p>
    <w:bookmarkEnd w:id="22"/>
    <w:bookmarkStart w:id="23" w:name="phase-2-dispersal-assay"/>
    <w:p>
      <w:pPr>
        <w:pStyle w:val="Heading3"/>
      </w:pPr>
      <w:r>
        <w:t xml:space="preserve">Phase 2: Dispersal assay</w:t>
      </w:r>
    </w:p>
    <w:p>
      <w:pPr>
        <w:pStyle w:val="Compact"/>
        <w:numPr>
          <w:ilvl w:val="0"/>
          <w:numId w:val="1003"/>
        </w:numPr>
      </w:pPr>
      <w:r>
        <w:rPr>
          <w:b/>
          <w:bCs/>
        </w:rPr>
        <w:t xml:space="preserve">Setup:</w:t>
      </w:r>
      <w:r>
        <w:rPr>
          <w:b/>
          <w:bCs/>
        </w:rPr>
        <w:t xml:space="preserve"> </w:t>
      </w:r>
      <w:r>
        <w:t xml:space="preserve"> </w:t>
      </w:r>
      <w:r>
        <w:t xml:space="preserve">We conducted the experiment in the same plastic vials filled with 20ml of total culture medium, but now as a 2-patch system connected by a 7cm long silicon tube that we could close with plastic clamps. We consider this silicone tube to be hostile due to the lack of oxygen (which</w:t>
      </w:r>
      <w:r>
        <w:t xml:space="preserve"> </w:t>
      </w:r>
      <w:r>
        <w:rPr>
          <w:i/>
          <w:iCs/>
        </w:rPr>
        <w:t xml:space="preserve">Tetrahymena</w:t>
      </w:r>
      <w:r>
        <w:t xml:space="preserve"> </w:t>
      </w:r>
      <w:r>
        <w:t xml:space="preserve">are very sensitive to).</w:t>
      </w:r>
    </w:p>
    <w:p>
      <w:pPr>
        <w:pStyle w:val="Compact"/>
        <w:numPr>
          <w:ilvl w:val="0"/>
          <w:numId w:val="1003"/>
        </w:numPr>
      </w:pPr>
      <w:r>
        <w:rPr>
          <w:b/>
          <w:bCs/>
        </w:rPr>
        <w:t xml:space="preserve">Dispersal:</w:t>
      </w:r>
      <w:r>
        <w:rPr>
          <w:b/>
          <w:bCs/>
        </w:rPr>
        <w:t xml:space="preserve"> </w:t>
      </w:r>
      <w:r>
        <w:t xml:space="preserve"> </w:t>
      </w:r>
      <w:r>
        <w:t xml:space="preserve">We measured emigration rates by opening the connections between origin and target patch, closing them again after 3 hours, and sampling in both patches. We estimated dispersal rate as the ratio of individuals in the target patch to the total number of individuals in both patches combined.</w:t>
      </w:r>
    </w:p>
    <w:p>
      <w:pPr>
        <w:pStyle w:val="Compact"/>
        <w:numPr>
          <w:ilvl w:val="0"/>
          <w:numId w:val="1003"/>
        </w:numPr>
      </w:pPr>
      <w:r>
        <w:rPr>
          <w:b/>
          <w:bCs/>
        </w:rPr>
        <w:t xml:space="preserve">Replication:</w:t>
      </w:r>
      <w:r>
        <w:rPr>
          <w:b/>
          <w:bCs/>
        </w:rPr>
        <w:t xml:space="preserve"> </w:t>
      </w:r>
      <w:r>
        <w:t xml:space="preserve"> </w:t>
      </w:r>
      <w:r>
        <w:t xml:space="preserve">We replicated each dispersal trial at each temperature 5 times (yielding 15 total experimental units). Individuals were not the same as the ones used in the fitness assay, but came from the same clonal population as above. All five replicates of each temperature were assayed at the same time in the same incubator.</w:t>
      </w:r>
    </w:p>
    <w:p>
      <w:pPr>
        <w:pStyle w:val="Compact"/>
        <w:numPr>
          <w:ilvl w:val="0"/>
          <w:numId w:val="1003"/>
        </w:numPr>
      </w:pPr>
      <w:r>
        <w:rPr>
          <w:b/>
          <w:bCs/>
        </w:rPr>
        <w:t xml:space="preserve">Inoculation:</w:t>
      </w:r>
      <w:r>
        <w:rPr>
          <w:b/>
          <w:bCs/>
        </w:rPr>
        <w:t xml:space="preserve"> </w:t>
      </w:r>
      <w:r>
        <w:t xml:space="preserve"> </w:t>
      </w:r>
      <w:r>
        <w:t xml:space="preserve">We used the fitness assay to determine which inoculation density would produce the highest variation in estimated fitness across temperatures (see below). We chose a density of 1,500 individuals per ml, which is between 25 and 50% of K for all temperatures. In the morning of the experiment, we measured our stock and determined the necessary amount to add to a 20ml tube to reach this density. Accordingly, we inoculated the origin patch with 5ml of</w:t>
      </w:r>
      <w:r>
        <w:t xml:space="preserve"> </w:t>
      </w:r>
      <w:r>
        <w:rPr>
          <w:i/>
          <w:iCs/>
        </w:rPr>
        <w:t xml:space="preserve">Tetrahymena</w:t>
      </w:r>
      <w:r>
        <w:t xml:space="preserve"> </w:t>
      </w:r>
      <w:r>
        <w:t xml:space="preserve">stock and 15ml of bacterized medium (see above), and the target patch with 20ml of bacterized medium.</w:t>
      </w:r>
    </w:p>
    <w:p>
      <w:pPr>
        <w:pStyle w:val="Compact"/>
        <w:numPr>
          <w:ilvl w:val="0"/>
          <w:numId w:val="1003"/>
        </w:numPr>
      </w:pPr>
      <w:r>
        <w:rPr>
          <w:b/>
          <w:bCs/>
        </w:rPr>
        <w:t xml:space="preserve">Timing:</w:t>
      </w:r>
      <w:r>
        <w:rPr>
          <w:b/>
          <w:bCs/>
        </w:rPr>
        <w:t xml:space="preserve"> </w:t>
      </w:r>
      <w:r>
        <w:t xml:space="preserve"> </w:t>
      </w:r>
      <w:r>
        <w:t xml:space="preserve">We estimate</w:t>
      </w:r>
      <w:r>
        <w:t xml:space="preserve"> </w:t>
      </w:r>
      <w:r>
        <w:rPr>
          <w:i/>
          <w:iCs/>
        </w:rPr>
        <w:t xml:space="preserve">Tetrahymena’s</w:t>
      </w:r>
      <w:r>
        <w:t xml:space="preserve"> </w:t>
      </w:r>
      <w:r>
        <w:t xml:space="preserve">generation time to be roughly 4 hours. Therefore, we let the cultures acclimate with the gates closed in the incubator for 45 minutes, and then opened the gates for 3 hours, after which we closed them and sampled.</w:t>
      </w:r>
    </w:p>
    <w:p>
      <w:pPr>
        <w:pStyle w:val="Compact"/>
        <w:numPr>
          <w:ilvl w:val="0"/>
          <w:numId w:val="1003"/>
        </w:numPr>
      </w:pPr>
      <w:r>
        <w:rPr>
          <w:b/>
          <w:bCs/>
        </w:rPr>
        <w:t xml:space="preserve">Sampling and phenotyping:</w:t>
      </w:r>
      <w:r>
        <w:rPr>
          <w:b/>
          <w:bCs/>
        </w:rPr>
        <w:t xml:space="preserve"> </w:t>
      </w:r>
      <w:r>
        <w:t xml:space="preserve"> </w:t>
      </w:r>
      <w:r>
        <w:t xml:space="preserve">As before, we sampled out of the cultures and recorded videos under a stereoscope, which gave us both density and phenotypic estimates. To reduce sampling error given the possible low densities in the target patch, we used the mean across three technical replicates for each sample.</w:t>
      </w:r>
    </w:p>
    <w:p>
      <w:pPr>
        <w:pStyle w:val="Compact"/>
        <w:numPr>
          <w:ilvl w:val="0"/>
          <w:numId w:val="1003"/>
        </w:numPr>
      </w:pPr>
      <w:r>
        <w:rPr>
          <w:b/>
          <w:bCs/>
        </w:rPr>
        <w:t xml:space="preserve">Mortality:</w:t>
      </w:r>
      <w:r>
        <w:rPr>
          <w:b/>
          <w:bCs/>
        </w:rPr>
        <w:t xml:space="preserve"> </w:t>
      </w:r>
      <w:r>
        <w:t xml:space="preserve"> </w:t>
      </w:r>
      <w:r>
        <w:t xml:space="preserve">was not recorded.</w:t>
      </w:r>
    </w:p>
    <w:bookmarkEnd w:id="23"/>
    <w:bookmarkEnd w:id="24"/>
    <w:bookmarkStart w:id="52" w:name="statistical-analysis"/>
    <w:p>
      <w:pPr>
        <w:pStyle w:val="Heading2"/>
      </w:pPr>
      <w:r>
        <w:t xml:space="preserve">Statistical Analysis</w:t>
      </w:r>
    </w:p>
    <w:bookmarkStart w:id="36" w:name="X28a23c8c518b1e72cdb0204b32b2c21bc767919"/>
    <w:p>
      <w:pPr>
        <w:pStyle w:val="Heading3"/>
      </w:pPr>
      <w:r>
        <w:t xml:space="preserve">Does fitness change with temperature (phase 1)?</w:t>
      </w:r>
    </w:p>
    <w:p>
      <w:pPr>
        <w:pStyle w:val="FirstParagraph"/>
      </w:pPr>
      <w:r>
        <w:t xml:space="preserve">NA</w:t>
      </w:r>
    </w:p>
    <w:p>
      <w:pPr>
        <w:pStyle w:val="CaptionedFigure"/>
      </w:pPr>
      <w:r>
        <w:drawing>
          <wp:inline>
            <wp:extent cx="4620126" cy="3696101"/>
            <wp:effectExtent b="0" l="0" r="0" t="0"/>
            <wp:docPr descr="Figure 1. Histogram of fitness ( r ) values." title="" id="26" name="Picture"/>
            <a:graphic>
              <a:graphicData uri="http://schemas.openxmlformats.org/drawingml/2006/picture">
                <pic:pic>
                  <pic:nvPicPr>
                    <pic:cNvPr descr="/home/peter.kamal/Desktop/dispnet/disp_temp/shared_analysis/DispNet-Temperature-Dependent-Dispersal/Knitted_Markdowns/Tetrahymena_thermophila_ISEM_files/figure-docx/fitnessnormal-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Histogram of fitness ( r ) values.</w:t>
      </w:r>
    </w:p>
    <w:p>
      <w:pPr>
        <w:pStyle w:val="CaptionedFigure"/>
      </w:pPr>
      <w:r>
        <w:drawing>
          <wp:inline>
            <wp:extent cx="4620126" cy="3696101"/>
            <wp:effectExtent b="0" l="0" r="0" t="0"/>
            <wp:docPr descr="Figure 1. Histogram of square-root/log/log10 -transformed r values." title="" id="29" name="Picture"/>
            <a:graphic>
              <a:graphicData uri="http://schemas.openxmlformats.org/drawingml/2006/picture">
                <pic:pic>
                  <pic:nvPicPr>
                    <pic:cNvPr descr="/home/peter.kamal/Desktop/dispnet/disp_temp/shared_analysis/DispNet-Temperature-Dependent-Dispersal/Knitted_Markdowns/Tetrahymena_thermophila_ISEM_files/figure-docx/transformedfitnessnormal-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Histogram of square-root/log/log10 -transformed r values.</w:t>
      </w:r>
    </w:p>
    <w:p>
      <w:pPr>
        <w:pStyle w:val="CaptionedFigure"/>
      </w:pPr>
      <w:r>
        <w:drawing>
          <wp:inline>
            <wp:extent cx="4620126" cy="3696101"/>
            <wp:effectExtent b="0" l="0" r="0" t="0"/>
            <wp:docPr descr="Figure 2. Boxplot of fitness ( r ), as a function of temperature treatment. low = 20 C, opt = 36 C, high = 38 C." title="" id="32" name="Picture"/>
            <a:graphic>
              <a:graphicData uri="http://schemas.openxmlformats.org/drawingml/2006/picture">
                <pic:pic>
                  <pic:nvPicPr>
                    <pic:cNvPr descr="/home/peter.kamal/Desktop/dispnet/disp_temp/shared_analysis/DispNet-Temperature-Dependent-Dispersal/Knitted_Markdowns/Tetrahymena_thermophila_ISEM_files/figure-docx/fitnessplotnormal-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2. Boxplot of fitness ( r ), as a function of temperature treatment. low = 20 C, opt = 36 C, high = 38 C.</w:t>
      </w:r>
    </w:p>
    <w:p>
      <w:pPr>
        <w:pStyle w:val="BodyText"/>
      </w:pPr>
      <w:r>
        <w:t xml:space="preserve">To estimate the effects of temperature (a factor) on fitness, we used a linear mixed model with r as the response variable. We used the formula:</w:t>
      </w:r>
    </w:p>
    <w:p>
      <w:pPr>
        <w:pStyle w:val="BodyText"/>
      </w:pPr>
      <w:r>
        <w:t xml:space="preserve">Fitness ~ Temp.treatment + (1|Replicate)</w:t>
      </w:r>
    </w:p>
    <w:p>
      <w:pPr>
        <w:pStyle w:val="SourceCode"/>
      </w:pPr>
      <w:r>
        <w:rPr>
          <w:rStyle w:val="VerbatimChar"/>
        </w:rPr>
        <w:t xml:space="preserve">## boundary (singular) fit: see help('isSingular')</w:t>
      </w:r>
    </w:p>
    <w:bookmarkStart w:id="34" w:name="X4d75bf29afdb3f3059f51b0f64a8b52a72d0286"/>
    <w:p>
      <w:pPr>
        <w:pStyle w:val="Heading4"/>
      </w:pPr>
      <w:r>
        <w:t xml:space="preserve">Results for main effect of temperature on fitness</w:t>
      </w:r>
    </w:p>
    <w:p>
      <w:pPr>
        <w:pStyle w:val="SourceCode"/>
      </w:pPr>
      <w:r>
        <w:rPr>
          <w:rStyle w:val="VerbatimChar"/>
        </w:rPr>
        <w:t xml:space="preserve">## Analysis of Variance Table</w:t>
      </w:r>
      <w:r>
        <w:br/>
      </w:r>
      <w:r>
        <w:rPr>
          <w:rStyle w:val="VerbatimChar"/>
        </w:rPr>
        <w:t xml:space="preserve">##                npar   Sum Sq  Mean Sq F value</w:t>
      </w:r>
      <w:r>
        <w:br/>
      </w:r>
      <w:r>
        <w:rPr>
          <w:rStyle w:val="VerbatimChar"/>
        </w:rPr>
        <w:t xml:space="preserve">## Temp.treatment    2 0.005714 0.002857  51.524</w:t>
      </w:r>
    </w:p>
    <w:bookmarkEnd w:id="34"/>
    <w:bookmarkStart w:id="35" w:name="X53817cbb6ef02a996f6d19ca7b263e01bc0de5d"/>
    <w:p>
      <w:pPr>
        <w:pStyle w:val="Heading4"/>
      </w:pPr>
      <w:r>
        <w:t xml:space="preserve">Post-hoc pairwise contrasts: differences in fitness between temperature treatments</w:t>
      </w:r>
    </w:p>
    <w:p>
      <w:pPr>
        <w:pStyle w:val="SourceCode"/>
      </w:pPr>
      <w:r>
        <w:rPr>
          <w:rStyle w:val="VerbatimChar"/>
        </w:rPr>
        <w:t xml:space="preserve">##  contrast   estimate      SE df lower.CL upper.CL t.ratio p.value</w:t>
      </w:r>
      <w:r>
        <w:br/>
      </w:r>
      <w:r>
        <w:rPr>
          <w:rStyle w:val="VerbatimChar"/>
        </w:rPr>
        <w:t xml:space="preserve">##  opt - high   0.0208 0.00471 12   0.0106   0.0311   4.422  0.0008</w:t>
      </w:r>
      <w:r>
        <w:br/>
      </w:r>
      <w:r>
        <w:rPr>
          <w:rStyle w:val="VerbatimChar"/>
        </w:rPr>
        <w:t xml:space="preserve">##  opt - low    0.0477 0.00471 12   0.0374   0.0579  10.124  &lt;.0001</w:t>
      </w:r>
      <w:r>
        <w:br/>
      </w:r>
      <w:r>
        <w:rPr>
          <w:rStyle w:val="VerbatimChar"/>
        </w:rPr>
        <w:t xml:space="preserve">##  high - low   0.0269 0.00471 12   0.0166   0.0371   5.703  0.0001</w:t>
      </w:r>
      <w:r>
        <w:br/>
      </w:r>
      <w:r>
        <w:rPr>
          <w:rStyle w:val="VerbatimChar"/>
        </w:rPr>
        <w:t xml:space="preserve">## </w:t>
      </w:r>
      <w:r>
        <w:br/>
      </w:r>
      <w:r>
        <w:rPr>
          <w:rStyle w:val="VerbatimChar"/>
        </w:rPr>
        <w:t xml:space="preserve">## Degrees-of-freedom method: inherited from kenward-roger when re-gridding </w:t>
      </w:r>
      <w:r>
        <w:br/>
      </w:r>
      <w:r>
        <w:rPr>
          <w:rStyle w:val="VerbatimChar"/>
        </w:rPr>
        <w:t xml:space="preserve">## Confidence level used: 0.95</w:t>
      </w:r>
    </w:p>
    <w:bookmarkEnd w:id="35"/>
    <w:bookmarkEnd w:id="36"/>
    <w:bookmarkStart w:id="42" w:name="Xc2bc564464e47322dbb6405af4d9fe8410e9321"/>
    <w:p>
      <w:pPr>
        <w:pStyle w:val="Heading3"/>
      </w:pPr>
      <w:r>
        <w:t xml:space="preserve">Does dispersal change with temperature (phase 2)?</w:t>
      </w:r>
    </w:p>
    <w:p>
      <w:pPr>
        <w:pStyle w:val="FirstParagraph"/>
      </w:pPr>
      <w:r>
        <w:t xml:space="preserve">To estimate the effect of temperature treatment (a factor) on dispersal, we used a generalized linear mixed model with a binomial error structure and a logit link. Dispersal (the number of dispersers vs non-dispersers) was the response variable. We used the formula:</w:t>
      </w:r>
    </w:p>
    <w:p>
      <w:pPr>
        <w:pStyle w:val="BodyText"/>
      </w:pPr>
      <w:r>
        <w:t xml:space="preserve">cbind(Num.disp, Num.nondisp) ~ Temp.treatment + (1|Replicate)</w:t>
      </w:r>
    </w:p>
    <w:p>
      <w:pPr>
        <w:pStyle w:val="CaptionedFigure"/>
      </w:pPr>
      <w:r>
        <w:drawing>
          <wp:inline>
            <wp:extent cx="4620126" cy="3696101"/>
            <wp:effectExtent b="0" l="0" r="0" t="0"/>
            <wp:docPr descr="Figure 1. Dispersal as a function of temperature treatment. low = 20 C, opt = 36 C, high = 38 C. Error bars represent 95% confidence intervals predicted from GLMM." title="" id="38" name="Picture"/>
            <a:graphic>
              <a:graphicData uri="http://schemas.openxmlformats.org/drawingml/2006/picture">
                <pic:pic>
                  <pic:nvPicPr>
                    <pic:cNvPr descr="/home/peter.kamal/Desktop/dispnet/disp_temp/shared_analysis/DispNet-Temperature-Dependent-Dispersal/Knitted_Markdowns/Tetrahymena_thermophila_ISEM_files/figure-docx/dispersalplot-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Dispersal as a function of temperature treatment. low = 20 C, opt = 36 C, high = 38 C. Error bars represent 95% confidence intervals predicted from GLMM.</w:t>
      </w:r>
    </w:p>
    <w:bookmarkStart w:id="40" w:name="X038a78c22c55ce41eb2ef0a825af4efafa8b65d"/>
    <w:p>
      <w:pPr>
        <w:pStyle w:val="Heading4"/>
      </w:pPr>
      <w:r>
        <w:t xml:space="preserve">Results for main effect of temperature on dispersal</w:t>
      </w:r>
    </w:p>
    <w:p>
      <w:pPr>
        <w:pStyle w:val="SourceCode"/>
      </w:pP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cbind(Num.disp, Num.nondisp) ~ Temp.treatment + (1 | Replicate)</w:t>
      </w:r>
      <w:r>
        <w:br/>
      </w:r>
      <w:r>
        <w:rPr>
          <w:rStyle w:val="VerbatimChar"/>
        </w:rPr>
        <w:t xml:space="preserve">##                npar    AIC    LRT   Pr(Chi)    </w:t>
      </w:r>
      <w:r>
        <w:br/>
      </w:r>
      <w:r>
        <w:rPr>
          <w:rStyle w:val="VerbatimChar"/>
        </w:rPr>
        <w:t xml:space="preserve">## &lt;none&gt;              106.18                     </w:t>
      </w:r>
      <w:r>
        <w:br/>
      </w:r>
      <w:r>
        <w:rPr>
          <w:rStyle w:val="VerbatimChar"/>
        </w:rPr>
        <w:t xml:space="preserve">## Temp.treatment    2 120.25 18.068 0.0001193 ***</w:t>
      </w:r>
      <w:r>
        <w:br/>
      </w:r>
      <w:r>
        <w:rPr>
          <w:rStyle w:val="VerbatimChar"/>
        </w:rPr>
        <w:t xml:space="preserve">## ---</w:t>
      </w:r>
      <w:r>
        <w:br/>
      </w:r>
      <w:r>
        <w:rPr>
          <w:rStyle w:val="VerbatimChar"/>
        </w:rPr>
        <w:t xml:space="preserve">## Signif. codes:  0 '***' 0.001 '**' 0.01 '*' 0.05 '.' 0.1 ' ' 1</w:t>
      </w:r>
    </w:p>
    <w:bookmarkEnd w:id="40"/>
    <w:bookmarkStart w:id="41" w:name="X75a1e093c2c39973dd246c156cd6abc3d612a0d"/>
    <w:p>
      <w:pPr>
        <w:pStyle w:val="Heading4"/>
      </w:pPr>
      <w:r>
        <w:t xml:space="preserve">Post-hoc pairwise contrasts: differences in dispersal between temperature treatments</w:t>
      </w:r>
    </w:p>
    <w:p>
      <w:pPr>
        <w:pStyle w:val="SourceCode"/>
      </w:pPr>
      <w:r>
        <w:rPr>
          <w:rStyle w:val="VerbatimChar"/>
        </w:rPr>
        <w:t xml:space="preserve">##  contrast   odds.ratio    SE  df asymp.LCL asymp.UCL null z.ratio p.value</w:t>
      </w:r>
      <w:r>
        <w:br/>
      </w:r>
      <w:r>
        <w:rPr>
          <w:rStyle w:val="VerbatimChar"/>
        </w:rPr>
        <w:t xml:space="preserve">##  opt / high       1.25 0.240 Inf     0.862      1.82    1   1.186  0.2358</w:t>
      </w:r>
      <w:r>
        <w:br/>
      </w:r>
      <w:r>
        <w:rPr>
          <w:rStyle w:val="VerbatimChar"/>
        </w:rPr>
        <w:t xml:space="preserve">##  opt / low        3.31 1.050 Inf     1.782      6.15    1   3.789  0.0002</w:t>
      </w:r>
      <w:r>
        <w:br/>
      </w:r>
      <w:r>
        <w:rPr>
          <w:rStyle w:val="VerbatimChar"/>
        </w:rPr>
        <w:t xml:space="preserve">##  high / low       2.64 0.844 Inf     1.410      4.94    1   3.034  0.0024</w:t>
      </w:r>
      <w:r>
        <w:br/>
      </w:r>
      <w:r>
        <w:rPr>
          <w:rStyle w:val="VerbatimChar"/>
        </w:rPr>
        <w:t xml:space="preserve">## </w:t>
      </w:r>
      <w:r>
        <w:br/>
      </w:r>
      <w:r>
        <w:rPr>
          <w:rStyle w:val="VerbatimChar"/>
        </w:rPr>
        <w:t xml:space="preserve">## Confidence level used: 0.95 </w:t>
      </w:r>
      <w:r>
        <w:br/>
      </w:r>
      <w:r>
        <w:rPr>
          <w:rStyle w:val="VerbatimChar"/>
        </w:rPr>
        <w:t xml:space="preserve">## Intervals are back-transformed from the log odds ratio scale </w:t>
      </w:r>
      <w:r>
        <w:br/>
      </w:r>
      <w:r>
        <w:rPr>
          <w:rStyle w:val="VerbatimChar"/>
        </w:rPr>
        <w:t xml:space="preserve">## Tests are performed on the log odds ratio scale</w:t>
      </w:r>
    </w:p>
    <w:bookmarkEnd w:id="41"/>
    <w:bookmarkEnd w:id="42"/>
    <w:bookmarkStart w:id="51" w:name="model-diagnostics"/>
    <w:p>
      <w:pPr>
        <w:pStyle w:val="Heading3"/>
      </w:pPr>
      <w:r>
        <w:t xml:space="preserve">Model Diagnostics</w:t>
      </w:r>
    </w:p>
    <w:p>
      <w:pPr>
        <w:pStyle w:val="FirstParagraph"/>
      </w:pPr>
      <w:r>
        <w:t xml:space="preserve">There was no evidence for lack of fit for either the fitness or the dispersal model.</w:t>
      </w:r>
    </w:p>
    <w:bookmarkStart w:id="46" w:name="diagnostic-plots-for-fitness-data"/>
    <w:p>
      <w:pPr>
        <w:pStyle w:val="Heading4"/>
      </w:pPr>
      <w:r>
        <w:t xml:space="preserve">Diagnostic plots for fitness data</w:t>
      </w:r>
    </w:p>
    <w:p>
      <w:pPr>
        <w:pStyle w:val="FirstParagraph"/>
      </w:pPr>
      <w:r>
        <w:drawing>
          <wp:inline>
            <wp:extent cx="5334000" cy="4667250"/>
            <wp:effectExtent b="0" l="0" r="0" t="0"/>
            <wp:docPr descr="" title="" id="44" name="Picture"/>
            <a:graphic>
              <a:graphicData uri="http://schemas.openxmlformats.org/drawingml/2006/picture">
                <pic:pic>
                  <pic:nvPicPr>
                    <pic:cNvPr descr="/home/peter.kamal/Desktop/dispnet/disp_temp/shared_analysis/DispNet-Temperature-Dependent-Dispersal/Knitted_Markdowns/Tetrahymena_thermophila_ISEM_files/figure-docx/modeldiagnosticsfitness-1.png" id="45" name="Picture"/>
                    <pic:cNvPicPr>
                      <a:picLocks noChangeArrowheads="1" noChangeAspect="1"/>
                    </pic:cNvPicPr>
                  </pic:nvPicPr>
                  <pic:blipFill>
                    <a:blip r:embed="rId43"/>
                    <a:stretch>
                      <a:fillRect/>
                    </a:stretch>
                  </pic:blipFill>
                  <pic:spPr bwMode="auto">
                    <a:xfrm>
                      <a:off x="0" y="0"/>
                      <a:ext cx="5334000" cy="4667250"/>
                    </a:xfrm>
                    <a:prstGeom prst="rect">
                      <a:avLst/>
                    </a:prstGeom>
                    <a:noFill/>
                    <a:ln w="9525">
                      <a:noFill/>
                      <a:headEnd/>
                      <a:tailEnd/>
                    </a:ln>
                  </pic:spPr>
                </pic:pic>
              </a:graphicData>
            </a:graphic>
          </wp:inline>
        </w:drawing>
      </w:r>
    </w:p>
    <w:bookmarkEnd w:id="46"/>
    <w:bookmarkStart w:id="50" w:name="diagnostic-plots-for-dispersal-data"/>
    <w:p>
      <w:pPr>
        <w:pStyle w:val="Heading4"/>
      </w:pPr>
      <w:r>
        <w:t xml:space="preserve">Diagnostic plots for dispersal data</w:t>
      </w:r>
    </w:p>
    <w:p>
      <w:pPr>
        <w:pStyle w:val="FirstParagraph"/>
      </w:pPr>
      <w:r>
        <w:drawing>
          <wp:inline>
            <wp:extent cx="5334000" cy="4667250"/>
            <wp:effectExtent b="0" l="0" r="0" t="0"/>
            <wp:docPr descr="" title="" id="48" name="Picture"/>
            <a:graphic>
              <a:graphicData uri="http://schemas.openxmlformats.org/drawingml/2006/picture">
                <pic:pic>
                  <pic:nvPicPr>
                    <pic:cNvPr descr="/home/peter.kamal/Desktop/dispnet/disp_temp/shared_analysis/DispNet-Temperature-Dependent-Dispersal/Knitted_Markdowns/Tetrahymena_thermophila_ISEM_files/figure-docx/modeldiagnosticsdispersal-1.png" id="49" name="Picture"/>
                    <pic:cNvPicPr>
                      <a:picLocks noChangeArrowheads="1" noChangeAspect="1"/>
                    </pic:cNvPicPr>
                  </pic:nvPicPr>
                  <pic:blipFill>
                    <a:blip r:embed="rId47"/>
                    <a:stretch>
                      <a:fillRect/>
                    </a:stretch>
                  </pic:blipFill>
                  <pic:spPr bwMode="auto">
                    <a:xfrm>
                      <a:off x="0" y="0"/>
                      <a:ext cx="5334000" cy="4667250"/>
                    </a:xfrm>
                    <a:prstGeom prst="rect">
                      <a:avLst/>
                    </a:prstGeom>
                    <a:noFill/>
                    <a:ln w="9525">
                      <a:noFill/>
                      <a:headEnd/>
                      <a:tailEnd/>
                    </a:ln>
                  </pic:spPr>
                </pic:pic>
              </a:graphicData>
            </a:graphic>
          </wp:inline>
        </w:drawing>
      </w:r>
    </w:p>
    <w:bookmarkEnd w:id="50"/>
    <w:bookmarkEnd w:id="51"/>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Temperature dependent dispersal: A distributed experiment</dc:title>
  <dc:creator>Peter Kamal &amp; Emanuel A. Fronhofer</dc:creator>
  <cp:keywords/>
  <dcterms:created xsi:type="dcterms:W3CDTF">2025-11-20T15:47:53Z</dcterms:created>
  <dcterms:modified xsi:type="dcterms:W3CDTF">2025-11-20T15:47:53Z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_options">
    <vt:lpwstr/>
  </property>
  <property fmtid="{D5CDD505-2E9C-101B-9397-08002B2CF9AE}" pid="3" name="output">
    <vt:lpwstr>word_document</vt:lpwstr>
  </property>
</Properties>
</file>