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6BBB7">
      <w:pPr>
        <w:pStyle w:val="31"/>
        <w:spacing w:before="160" w:after="80"/>
      </w:pPr>
      <w:r>
        <w:rPr>
          <w:rFonts w:eastAsia="微软雅黑"/>
        </w:rPr>
        <w:t>AXI4 Stream FIR DSP 加速器设计说明书</w:t>
      </w:r>
    </w:p>
    <w:p w14:paraId="4FB35C59">
      <w:r>
        <w:rPr>
          <w:rFonts w:eastAsia="宋体"/>
        </w:rPr>
        <w:t xml:space="preserve">目标器件 EP4CE10F17C8    </w:t>
      </w:r>
    </w:p>
    <w:p w14:paraId="1419F084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本项目实现面向连续采样数据的参数化定点 FIR 加速器。输入与输出采用 AXI4 Stream 握手传输，运算通道由并行乘法器、流水加法树和定点量化单元组成，支持反压、运行时系数更新及可选异步输入。本说明书规定系统架构、接口行为、数值精度、时钟复位和验证要求。</w:t>
      </w:r>
    </w:p>
    <w:p w14:paraId="0AC47E6D">
      <w:pPr>
        <w:pStyle w:val="3"/>
        <w:spacing w:before="160" w:after="80"/>
      </w:pPr>
      <w:r>
        <w:rPr>
          <w:rFonts w:eastAsia="微软雅黑"/>
        </w:rPr>
        <w:t>1 项目概述与技术指标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2289"/>
        <w:gridCol w:w="3607"/>
        <w:gridCol w:w="3607"/>
      </w:tblGrid>
      <w:tr w14:paraId="732A53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89" w:type="dxa"/>
            <w:shd w:val="clear" w:color="auto" w:fill="EDEDED"/>
            <w:vAlign w:val="center"/>
          </w:tcPr>
          <w:p w14:paraId="65C9DC6D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技术要求</w:t>
            </w:r>
          </w:p>
        </w:tc>
        <w:tc>
          <w:tcPr>
            <w:tcW w:w="3607" w:type="dxa"/>
            <w:shd w:val="clear" w:color="auto" w:fill="EDEDED"/>
            <w:vAlign w:val="center"/>
          </w:tcPr>
          <w:p w14:paraId="7D7B1906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设计方案</w:t>
            </w:r>
          </w:p>
        </w:tc>
        <w:tc>
          <w:tcPr>
            <w:tcW w:w="3607" w:type="dxa"/>
            <w:shd w:val="clear" w:color="auto" w:fill="EDEDED"/>
            <w:vAlign w:val="center"/>
          </w:tcPr>
          <w:p w14:paraId="651B258E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验收指标</w:t>
            </w:r>
          </w:p>
        </w:tc>
      </w:tr>
      <w:tr w14:paraId="3CAB8C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289" w:type="dxa"/>
            <w:shd w:val="clear" w:color="auto" w:fill="F8F8F8"/>
            <w:vAlign w:val="center"/>
          </w:tcPr>
          <w:p w14:paraId="122DA1CC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位宽 阶数 系数可配置</w:t>
            </w:r>
          </w:p>
        </w:tc>
        <w:tc>
          <w:tcPr>
            <w:tcW w:w="3607" w:type="dxa"/>
            <w:shd w:val="clear" w:color="auto" w:fill="F8F8F8"/>
            <w:vAlign w:val="center"/>
          </w:tcPr>
          <w:p w14:paraId="0F9033D2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位宽和抽头参数化；运行时影子系数表</w:t>
            </w:r>
          </w:p>
        </w:tc>
        <w:tc>
          <w:tcPr>
            <w:tcW w:w="3607" w:type="dxa"/>
            <w:shd w:val="clear" w:color="auto" w:fill="F8F8F8"/>
            <w:vAlign w:val="center"/>
          </w:tcPr>
          <w:p w14:paraId="6CF8C7CE">
            <w:pPr>
              <w:spacing w:before="40" w:after="40"/>
            </w:pPr>
            <w:r>
              <w:rPr>
                <w:rFonts w:eastAsia="微软雅黑"/>
                <w:b w:val="0"/>
                <w:color w:val="000000"/>
                <w:sz w:val="21"/>
              </w:rPr>
              <w:t>11 组 FIR 参数测试</w:t>
            </w:r>
          </w:p>
        </w:tc>
      </w:tr>
      <w:tr w14:paraId="406ED9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289" w:type="dxa"/>
            <w:vAlign w:val="center"/>
          </w:tcPr>
          <w:p w14:paraId="08D7EF62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有符号定点乘加</w:t>
            </w:r>
          </w:p>
        </w:tc>
        <w:tc>
          <w:tcPr>
            <w:tcW w:w="3607" w:type="dxa"/>
            <w:vAlign w:val="center"/>
          </w:tcPr>
          <w:p w14:paraId="29A472B9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并行有符号乘法；完整精度加法树</w:t>
            </w:r>
          </w:p>
        </w:tc>
        <w:tc>
          <w:tcPr>
            <w:tcW w:w="3607" w:type="dxa"/>
            <w:vAlign w:val="center"/>
          </w:tcPr>
          <w:p w14:paraId="2DBF0F99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Python 整数黄金结果</w:t>
            </w:r>
          </w:p>
        </w:tc>
      </w:tr>
      <w:tr w14:paraId="6806E0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289" w:type="dxa"/>
            <w:shd w:val="clear" w:color="auto" w:fill="F8F8F8"/>
            <w:vAlign w:val="center"/>
          </w:tcPr>
          <w:p w14:paraId="143A193A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AXI 握手和反压</w:t>
            </w:r>
          </w:p>
        </w:tc>
        <w:tc>
          <w:tcPr>
            <w:tcW w:w="3607" w:type="dxa"/>
            <w:shd w:val="clear" w:color="auto" w:fill="F8F8F8"/>
            <w:vAlign w:val="center"/>
          </w:tcPr>
          <w:p w14:paraId="138EB17C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输入 输出 FIFO 与弹性寄存器</w:t>
            </w:r>
          </w:p>
        </w:tc>
        <w:tc>
          <w:tcPr>
            <w:tcW w:w="3607" w:type="dxa"/>
            <w:shd w:val="clear" w:color="auto" w:fill="F8F8F8"/>
            <w:vAlign w:val="center"/>
          </w:tcPr>
          <w:p w14:paraId="4522B6C1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停顿稳定性和连续吞吐断言</w:t>
            </w:r>
          </w:p>
        </w:tc>
      </w:tr>
      <w:tr w14:paraId="3AA80B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289" w:type="dxa"/>
            <w:vAlign w:val="center"/>
          </w:tcPr>
          <w:p w14:paraId="3F940A13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可选 CDC</w:t>
            </w:r>
          </w:p>
        </w:tc>
        <w:tc>
          <w:tcPr>
            <w:tcW w:w="3607" w:type="dxa"/>
            <w:vAlign w:val="center"/>
          </w:tcPr>
          <w:p w14:paraId="6F1A50A7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双时钟 Gray 指针 FIFO</w:t>
            </w:r>
          </w:p>
        </w:tc>
        <w:tc>
          <w:tcPr>
            <w:tcW w:w="3607" w:type="dxa"/>
            <w:vAlign w:val="center"/>
          </w:tcPr>
          <w:p w14:paraId="29B8E98F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快慢源时钟 仿真与 Gray skew 报告</w:t>
            </w:r>
          </w:p>
        </w:tc>
      </w:tr>
      <w:tr w14:paraId="4FA81E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289" w:type="dxa"/>
            <w:shd w:val="clear" w:color="auto" w:fill="F8F8F8"/>
            <w:vAlign w:val="center"/>
          </w:tcPr>
          <w:p w14:paraId="57B81818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舍入 截位 饱和</w:t>
            </w:r>
          </w:p>
        </w:tc>
        <w:tc>
          <w:tcPr>
            <w:tcW w:w="3607" w:type="dxa"/>
            <w:shd w:val="clear" w:color="auto" w:fill="F8F8F8"/>
            <w:vAlign w:val="center"/>
          </w:tcPr>
          <w:p w14:paraId="64DC7E60">
            <w:pPr>
              <w:spacing w:before="40" w:after="40"/>
            </w:pPr>
            <w:r>
              <w:rPr>
                <w:rFonts w:eastAsia="微软雅黑"/>
                <w:b w:val="0"/>
                <w:color w:val="000000"/>
                <w:sz w:val="21"/>
              </w:rPr>
              <w:t>3 种量化模式与饱和 回绕选择</w:t>
            </w:r>
          </w:p>
        </w:tc>
        <w:tc>
          <w:tcPr>
            <w:tcW w:w="3607" w:type="dxa"/>
            <w:shd w:val="clear" w:color="auto" w:fill="F8F8F8"/>
            <w:vAlign w:val="center"/>
          </w:tcPr>
          <w:p w14:paraId="5B3BCCC1">
            <w:pPr>
              <w:spacing w:before="40" w:after="40"/>
            </w:pPr>
            <w:r>
              <w:rPr>
                <w:rFonts w:eastAsia="微软雅黑"/>
                <w:b w:val="0"/>
                <w:color w:val="000000"/>
                <w:sz w:val="21"/>
              </w:rPr>
              <w:t>122880 个穷举比对</w:t>
            </w:r>
          </w:p>
        </w:tc>
      </w:tr>
      <w:tr w14:paraId="5DBCA4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289" w:type="dxa"/>
            <w:vAlign w:val="center"/>
          </w:tcPr>
          <w:p w14:paraId="5E337546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EDA 验证和分析</w:t>
            </w:r>
          </w:p>
        </w:tc>
        <w:tc>
          <w:tcPr>
            <w:tcW w:w="3607" w:type="dxa"/>
            <w:vAlign w:val="center"/>
          </w:tcPr>
          <w:p w14:paraId="771BC06A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ModelSim 功能仿真；Quartus 综合及 STA</w:t>
            </w:r>
          </w:p>
        </w:tc>
        <w:tc>
          <w:tcPr>
            <w:tcW w:w="3607" w:type="dxa"/>
            <w:vAlign w:val="center"/>
          </w:tcPr>
          <w:p w14:paraId="62D11F26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编译成功；规定频率下时序闭合</w:t>
            </w:r>
          </w:p>
        </w:tc>
      </w:tr>
    </w:tbl>
    <w:p w14:paraId="6997D6A3">
      <w:pPr>
        <w:spacing w:before="0" w:after="0" w:line="120" w:lineRule="auto"/>
      </w:pPr>
    </w:p>
    <w:p w14:paraId="78F09A3F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系统由 7 个核心 RTL 模块、板级自检顶层和参考 ROM 组成。验证系统包含 4 个测试平台及独立整数参考模型。单时钟、双时钟输入和板级自检分别对应三个实现配置，使用同一套运算 RTL。</w:t>
      </w:r>
    </w:p>
    <w:p w14:paraId="2C3072AE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目标器件为 Cyclone IV E EP4CE10F17C8。核心性能配置的工作频率为 75 MHz，CDC 源域为 50 MHz，板级自检采用 50 MHz 晶振。设计以数值一致性、协议行为、资源容量及全部时序模型满足约束为验收依据。</w:t>
      </w:r>
    </w:p>
    <w:p w14:paraId="526E77FA">
      <w:r>
        <w:br w:type="page"/>
      </w:r>
    </w:p>
    <w:p w14:paraId="4A811213">
      <w:pPr>
        <w:pStyle w:val="3"/>
        <w:spacing w:before="160" w:after="80"/>
      </w:pPr>
      <w:r>
        <w:rPr>
          <w:rFonts w:eastAsia="微软雅黑"/>
        </w:rPr>
        <w:t>2 总体架构与数值设计</w:t>
      </w:r>
    </w:p>
    <w:p w14:paraId="45200CDC">
      <w:r>
        <w:drawing>
          <wp:inline distT="0" distB="0" distL="114300" distR="114300">
            <wp:extent cx="6217920" cy="225361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8000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输入 FIFO 吸收突发数据，输入寄存器隔离存储读出与乘法路径。每个被 FIR 接收的样本与当前历史样本同时进入各抽头乘法器，乘积在平衡加法树逐级相加。量化后的输出进入 FIFO 和寄存器，从而保持反压期间的 AXI 数据稳定。</w:t>
      </w:r>
    </w:p>
    <w:p w14:paraId="391D6BD2">
      <m:oMathPara>
        <m:oMath>
          <m:r>
            <m:rPr/>
            <m:t>y[n] =</m:t>
          </m:r>
          <m:nary>
            <m:naryPr>
              <m:chr m:val="∑"/>
              <m:limLoc m:val="undOvr"/>
            </m:naryPr>
            <m:sub>
              <m:r>
                <m:rPr/>
                <m:t>k = 0</m:t>
              </m:r>
            </m:sub>
            <m:sup>
              <m:r>
                <m:rPr/>
                <m:t>TAPS − 1</m:t>
              </m:r>
            </m:sup>
            <m:e>
              <m:r>
                <m:rPr/>
                <m:t>c[k] x[n − k]</m:t>
              </m:r>
            </m:e>
          </m:nary>
        </m:oMath>
      </m:oMathPara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3538"/>
        <w:gridCol w:w="1665"/>
        <w:gridCol w:w="4301"/>
      </w:tblGrid>
      <w:tr w14:paraId="46C14D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3538" w:type="dxa"/>
            <w:shd w:val="clear" w:color="auto" w:fill="EDEDED"/>
            <w:vAlign w:val="center"/>
          </w:tcPr>
          <w:p w14:paraId="6E18A4CD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w="1665" w:type="dxa"/>
            <w:shd w:val="clear" w:color="auto" w:fill="EDEDED"/>
            <w:vAlign w:val="center"/>
          </w:tcPr>
          <w:p w14:paraId="41E62707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默认值</w:t>
            </w:r>
          </w:p>
        </w:tc>
        <w:tc>
          <w:tcPr>
            <w:tcW w:w="4301" w:type="dxa"/>
            <w:shd w:val="clear" w:color="auto" w:fill="EDEDED"/>
            <w:vAlign w:val="center"/>
          </w:tcPr>
          <w:p w14:paraId="4BAD1F99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含义</w:t>
            </w:r>
          </w:p>
        </w:tc>
      </w:tr>
      <w:tr w14:paraId="42F0AA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538" w:type="dxa"/>
            <w:shd w:val="clear" w:color="auto" w:fill="F8F8F8"/>
            <w:vAlign w:val="center"/>
          </w:tcPr>
          <w:p w14:paraId="02C9957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DATA_WIDTH COEFF_WIDTH OUT_WIDTH</w:t>
            </w:r>
          </w:p>
        </w:tc>
        <w:tc>
          <w:tcPr>
            <w:tcW w:w="1665" w:type="dxa"/>
            <w:shd w:val="clear" w:color="auto" w:fill="F8F8F8"/>
            <w:vAlign w:val="center"/>
          </w:tcPr>
          <w:p w14:paraId="2415DD3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16 16 16</w:t>
            </w:r>
          </w:p>
        </w:tc>
        <w:tc>
          <w:tcPr>
            <w:tcW w:w="4301" w:type="dxa"/>
            <w:shd w:val="clear" w:color="auto" w:fill="F8F8F8"/>
            <w:vAlign w:val="center"/>
          </w:tcPr>
          <w:p w14:paraId="40EEF2AA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样本 系数 输出有符号位宽</w:t>
            </w:r>
          </w:p>
        </w:tc>
      </w:tr>
      <w:tr w14:paraId="555CF4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538" w:type="dxa"/>
            <w:vAlign w:val="center"/>
          </w:tcPr>
          <w:p w14:paraId="25B93DB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TAPS SHIFT</w:t>
            </w:r>
          </w:p>
        </w:tc>
        <w:tc>
          <w:tcPr>
            <w:tcW w:w="1665" w:type="dxa"/>
            <w:vAlign w:val="center"/>
          </w:tcPr>
          <w:p w14:paraId="7C11761D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8 15</w:t>
            </w:r>
          </w:p>
        </w:tc>
        <w:tc>
          <w:tcPr>
            <w:tcW w:w="4301" w:type="dxa"/>
            <w:vAlign w:val="center"/>
          </w:tcPr>
          <w:p w14:paraId="34029BE4">
            <w:pPr>
              <w:spacing w:before="40" w:after="40"/>
            </w:pPr>
            <w:r>
              <w:rPr>
                <w:rFonts w:eastAsia="微软雅黑"/>
                <w:b w:val="0"/>
                <w:color w:val="000000"/>
                <w:sz w:val="21"/>
              </w:rPr>
              <w:t>8 抽头 7 阶；移除 15 个低位</w:t>
            </w:r>
          </w:p>
        </w:tc>
      </w:tr>
      <w:tr w14:paraId="22A711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538" w:type="dxa"/>
            <w:shd w:val="clear" w:color="auto" w:fill="F8F8F8"/>
            <w:vAlign w:val="center"/>
          </w:tcPr>
          <w:p w14:paraId="000A5EFA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ROUND_MODE SATURATE</w:t>
            </w:r>
          </w:p>
        </w:tc>
        <w:tc>
          <w:tcPr>
            <w:tcW w:w="1665" w:type="dxa"/>
            <w:shd w:val="clear" w:color="auto" w:fill="F8F8F8"/>
            <w:vAlign w:val="center"/>
          </w:tcPr>
          <w:p w14:paraId="2971A341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1 1</w:t>
            </w:r>
          </w:p>
        </w:tc>
        <w:tc>
          <w:tcPr>
            <w:tcW w:w="4301" w:type="dxa"/>
            <w:shd w:val="clear" w:color="auto" w:fill="F8F8F8"/>
            <w:vAlign w:val="center"/>
          </w:tcPr>
          <w:p w14:paraId="65391BEE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中点远离零；溢出饱和</w:t>
            </w:r>
          </w:p>
        </w:tc>
      </w:tr>
      <w:tr w14:paraId="4A47FB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538" w:type="dxa"/>
            <w:vAlign w:val="center"/>
          </w:tcPr>
          <w:p w14:paraId="20D648A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FRAME_RESET USE_ASYNC</w:t>
            </w:r>
          </w:p>
        </w:tc>
        <w:tc>
          <w:tcPr>
            <w:tcW w:w="1665" w:type="dxa"/>
            <w:vAlign w:val="center"/>
          </w:tcPr>
          <w:p w14:paraId="37101597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0 0</w:t>
            </w:r>
          </w:p>
        </w:tc>
        <w:tc>
          <w:tcPr>
            <w:tcW w:w="4301" w:type="dxa"/>
            <w:vAlign w:val="center"/>
          </w:tcPr>
          <w:p w14:paraId="29873A8C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跨包保持历史；默认单时钟</w:t>
            </w:r>
          </w:p>
        </w:tc>
      </w:tr>
      <w:tr w14:paraId="6BEF9E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538" w:type="dxa"/>
            <w:shd w:val="clear" w:color="auto" w:fill="F8F8F8"/>
            <w:vAlign w:val="center"/>
          </w:tcPr>
          <w:p w14:paraId="5F66004F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FIFO_ADDR_WIDTH</w:t>
            </w:r>
          </w:p>
        </w:tc>
        <w:tc>
          <w:tcPr>
            <w:tcW w:w="1665" w:type="dxa"/>
            <w:shd w:val="clear" w:color="auto" w:fill="F8F8F8"/>
            <w:vAlign w:val="center"/>
          </w:tcPr>
          <w:p w14:paraId="30F6250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w="4301" w:type="dxa"/>
            <w:shd w:val="clear" w:color="auto" w:fill="F8F8F8"/>
            <w:vAlign w:val="center"/>
          </w:tcPr>
          <w:p w14:paraId="6B334E52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输入 输出各 16 个存储位置</w:t>
            </w:r>
          </w:p>
        </w:tc>
      </w:tr>
    </w:tbl>
    <w:p w14:paraId="3E8F8B98">
      <w:pPr>
        <w:spacing w:before="0" w:after="0" w:line="120" w:lineRule="auto"/>
      </w:pPr>
    </w:p>
    <w:p w14:paraId="45C45A1E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默认乘积为 32 位，加法树有 3 级，累加器为 35 位。抽头数不是二次幂时补零到最近的二次幂。完整精度累加后才进行舍入和饱和，避免每一级丢失低位。输入若为整数单位，15 个小数位的系数配合 SHIFT 为 15 可保持输出单位。</w:t>
      </w:r>
    </w:p>
    <w:p w14:paraId="35AAF865">
      <w:r>
        <w:br w:type="page"/>
      </w:r>
    </w:p>
    <w:p w14:paraId="438D1074">
      <w:pPr>
        <w:pStyle w:val="3"/>
        <w:spacing w:before="160" w:after="80"/>
      </w:pPr>
      <w:r>
        <w:rPr>
          <w:rFonts w:eastAsia="微软雅黑"/>
        </w:rPr>
        <w:t>3 外部接口与系数更新规格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3746"/>
        <w:gridCol w:w="1526"/>
        <w:gridCol w:w="4232"/>
      </w:tblGrid>
      <w:tr w14:paraId="5A95CF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3746" w:type="dxa"/>
            <w:shd w:val="clear" w:color="auto" w:fill="EDEDED"/>
            <w:vAlign w:val="center"/>
          </w:tcPr>
          <w:p w14:paraId="17C044D2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信号</w:t>
            </w:r>
          </w:p>
        </w:tc>
        <w:tc>
          <w:tcPr>
            <w:tcW w:w="1526" w:type="dxa"/>
            <w:shd w:val="clear" w:color="auto" w:fill="EDEDED"/>
            <w:vAlign w:val="center"/>
          </w:tcPr>
          <w:p w14:paraId="4E3D463F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时钟域</w:t>
            </w:r>
          </w:p>
        </w:tc>
        <w:tc>
          <w:tcPr>
            <w:tcW w:w="4232" w:type="dxa"/>
            <w:shd w:val="clear" w:color="auto" w:fill="EDEDED"/>
            <w:vAlign w:val="center"/>
          </w:tcPr>
          <w:p w14:paraId="1CBC8FE3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协议</w:t>
            </w:r>
          </w:p>
        </w:tc>
      </w:tr>
      <w:tr w14:paraId="5DA3AE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746" w:type="dxa"/>
            <w:shd w:val="clear" w:color="auto" w:fill="F8F8F8"/>
            <w:vAlign w:val="center"/>
          </w:tcPr>
          <w:p w14:paraId="2C30059E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s_axis_tdata tvalid tready tlast</w:t>
            </w:r>
          </w:p>
        </w:tc>
        <w:tc>
          <w:tcPr>
            <w:tcW w:w="1526" w:type="dxa"/>
            <w:shd w:val="clear" w:color="auto" w:fill="F8F8F8"/>
            <w:vAlign w:val="center"/>
          </w:tcPr>
          <w:p w14:paraId="594A5B84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源域 或 aclk</w:t>
            </w:r>
          </w:p>
        </w:tc>
        <w:tc>
          <w:tcPr>
            <w:tcW w:w="4232" w:type="dxa"/>
            <w:shd w:val="clear" w:color="auto" w:fill="F8F8F8"/>
            <w:vAlign w:val="center"/>
          </w:tcPr>
          <w:p w14:paraId="7D50F27B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valid 与 ready 同时为 1 才接收</w:t>
            </w:r>
          </w:p>
        </w:tc>
      </w:tr>
      <w:tr w14:paraId="6ECD2E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746" w:type="dxa"/>
            <w:vAlign w:val="center"/>
          </w:tcPr>
          <w:p w14:paraId="6B363ACC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m_axis_tdata tvalid tready tlast</w:t>
            </w:r>
          </w:p>
        </w:tc>
        <w:tc>
          <w:tcPr>
            <w:tcW w:w="1526" w:type="dxa"/>
            <w:vAlign w:val="center"/>
          </w:tcPr>
          <w:p w14:paraId="20388D2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aclk</w:t>
            </w:r>
          </w:p>
        </w:tc>
        <w:tc>
          <w:tcPr>
            <w:tcW w:w="4232" w:type="dxa"/>
            <w:vAlign w:val="center"/>
          </w:tcPr>
          <w:p w14:paraId="453F2BF3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下游停顿时 valid 与 payload 保持</w:t>
            </w:r>
          </w:p>
        </w:tc>
      </w:tr>
      <w:tr w14:paraId="365B2A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746" w:type="dxa"/>
            <w:shd w:val="clear" w:color="auto" w:fill="F8F8F8"/>
            <w:vAlign w:val="center"/>
          </w:tcPr>
          <w:p w14:paraId="39A37BBA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cfg_we cfg_addr cfg_data</w:t>
            </w:r>
          </w:p>
        </w:tc>
        <w:tc>
          <w:tcPr>
            <w:tcW w:w="1526" w:type="dxa"/>
            <w:shd w:val="clear" w:color="auto" w:fill="F8F8F8"/>
            <w:vAlign w:val="center"/>
          </w:tcPr>
          <w:p w14:paraId="6C473C16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aclk</w:t>
            </w:r>
          </w:p>
        </w:tc>
        <w:tc>
          <w:tcPr>
            <w:tcW w:w="4232" w:type="dxa"/>
            <w:shd w:val="clear" w:color="auto" w:fill="F8F8F8"/>
            <w:vAlign w:val="center"/>
          </w:tcPr>
          <w:p w14:paraId="2CE59AC4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上升沿写影子表；地址范围 0 至 TAPS 减 1</w:t>
            </w:r>
          </w:p>
        </w:tc>
      </w:tr>
      <w:tr w14:paraId="2D60C6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746" w:type="dxa"/>
            <w:vAlign w:val="center"/>
          </w:tcPr>
          <w:p w14:paraId="412DC96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cfg_quiesce cfg_ready</w:t>
            </w:r>
          </w:p>
        </w:tc>
        <w:tc>
          <w:tcPr>
            <w:tcW w:w="1526" w:type="dxa"/>
            <w:vAlign w:val="center"/>
          </w:tcPr>
          <w:p w14:paraId="257DB39B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aclk</w:t>
            </w:r>
          </w:p>
        </w:tc>
        <w:tc>
          <w:tcPr>
            <w:tcW w:w="4232" w:type="dxa"/>
            <w:vAlign w:val="center"/>
          </w:tcPr>
          <w:p w14:paraId="17F9C7C4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停止新输入并等待所有已接收数据排空</w:t>
            </w:r>
          </w:p>
        </w:tc>
      </w:tr>
      <w:tr w14:paraId="627A2D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746" w:type="dxa"/>
            <w:shd w:val="clear" w:color="auto" w:fill="F8F8F8"/>
            <w:vAlign w:val="center"/>
          </w:tcPr>
          <w:p w14:paraId="6D493C7E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cfg_commit cfg_error</w:t>
            </w:r>
          </w:p>
        </w:tc>
        <w:tc>
          <w:tcPr>
            <w:tcW w:w="1526" w:type="dxa"/>
            <w:shd w:val="clear" w:color="auto" w:fill="F8F8F8"/>
            <w:vAlign w:val="center"/>
          </w:tcPr>
          <w:p w14:paraId="68B33213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aclk</w:t>
            </w:r>
          </w:p>
        </w:tc>
        <w:tc>
          <w:tcPr>
            <w:tcW w:w="4232" w:type="dxa"/>
            <w:shd w:val="clear" w:color="auto" w:fill="F8F8F8"/>
            <w:vAlign w:val="center"/>
          </w:tcPr>
          <w:p w14:paraId="58EA1827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合法提交一次完成；错误组合指示</w:t>
            </w:r>
          </w:p>
        </w:tc>
      </w:tr>
      <w:tr w14:paraId="2FBAD2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3746" w:type="dxa"/>
            <w:vAlign w:val="center"/>
          </w:tcPr>
          <w:p w14:paraId="62A8127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aresetn</w:t>
            </w:r>
          </w:p>
        </w:tc>
        <w:tc>
          <w:tcPr>
            <w:tcW w:w="1526" w:type="dxa"/>
            <w:vAlign w:val="center"/>
          </w:tcPr>
          <w:p w14:paraId="096CCB58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共同异步复位</w:t>
            </w:r>
          </w:p>
        </w:tc>
        <w:tc>
          <w:tcPr>
            <w:tcW w:w="4232" w:type="dxa"/>
            <w:vAlign w:val="center"/>
          </w:tcPr>
          <w:p w14:paraId="29DD6845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异步拉低 各域同步释放</w:t>
            </w:r>
          </w:p>
        </w:tc>
      </w:tr>
    </w:tbl>
    <w:p w14:paraId="05F2C219">
      <w:pPr>
        <w:spacing w:before="0" w:after="0" w:line="120" w:lineRule="auto"/>
      </w:pPr>
    </w:p>
    <w:p w14:paraId="12520C67">
      <w:pPr>
        <w:pStyle w:val="4"/>
        <w:spacing w:before="160" w:after="80"/>
      </w:pPr>
      <w:r>
        <w:rPr>
          <w:rFonts w:eastAsia="微软雅黑"/>
        </w:rPr>
        <w:t>数据总线与帧语义</w:t>
      </w:r>
    </w:p>
    <w:p w14:paraId="6ED1621A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AXI TDATA 总线向上补齐到字节宽度，非整字节数值只解释低 DATA_WIDTH 位，输出高位符号扩展。省略 TKEEP 和 TSTRB 表示所有字节有效。TLAST 原样随数据传播，不插入 FIR 尾部补零；FRAME_RESET 为 1 时末样本仍使用本帧历史，但其接收后历史清零。</w:t>
      </w:r>
    </w:p>
    <w:p w14:paraId="4D7C62A7">
      <w:pPr>
        <w:pStyle w:val="4"/>
        <w:spacing w:before="160" w:after="80"/>
      </w:pPr>
      <w:r>
        <w:rPr>
          <w:rFonts w:eastAsia="微软雅黑"/>
        </w:rPr>
        <w:t>配置操作顺序</w:t>
      </w:r>
    </w:p>
    <w:p w14:paraId="7EA071F6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先逐项写 cfg_we、cfg_addr 和 cfg_data，再保持 cfg_quiesce 为 1 并等待 cfg_ready。下游继续拉 ready 排空。提交时 cfg_commit 拉高一拍且 cfg_we 为 0，然后撤销暂停。提交复制完整系数表并清空历史；未改写的影子系数保留原值。</w:t>
      </w:r>
    </w:p>
    <w:p w14:paraId="7E7F4D20">
      <w:pPr>
        <w:pStyle w:val="4"/>
        <w:spacing w:before="160" w:after="80"/>
      </w:pPr>
      <w:r>
        <w:rPr>
          <w:rFonts w:eastAsia="微软雅黑"/>
        </w:rPr>
        <w:t>错误与初始状态</w:t>
      </w:r>
    </w:p>
    <w:p w14:paraId="6C0B1000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复位将两套系数表清零。非法系数地址不写入；未排空的 commit 不生效；同拍 write 与 commit 仅写影子表，提交被拒绝并给出 cfg_error。配置接口为简单同步控制接口，未实现 AXI4 Lite 总线。</w:t>
      </w:r>
    </w:p>
    <w:p w14:paraId="688BD2D3">
      <w:r>
        <w:br w:type="page"/>
      </w:r>
    </w:p>
    <w:p w14:paraId="0C0BBA24">
      <w:pPr>
        <w:pStyle w:val="3"/>
        <w:spacing w:before="160" w:after="80"/>
      </w:pPr>
      <w:r>
        <w:rPr>
          <w:rFonts w:eastAsia="微软雅黑"/>
        </w:rPr>
        <w:t>4 跨时钟复位与时序约束设计</w:t>
      </w:r>
    </w:p>
    <w:p w14:paraId="46436AFD">
      <w:pPr>
        <w:pStyle w:val="4"/>
        <w:spacing w:before="160" w:after="80"/>
      </w:pPr>
      <w:r>
        <w:rPr>
          <w:rFonts w:eastAsia="微软雅黑"/>
        </w:rPr>
        <w:t>跨时钟数据通道</w:t>
      </w:r>
    </w:p>
    <w:p w14:paraId="028C64C0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只有 USE_ASYNC 为 1 时输入 FIFO 使用源时钟写入和核心时钟读出。二进制指针用于寻址，Gray 指针通过两级同步器传递，带额外回绕位实现满空判断。数据存储和指针一起保证读取内容先写入再可见，不将每位 payload 单独同步。</w:t>
      </w:r>
    </w:p>
    <w:p w14:paraId="5FC35A2C">
      <w:pPr>
        <w:pStyle w:val="4"/>
        <w:spacing w:before="160" w:after="80"/>
      </w:pPr>
      <w:r>
        <w:rPr>
          <w:rFonts w:eastAsia="微软雅黑"/>
        </w:rPr>
        <w:t>配置暂停确认</w:t>
      </w:r>
    </w:p>
    <w:p w14:paraId="6EA32E12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暂停请求从核心域同步到源域，源端停止新的握手，再将确认同步回核心域。确认返回后额外等待 3 个核心时钟形成 pause_settled，覆盖最后一次写指针同步与 empty 标志寄存器更新。cfg_ready 同时要求输入 FIFO、输入寄存器、FIR、输出 FIFO 和输出寄存器均空。</w:t>
      </w:r>
    </w:p>
    <w:p w14:paraId="676DC910">
      <w:pPr>
        <w:pStyle w:val="4"/>
        <w:spacing w:before="160" w:after="80"/>
      </w:pPr>
      <w:r>
        <w:rPr>
          <w:rFonts w:eastAsia="微软雅黑"/>
        </w:rPr>
        <w:t>共同复位契约</w:t>
      </w:r>
    </w:p>
    <w:p w14:paraId="596B4FD8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两个域必须共享 aresetn，复位会丢弃未完成数据。复位释放采用两级同步，并要求相关时钟运行。单独复位一个域会破坏 FIFO 指针对应关系，当前设计不支持该操作。RTL 仿真不模拟模拟电路的亚稳态；同步器结构和物理约束降低风险但不能提供形式上的绝对证明。</w:t>
      </w:r>
    </w:p>
    <w:p w14:paraId="6F7A509D">
      <w:pPr>
        <w:pStyle w:val="4"/>
        <w:spacing w:before="160" w:after="80"/>
      </w:pPr>
      <w:r>
        <w:rPr>
          <w:rFonts w:eastAsia="微软雅黑"/>
        </w:rPr>
        <w:t>跨域物理约束</w:t>
      </w:r>
    </w:p>
    <w:p w14:paraId="63BAE24F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Gray 总线的最大 skew 为 10 ns，小于本配置最短发起周期 13.333 ns。指针跨域路径同时设置最大延迟与最小延迟，暂停和确认的第一拍同步器单独设置时序例外。整体异步时钟组切断会屏蔽 Gray 总线检查，因此约束按具体路径分类设置。</w:t>
      </w:r>
    </w:p>
    <w:p w14:paraId="366C5BAD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同步版本仅创建核心时钟。CDC 版本分别创建 13.333 ns 和 20 ns 时钟，所有常规输入 输出设置最大 2 ns、最小 0 ns 外部延迟预算；共同异步复位的外部路径明确切除。该预算用于核心工程验证，接入实际板卡后必须按系统时钟与外设重新计算。</w:t>
      </w:r>
    </w:p>
    <w:p w14:paraId="4A40CDAB">
      <w:r>
        <w:br w:type="page"/>
      </w:r>
    </w:p>
    <w:p w14:paraId="409A4CA0">
      <w:pPr>
        <w:pStyle w:val="3"/>
        <w:spacing w:before="160" w:after="80"/>
      </w:pPr>
      <w:r>
        <w:rPr>
          <w:rFonts w:eastAsia="微软雅黑"/>
        </w:rPr>
        <w:t>5 验证方案与验收指标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1665"/>
        <w:gridCol w:w="4301"/>
        <w:gridCol w:w="3538"/>
      </w:tblGrid>
      <w:tr w14:paraId="15C08C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665" w:type="dxa"/>
            <w:shd w:val="clear" w:color="auto" w:fill="EDEDED"/>
            <w:vAlign w:val="center"/>
          </w:tcPr>
          <w:p w14:paraId="75233A2C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验证层次</w:t>
            </w:r>
          </w:p>
        </w:tc>
        <w:tc>
          <w:tcPr>
            <w:tcW w:w="4301" w:type="dxa"/>
            <w:shd w:val="clear" w:color="auto" w:fill="EDEDED"/>
            <w:vAlign w:val="center"/>
          </w:tcPr>
          <w:p w14:paraId="474FB5B1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覆盖内容</w:t>
            </w:r>
          </w:p>
        </w:tc>
        <w:tc>
          <w:tcPr>
            <w:tcW w:w="3538" w:type="dxa"/>
            <w:shd w:val="clear" w:color="auto" w:fill="EDEDED"/>
            <w:vAlign w:val="center"/>
          </w:tcPr>
          <w:p w14:paraId="05FEA112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通过判据</w:t>
            </w:r>
          </w:p>
        </w:tc>
      </w:tr>
      <w:tr w14:paraId="5103AB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665" w:type="dxa"/>
            <w:shd w:val="clear" w:color="auto" w:fill="F8F8F8"/>
            <w:vAlign w:val="center"/>
          </w:tcPr>
          <w:p w14:paraId="75D5B930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数值 黄金模型</w:t>
            </w:r>
          </w:p>
        </w:tc>
        <w:tc>
          <w:tcPr>
            <w:tcW w:w="4301" w:type="dxa"/>
            <w:shd w:val="clear" w:color="auto" w:fill="F8F8F8"/>
            <w:vAlign w:val="center"/>
          </w:tcPr>
          <w:p w14:paraId="20DAFEFD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冲激 极值 符号交替 常量 随机序列</w:t>
            </w:r>
          </w:p>
        </w:tc>
        <w:tc>
          <w:tcPr>
            <w:tcW w:w="3538" w:type="dxa"/>
            <w:shd w:val="clear" w:color="auto" w:fill="F8F8F8"/>
            <w:vAlign w:val="center"/>
          </w:tcPr>
          <w:p w14:paraId="0B7E8B3C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输出及 TLAST 全部一致</w:t>
            </w:r>
          </w:p>
        </w:tc>
      </w:tr>
      <w:tr w14:paraId="1403FD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665" w:type="dxa"/>
            <w:vAlign w:val="center"/>
          </w:tcPr>
          <w:p w14:paraId="79D1FA27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流协议</w:t>
            </w:r>
          </w:p>
        </w:tc>
        <w:tc>
          <w:tcPr>
            <w:tcW w:w="4301" w:type="dxa"/>
            <w:vAlign w:val="center"/>
          </w:tcPr>
          <w:p w14:paraId="70CDA1D1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连续输入 随机空拍 80 拍长阻塞</w:t>
            </w:r>
          </w:p>
        </w:tc>
        <w:tc>
          <w:tcPr>
            <w:tcW w:w="3538" w:type="dxa"/>
            <w:vAlign w:val="center"/>
          </w:tcPr>
          <w:p w14:paraId="10077652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无丢失 重复 乱序；停顿稳定</w:t>
            </w:r>
          </w:p>
        </w:tc>
      </w:tr>
      <w:tr w14:paraId="2D0F78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665" w:type="dxa"/>
            <w:shd w:val="clear" w:color="auto" w:fill="F8F8F8"/>
            <w:vAlign w:val="center"/>
          </w:tcPr>
          <w:p w14:paraId="0401630F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参数组合</w:t>
            </w:r>
          </w:p>
        </w:tc>
        <w:tc>
          <w:tcPr>
            <w:tcW w:w="4301" w:type="dxa"/>
            <w:shd w:val="clear" w:color="auto" w:fill="F8F8F8"/>
            <w:vAlign w:val="center"/>
          </w:tcPr>
          <w:p w14:paraId="39CB931E">
            <w:pPr>
              <w:spacing w:before="40" w:after="40"/>
            </w:pPr>
            <w:r>
              <w:rPr>
                <w:rFonts w:eastAsia="微软雅黑"/>
                <w:b w:val="0"/>
                <w:color w:val="000000"/>
                <w:sz w:val="21"/>
              </w:rPr>
              <w:t>1 3 5 8 16 抽头 与多种位宽</w:t>
            </w:r>
          </w:p>
        </w:tc>
        <w:tc>
          <w:tcPr>
            <w:tcW w:w="3538" w:type="dxa"/>
            <w:shd w:val="clear" w:color="auto" w:fill="F8F8F8"/>
            <w:vAlign w:val="center"/>
          </w:tcPr>
          <w:p w14:paraId="4C4EBE84">
            <w:pPr>
              <w:spacing w:before="40" w:after="40"/>
            </w:pPr>
            <w:r>
              <w:rPr>
                <w:rFonts w:eastAsia="微软雅黑"/>
                <w:b w:val="0"/>
                <w:color w:val="000000"/>
                <w:sz w:val="21"/>
              </w:rPr>
              <w:t>11 个配置全部 PASS</w:t>
            </w:r>
          </w:p>
        </w:tc>
      </w:tr>
      <w:tr w14:paraId="066A23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665" w:type="dxa"/>
            <w:vAlign w:val="center"/>
          </w:tcPr>
          <w:p w14:paraId="3597367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CDC</w:t>
            </w:r>
          </w:p>
        </w:tc>
        <w:tc>
          <w:tcPr>
            <w:tcW w:w="4301" w:type="dxa"/>
            <w:vAlign w:val="center"/>
          </w:tcPr>
          <w:p w14:paraId="3FC889AC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源时钟比核心快或慢 Gray 指针回绕</w:t>
            </w:r>
          </w:p>
        </w:tc>
        <w:tc>
          <w:tcPr>
            <w:tcW w:w="3538" w:type="dxa"/>
            <w:vAlign w:val="center"/>
          </w:tcPr>
          <w:p w14:paraId="2ABB18AB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指针单比特变化 数据正确</w:t>
            </w:r>
          </w:p>
        </w:tc>
      </w:tr>
      <w:tr w14:paraId="36896D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665" w:type="dxa"/>
            <w:shd w:val="clear" w:color="auto" w:fill="F8F8F8"/>
            <w:vAlign w:val="center"/>
          </w:tcPr>
          <w:p w14:paraId="1B773C3A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复位与配置</w:t>
            </w:r>
          </w:p>
        </w:tc>
        <w:tc>
          <w:tcPr>
            <w:tcW w:w="4301" w:type="dxa"/>
            <w:shd w:val="clear" w:color="auto" w:fill="F8F8F8"/>
            <w:vAlign w:val="center"/>
          </w:tcPr>
          <w:p w14:paraId="3A29D645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满 FIFO 复位 排空暂停 非法提交</w:t>
            </w:r>
          </w:p>
        </w:tc>
        <w:tc>
          <w:tcPr>
            <w:tcW w:w="3538" w:type="dxa"/>
            <w:shd w:val="clear" w:color="auto" w:fill="F8F8F8"/>
            <w:vAlign w:val="center"/>
          </w:tcPr>
          <w:p w14:paraId="46958554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无旧数据残留 错误被拒绝</w:t>
            </w:r>
          </w:p>
        </w:tc>
      </w:tr>
      <w:tr w14:paraId="66BCD0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665" w:type="dxa"/>
            <w:vAlign w:val="center"/>
          </w:tcPr>
          <w:p w14:paraId="6AE15C80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定点量化</w:t>
            </w:r>
          </w:p>
        </w:tc>
        <w:tc>
          <w:tcPr>
            <w:tcW w:w="4301" w:type="dxa"/>
            <w:vAlign w:val="center"/>
          </w:tcPr>
          <w:p w14:paraId="7F7BB18A">
            <w:pPr>
              <w:spacing w:before="40" w:after="40"/>
            </w:pPr>
            <w:r>
              <w:rPr>
                <w:rFonts w:eastAsia="微软雅黑"/>
                <w:b w:val="0"/>
                <w:color w:val="000000"/>
                <w:sz w:val="21"/>
              </w:rPr>
              <w:t>4096 个输入乘 6 种模式乘 5 个 SHIFT</w:t>
            </w:r>
          </w:p>
        </w:tc>
        <w:tc>
          <w:tcPr>
            <w:tcW w:w="3538" w:type="dxa"/>
            <w:vAlign w:val="center"/>
          </w:tcPr>
          <w:p w14:paraId="260BF10A">
            <w:pPr>
              <w:spacing w:before="40" w:after="40"/>
            </w:pPr>
            <w:r>
              <w:rPr>
                <w:rFonts w:eastAsia="微软雅黑"/>
                <w:b w:val="0"/>
                <w:color w:val="000000"/>
                <w:sz w:val="21"/>
              </w:rPr>
              <w:t>122880 项比对无错误</w:t>
            </w:r>
          </w:p>
        </w:tc>
      </w:tr>
      <w:tr w14:paraId="0BA963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665" w:type="dxa"/>
            <w:shd w:val="clear" w:color="auto" w:fill="F8F8F8"/>
            <w:vAlign w:val="center"/>
          </w:tcPr>
          <w:p w14:paraId="2C857061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综合和 STA</w:t>
            </w:r>
          </w:p>
        </w:tc>
        <w:tc>
          <w:tcPr>
            <w:tcW w:w="4301" w:type="dxa"/>
            <w:shd w:val="clear" w:color="auto" w:fill="F8F8F8"/>
            <w:vAlign w:val="center"/>
          </w:tcPr>
          <w:p w14:paraId="6FD6581D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三个 revision 完整编译 全部 PVT 角落</w:t>
            </w:r>
          </w:p>
        </w:tc>
        <w:tc>
          <w:tcPr>
            <w:tcW w:w="3538" w:type="dxa"/>
            <w:shd w:val="clear" w:color="auto" w:fill="F8F8F8"/>
            <w:vAlign w:val="center"/>
          </w:tcPr>
          <w:p w14:paraId="7B92296C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工作时钟下无时序违例</w:t>
            </w:r>
          </w:p>
        </w:tc>
      </w:tr>
    </w:tbl>
    <w:p w14:paraId="1199E601">
      <w:pPr>
        <w:spacing w:before="0" w:after="0" w:line="120" w:lineRule="auto"/>
      </w:pPr>
    </w:p>
    <w:p w14:paraId="67DE33C4">
      <w:pPr>
        <w:pStyle w:val="4"/>
        <w:spacing w:before="160" w:after="80"/>
      </w:pPr>
      <w:r>
        <w:rPr>
          <w:rFonts w:eastAsia="微软雅黑"/>
        </w:rPr>
        <w:t>功能验证方法</w:t>
      </w:r>
    </w:p>
    <w:p w14:paraId="230C19C7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独立参考模型依据输入接收顺序计算结果，输出计分板逐项比较数值和 TLAST，并检查接收数与输出数一致。源端停顿时保持数据，消费者制造随机反压和长阻塞。随机种子固定，确保相同输入可重复生成。</w:t>
      </w:r>
    </w:p>
    <w:p w14:paraId="04B78E80">
      <w:pPr>
        <w:pStyle w:val="4"/>
        <w:spacing w:before="160" w:after="80"/>
      </w:pPr>
      <w:r>
        <w:rPr>
          <w:rFonts w:eastAsia="微软雅黑"/>
        </w:rPr>
        <w:t>实现验证方法</w:t>
      </w:r>
    </w:p>
    <w:p w14:paraId="19CF890A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三个实现配置分别完成综合、布局布线及静态时序分析。验收要求编译成功，工作频率下的 setup、hold、recovery、removal 和脉宽检查通过，常规接口约束完整，跨域约束匹配实际路径。</w:t>
      </w:r>
    </w:p>
    <w:p w14:paraId="0A91E8DD">
      <w:pPr>
        <w:pStyle w:val="4"/>
        <w:spacing w:before="160" w:after="80"/>
      </w:pPr>
      <w:r>
        <w:rPr>
          <w:rFonts w:eastAsia="微软雅黑"/>
        </w:rPr>
        <w:t>结果记录</w:t>
      </w:r>
    </w:p>
    <w:p w14:paraId="2ACD9E1B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仿真日志和 WLF 波形位于 sim/results，综合和时序报告位于 Qproject/reports。summary.json 记录各用例结果，verification_summary.json 汇总比较数量、资源占用和时序指标，用于对应源文件与验证记录。</w:t>
      </w:r>
    </w:p>
    <w:p w14:paraId="3FF1F7A0">
      <w:r>
        <w:br w:type="page"/>
      </w:r>
    </w:p>
    <w:p w14:paraId="62A7BCCC">
      <w:pPr>
        <w:pStyle w:val="3"/>
        <w:spacing w:before="160" w:after="80"/>
      </w:pPr>
      <w:r>
        <w:rPr>
          <w:rFonts w:eastAsia="微软雅黑"/>
        </w:rPr>
        <w:t>6 性能结果与适用范围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2205"/>
        <w:gridCol w:w="1703"/>
        <w:gridCol w:w="912"/>
        <w:gridCol w:w="1140"/>
        <w:gridCol w:w="1901"/>
        <w:gridCol w:w="1642"/>
      </w:tblGrid>
      <w:tr w14:paraId="7BE8CD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2205" w:type="dxa"/>
            <w:shd w:val="clear" w:color="auto" w:fill="EDEDED"/>
            <w:vAlign w:val="center"/>
          </w:tcPr>
          <w:p w14:paraId="26D5CEF6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配置</w:t>
            </w:r>
          </w:p>
        </w:tc>
        <w:tc>
          <w:tcPr>
            <w:tcW w:w="1703" w:type="dxa"/>
            <w:shd w:val="clear" w:color="auto" w:fill="EDEDED"/>
            <w:vAlign w:val="center"/>
          </w:tcPr>
          <w:p w14:paraId="59598DED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核心 Fmax</w:t>
            </w:r>
          </w:p>
        </w:tc>
        <w:tc>
          <w:tcPr>
            <w:tcW w:w="912" w:type="dxa"/>
            <w:shd w:val="clear" w:color="auto" w:fill="EDEDED"/>
            <w:vAlign w:val="center"/>
          </w:tcPr>
          <w:p w14:paraId="54C814F1">
            <w:pPr>
              <w:spacing w:before="40" w:after="40"/>
            </w:pPr>
            <w:r>
              <w:rPr>
                <w:b/>
                <w:color w:val="000000"/>
                <w:sz w:val="21"/>
              </w:rPr>
              <w:t>LE</w:t>
            </w:r>
          </w:p>
        </w:tc>
        <w:tc>
          <w:tcPr>
            <w:tcW w:w="1140" w:type="dxa"/>
            <w:shd w:val="clear" w:color="auto" w:fill="EDEDED"/>
            <w:vAlign w:val="center"/>
          </w:tcPr>
          <w:p w14:paraId="04D99B17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寄存器</w:t>
            </w:r>
          </w:p>
        </w:tc>
        <w:tc>
          <w:tcPr>
            <w:tcW w:w="1901" w:type="dxa"/>
            <w:shd w:val="clear" w:color="auto" w:fill="EDEDED"/>
            <w:vAlign w:val="center"/>
          </w:tcPr>
          <w:p w14:paraId="7078217C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9位乘法资源</w:t>
            </w:r>
          </w:p>
        </w:tc>
        <w:tc>
          <w:tcPr>
            <w:tcW w:w="1642" w:type="dxa"/>
            <w:shd w:val="clear" w:color="auto" w:fill="EDEDED"/>
            <w:vAlign w:val="center"/>
          </w:tcPr>
          <w:p w14:paraId="573C7E09">
            <w:pPr>
              <w:spacing w:before="40" w:after="40"/>
            </w:pPr>
            <w:r>
              <w:rPr>
                <w:b/>
                <w:color w:val="000000"/>
                <w:sz w:val="21"/>
              </w:rPr>
              <w:t>Setup ns</w:t>
            </w:r>
          </w:p>
        </w:tc>
      </w:tr>
      <w:tr w14:paraId="28AE17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205" w:type="dxa"/>
            <w:shd w:val="clear" w:color="auto" w:fill="F8F8F8"/>
            <w:vAlign w:val="center"/>
          </w:tcPr>
          <w:p w14:paraId="1C6A3C79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accelerator</w:t>
            </w:r>
          </w:p>
        </w:tc>
        <w:tc>
          <w:tcPr>
            <w:tcW w:w="1703" w:type="dxa"/>
            <w:shd w:val="clear" w:color="auto" w:fill="F8F8F8"/>
            <w:vAlign w:val="center"/>
          </w:tcPr>
          <w:p w14:paraId="3BC91A9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78.14 MHz</w:t>
            </w:r>
          </w:p>
        </w:tc>
        <w:tc>
          <w:tcPr>
            <w:tcW w:w="912" w:type="dxa"/>
            <w:shd w:val="clear" w:color="auto" w:fill="F8F8F8"/>
            <w:vAlign w:val="center"/>
          </w:tcPr>
          <w:p w14:paraId="68ACC88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1427</w:t>
            </w:r>
          </w:p>
        </w:tc>
        <w:tc>
          <w:tcPr>
            <w:tcW w:w="1140" w:type="dxa"/>
            <w:shd w:val="clear" w:color="auto" w:fill="F8F8F8"/>
            <w:vAlign w:val="center"/>
          </w:tcPr>
          <w:p w14:paraId="0FB5DD9F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1256</w:t>
            </w:r>
          </w:p>
        </w:tc>
        <w:tc>
          <w:tcPr>
            <w:tcW w:w="1901" w:type="dxa"/>
            <w:shd w:val="clear" w:color="auto" w:fill="F8F8F8"/>
            <w:vAlign w:val="center"/>
          </w:tcPr>
          <w:p w14:paraId="640613E0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16</w:t>
            </w:r>
          </w:p>
        </w:tc>
        <w:tc>
          <w:tcPr>
            <w:tcW w:w="1642" w:type="dxa"/>
            <w:shd w:val="clear" w:color="auto" w:fill="F8F8F8"/>
            <w:vAlign w:val="center"/>
          </w:tcPr>
          <w:p w14:paraId="0BC5ED1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0.535</w:t>
            </w:r>
          </w:p>
        </w:tc>
      </w:tr>
      <w:tr w14:paraId="00F701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205" w:type="dxa"/>
            <w:vAlign w:val="center"/>
          </w:tcPr>
          <w:p w14:paraId="20175A11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accelerator_cdc</w:t>
            </w:r>
          </w:p>
        </w:tc>
        <w:tc>
          <w:tcPr>
            <w:tcW w:w="1703" w:type="dxa"/>
            <w:vAlign w:val="center"/>
          </w:tcPr>
          <w:p w14:paraId="75550751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83.31 MHz</w:t>
            </w:r>
          </w:p>
        </w:tc>
        <w:tc>
          <w:tcPr>
            <w:tcW w:w="912" w:type="dxa"/>
            <w:vAlign w:val="center"/>
          </w:tcPr>
          <w:p w14:paraId="5D826547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1466</w:t>
            </w:r>
          </w:p>
        </w:tc>
        <w:tc>
          <w:tcPr>
            <w:tcW w:w="1140" w:type="dxa"/>
            <w:vAlign w:val="center"/>
          </w:tcPr>
          <w:p w14:paraId="0BE6804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1291</w:t>
            </w:r>
          </w:p>
        </w:tc>
        <w:tc>
          <w:tcPr>
            <w:tcW w:w="1901" w:type="dxa"/>
            <w:vAlign w:val="center"/>
          </w:tcPr>
          <w:p w14:paraId="537D6DBF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16</w:t>
            </w:r>
          </w:p>
        </w:tc>
        <w:tc>
          <w:tcPr>
            <w:tcW w:w="1642" w:type="dxa"/>
            <w:vAlign w:val="center"/>
          </w:tcPr>
          <w:p w14:paraId="158E71AC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1.33</w:t>
            </w:r>
          </w:p>
        </w:tc>
      </w:tr>
    </w:tbl>
    <w:p w14:paraId="0B0DE894">
      <w:pPr>
        <w:spacing w:before="0" w:after="0" w:line="120" w:lineRule="auto"/>
      </w:pPr>
    </w:p>
    <w:p w14:paraId="4970BA22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CDC 源时钟 Fmax 为 97.4 MHz。两种配置的工作核心时钟均为约 75 MHz；CDC 源为 50 MHz。完整编译成功，三个温度 电压时序模型均满足约束。no_clock、multiple_clock、no_input_delay 和 no_output_delay 均为 0；未约束路径为 0。</w:t>
      </w:r>
    </w:p>
    <w:p w14:paraId="6DD82719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ModelSim 共 18 项测试通过，FIR 比对 16896 项，量化比对 122880 项。默认同步模式连续输出 260 拍，首个输入到输出握手间隔为 9 个理想核心时钟。Gray skew 20 条报告路径无违例，最差裕量为 9.598 ns。</w:t>
      </w:r>
    </w:p>
    <w:p w14:paraId="3B062937">
      <w:pPr>
        <w:pStyle w:val="4"/>
        <w:spacing w:before="160" w:after="80"/>
      </w:pPr>
      <w:r>
        <w:rPr>
          <w:rFonts w:eastAsia="微软雅黑"/>
        </w:rPr>
        <w:t>频率选择依据</w:t>
      </w:r>
    </w:p>
    <w:p w14:paraId="1CE09D59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初始 100 MHz 约束下 Fmax 为 66.31 MHz，性能限制主要来自 FIFO 读出路径。增加接口寄存器、浅 FIFO 映射为逻辑存储并简化舍入后，同步与 CDC 核心的 100 MHz 实现结果分别为 83.40 MHz 和 87.57 MHz。最终工作频率规定为 75 MHz，并在该约束下重新布局布线，以上表格为最终实现结果。</w:t>
      </w:r>
    </w:p>
    <w:p w14:paraId="12555423">
      <w:pPr>
        <w:pStyle w:val="4"/>
        <w:spacing w:before="160" w:after="80"/>
      </w:pPr>
      <w:r>
        <w:rPr>
          <w:rFonts w:eastAsia="微软雅黑"/>
        </w:rPr>
        <w:t>资源与板级配置</w:t>
      </w:r>
    </w:p>
    <w:p w14:paraId="7A825D3B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两个核心配置均使用 16 个 9 位嵌入乘法元素，占 46 个可用元素的约 35%，对应 8 路 16 位乘法。浅 FIFO 使用逻辑寄存器，M9K 存储位使用量为零。核心配置用于性能评估，外部 AXI 管脚自动分配；板级运行采用已绑定晶振、复位和 LED 的 board_selftest 配置。</w:t>
      </w:r>
    </w:p>
    <w:p w14:paraId="3D9C4CE5">
      <w:pPr>
        <w:pStyle w:val="4"/>
        <w:spacing w:before="160" w:after="80"/>
      </w:pPr>
      <w:r>
        <w:rPr>
          <w:rFonts w:eastAsia="微软雅黑"/>
        </w:rPr>
        <w:t>适用范围</w:t>
      </w:r>
    </w:p>
    <w:p w14:paraId="1C5F10ED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当前数据通道支持规定范围内的参数化结构及固定总线精度。修改位宽、抽头、FIFO 深度或外部接口后，应重新进行功能与时序验证。50 MHz 单时钟板级自检和复位重测已通过；异步 CDC 的验收范围为仿真、同步器结构和物理约束，不包含双时钟实物试验。</w:t>
      </w:r>
    </w:p>
    <w:p w14:paraId="4E60E4EC">
      <w:r>
        <w:br w:type="page"/>
      </w:r>
    </w:p>
    <w:p w14:paraId="261B78FC">
      <w:pPr>
        <w:pStyle w:val="3"/>
        <w:spacing w:before="160" w:after="80"/>
      </w:pPr>
      <w:r>
        <w:rPr>
          <w:rFonts w:eastAsia="微软雅黑"/>
        </w:rPr>
        <w:t>7 板级自检设计与实测结果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1734"/>
        <w:gridCol w:w="902"/>
        <w:gridCol w:w="1249"/>
        <w:gridCol w:w="5619"/>
      </w:tblGrid>
      <w:tr w14:paraId="0E3566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734" w:type="dxa"/>
            <w:shd w:val="clear" w:color="auto" w:fill="EDEDED"/>
            <w:vAlign w:val="center"/>
          </w:tcPr>
          <w:p w14:paraId="2D601226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w="902" w:type="dxa"/>
            <w:shd w:val="clear" w:color="auto" w:fill="EDEDED"/>
            <w:vAlign w:val="center"/>
          </w:tcPr>
          <w:p w14:paraId="1D2C1AAA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管脚</w:t>
            </w:r>
          </w:p>
        </w:tc>
        <w:tc>
          <w:tcPr>
            <w:tcW w:w="1249" w:type="dxa"/>
            <w:shd w:val="clear" w:color="auto" w:fill="EDEDED"/>
            <w:vAlign w:val="center"/>
          </w:tcPr>
          <w:p w14:paraId="16E75CBA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板上标识</w:t>
            </w:r>
          </w:p>
        </w:tc>
        <w:tc>
          <w:tcPr>
            <w:tcW w:w="5619" w:type="dxa"/>
            <w:shd w:val="clear" w:color="auto" w:fill="EDEDED"/>
            <w:vAlign w:val="center"/>
          </w:tcPr>
          <w:p w14:paraId="5E783DEB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功能</w:t>
            </w:r>
          </w:p>
        </w:tc>
      </w:tr>
      <w:tr w14:paraId="256FE4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shd w:val="clear" w:color="auto" w:fill="F8F8F8"/>
            <w:vAlign w:val="center"/>
          </w:tcPr>
          <w:p w14:paraId="6CA87857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sys_clk</w:t>
            </w:r>
          </w:p>
        </w:tc>
        <w:tc>
          <w:tcPr>
            <w:tcW w:w="902" w:type="dxa"/>
            <w:shd w:val="clear" w:color="auto" w:fill="F8F8F8"/>
            <w:vAlign w:val="center"/>
          </w:tcPr>
          <w:p w14:paraId="1E1EADF6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E1</w:t>
            </w:r>
          </w:p>
        </w:tc>
        <w:tc>
          <w:tcPr>
            <w:tcW w:w="1249" w:type="dxa"/>
            <w:shd w:val="clear" w:color="auto" w:fill="F8F8F8"/>
            <w:vAlign w:val="center"/>
          </w:tcPr>
          <w:p w14:paraId="28CDB907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晶振</w:t>
            </w:r>
          </w:p>
        </w:tc>
        <w:tc>
          <w:tcPr>
            <w:tcW w:w="5619" w:type="dxa"/>
            <w:shd w:val="clear" w:color="auto" w:fill="F8F8F8"/>
            <w:vAlign w:val="center"/>
          </w:tcPr>
          <w:p w14:paraId="6D4D0555">
            <w:pPr>
              <w:spacing w:before="40" w:after="40"/>
            </w:pPr>
            <w:r>
              <w:rPr>
                <w:rFonts w:eastAsia="微软雅黑"/>
                <w:b w:val="0"/>
                <w:color w:val="000000"/>
                <w:sz w:val="21"/>
              </w:rPr>
              <w:t>50 MHz 时钟</w:t>
            </w:r>
          </w:p>
        </w:tc>
      </w:tr>
      <w:tr w14:paraId="329C0C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vAlign w:val="center"/>
          </w:tcPr>
          <w:p w14:paraId="11B1FDF7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sys_rst_n</w:t>
            </w:r>
          </w:p>
        </w:tc>
        <w:tc>
          <w:tcPr>
            <w:tcW w:w="902" w:type="dxa"/>
            <w:vAlign w:val="center"/>
          </w:tcPr>
          <w:p w14:paraId="2328AA5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M15</w:t>
            </w:r>
          </w:p>
        </w:tc>
        <w:tc>
          <w:tcPr>
            <w:tcW w:w="1249" w:type="dxa"/>
            <w:vAlign w:val="center"/>
          </w:tcPr>
          <w:p w14:paraId="26A10D00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RESET</w:t>
            </w:r>
          </w:p>
        </w:tc>
        <w:tc>
          <w:tcPr>
            <w:tcW w:w="5619" w:type="dxa"/>
            <w:vAlign w:val="center"/>
          </w:tcPr>
          <w:p w14:paraId="039B817F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低电平复位</w:t>
            </w:r>
          </w:p>
        </w:tc>
      </w:tr>
      <w:tr w14:paraId="726E38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shd w:val="clear" w:color="auto" w:fill="F8F8F8"/>
            <w:vAlign w:val="center"/>
          </w:tcPr>
          <w:p w14:paraId="56D47C8A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led[0]</w:t>
            </w:r>
          </w:p>
        </w:tc>
        <w:tc>
          <w:tcPr>
            <w:tcW w:w="902" w:type="dxa"/>
            <w:shd w:val="clear" w:color="auto" w:fill="F8F8F8"/>
            <w:vAlign w:val="center"/>
          </w:tcPr>
          <w:p w14:paraId="479D709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L7</w:t>
            </w:r>
          </w:p>
        </w:tc>
        <w:tc>
          <w:tcPr>
            <w:tcW w:w="1249" w:type="dxa"/>
            <w:shd w:val="clear" w:color="auto" w:fill="F8F8F8"/>
            <w:vAlign w:val="center"/>
          </w:tcPr>
          <w:p w14:paraId="11903FDC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D6</w:t>
            </w:r>
          </w:p>
        </w:tc>
        <w:tc>
          <w:tcPr>
            <w:tcW w:w="5619" w:type="dxa"/>
            <w:shd w:val="clear" w:color="auto" w:fill="F8F8F8"/>
            <w:vAlign w:val="center"/>
          </w:tcPr>
          <w:p w14:paraId="7021B019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时钟心跳</w:t>
            </w:r>
          </w:p>
        </w:tc>
      </w:tr>
      <w:tr w14:paraId="75FA09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vAlign w:val="center"/>
          </w:tcPr>
          <w:p w14:paraId="6C63B0FD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led[1]</w:t>
            </w:r>
          </w:p>
        </w:tc>
        <w:tc>
          <w:tcPr>
            <w:tcW w:w="902" w:type="dxa"/>
            <w:vAlign w:val="center"/>
          </w:tcPr>
          <w:p w14:paraId="2C1230CC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M6</w:t>
            </w:r>
          </w:p>
        </w:tc>
        <w:tc>
          <w:tcPr>
            <w:tcW w:w="1249" w:type="dxa"/>
            <w:vAlign w:val="center"/>
          </w:tcPr>
          <w:p w14:paraId="0D17B5B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D7</w:t>
            </w:r>
          </w:p>
        </w:tc>
        <w:tc>
          <w:tcPr>
            <w:tcW w:w="5619" w:type="dxa"/>
            <w:vAlign w:val="center"/>
          </w:tcPr>
          <w:p w14:paraId="709A688D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自检通过 PASS</w:t>
            </w:r>
          </w:p>
        </w:tc>
      </w:tr>
      <w:tr w14:paraId="290186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shd w:val="clear" w:color="auto" w:fill="F8F8F8"/>
            <w:vAlign w:val="center"/>
          </w:tcPr>
          <w:p w14:paraId="0D12D19D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led[2]</w:t>
            </w:r>
          </w:p>
        </w:tc>
        <w:tc>
          <w:tcPr>
            <w:tcW w:w="902" w:type="dxa"/>
            <w:shd w:val="clear" w:color="auto" w:fill="F8F8F8"/>
            <w:vAlign w:val="center"/>
          </w:tcPr>
          <w:p w14:paraId="4DAAC4E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P3</w:t>
            </w:r>
          </w:p>
        </w:tc>
        <w:tc>
          <w:tcPr>
            <w:tcW w:w="1249" w:type="dxa"/>
            <w:shd w:val="clear" w:color="auto" w:fill="F8F8F8"/>
            <w:vAlign w:val="center"/>
          </w:tcPr>
          <w:p w14:paraId="411D2F19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D8</w:t>
            </w:r>
          </w:p>
        </w:tc>
        <w:tc>
          <w:tcPr>
            <w:tcW w:w="5619" w:type="dxa"/>
            <w:shd w:val="clear" w:color="auto" w:fill="F8F8F8"/>
            <w:vAlign w:val="center"/>
          </w:tcPr>
          <w:p w14:paraId="18EEB51E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自检失败 FAIL</w:t>
            </w:r>
          </w:p>
        </w:tc>
      </w:tr>
      <w:tr w14:paraId="4592C9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vAlign w:val="center"/>
          </w:tcPr>
          <w:p w14:paraId="092D30DE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led[3]</w:t>
            </w:r>
          </w:p>
        </w:tc>
        <w:tc>
          <w:tcPr>
            <w:tcW w:w="902" w:type="dxa"/>
            <w:vAlign w:val="center"/>
          </w:tcPr>
          <w:p w14:paraId="6DDA0E4A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N3</w:t>
            </w:r>
          </w:p>
        </w:tc>
        <w:tc>
          <w:tcPr>
            <w:tcW w:w="1249" w:type="dxa"/>
            <w:vAlign w:val="center"/>
          </w:tcPr>
          <w:p w14:paraId="079D1EB9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D9</w:t>
            </w:r>
          </w:p>
        </w:tc>
        <w:tc>
          <w:tcPr>
            <w:tcW w:w="5619" w:type="dxa"/>
            <w:vAlign w:val="center"/>
          </w:tcPr>
          <w:p w14:paraId="545BFE31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运行状态 RUN</w:t>
            </w:r>
          </w:p>
        </w:tc>
      </w:tr>
    </w:tbl>
    <w:p w14:paraId="3A5F1916">
      <w:pPr>
        <w:spacing w:before="0" w:after="0" w:line="120" w:lineRule="auto"/>
      </w:pPr>
    </w:p>
    <w:p w14:paraId="327C4184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以上六个管脚使用 3.3 V LVTTL；LED 低电平点亮，输出驱动配置为 4 mA。未使用的普通用户引脚在拟合报告中为输入三态带弱上拉。绑定放在 Qproject/board_pins.qsf，板级 revision 为 board_selftest。</w:t>
      </w:r>
    </w:p>
    <w:p w14:paraId="53FA7D3B">
      <w:pPr>
        <w:pStyle w:val="4"/>
        <w:spacing w:before="160" w:after="80"/>
      </w:pPr>
      <w:r>
        <w:rPr>
          <w:rFonts w:eastAsia="微软雅黑"/>
        </w:rPr>
        <w:t>自检控制与比较</w:t>
      </w:r>
    </w:p>
    <w:p w14:paraId="421EF3AF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配置后通过上电计数产生初始化复位，控制状态依次为 BOOT、PAUSE、WRITE、COMMIT、RELEASE、RUN、DRAIN 和 DONE。四套 8 抽头系数各处理 64 个样本，共比较 256 项数值及 TLAST，包含极值、舍入、饱和和随机数据。接收端主动制造长短反压，源端和比较端分别按发送、接收计数寻址 ROM。错误或每组 1 秒超时均锁存 FAIL，全部比较完成且无错误才输出 PASS。</w:t>
      </w:r>
    </w:p>
    <w:p w14:paraId="7D72F520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板级配置在全部时序模型下满足 50 MHz 工作约束，报告 Fmax 为 69.76 MHz，使用 1846 个 LE。自检测试平台两次运行共完成 512 项结果比较，另覆盖心跳和故障注入后的 FAIL 锁存。板级版本采用单时钟，CDC 由独立配置验证。</w:t>
      </w:r>
    </w:p>
    <w:p w14:paraId="40C4E2B0">
      <w:pPr>
        <w:pStyle w:val="4"/>
        <w:spacing w:before="160" w:after="80"/>
      </w:pPr>
      <w:r>
        <w:rPr>
          <w:rFonts w:eastAsia="微软雅黑"/>
        </w:rPr>
        <w:t>实物验证记录</w:t>
      </w:r>
    </w:p>
    <w:p w14:paraId="72E78CD5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hint="eastAsia" w:eastAsia="宋体"/>
          <w:lang w:val="en-US" w:eastAsia="zh-CN"/>
        </w:rPr>
        <w:t>测试时</w:t>
      </w:r>
      <w:r>
        <w:rPr>
          <w:rFonts w:eastAsia="宋体"/>
        </w:rPr>
        <w:t>记录方式为现场人工观察。运行结果为 D6 持续闪烁、D7 常亮、D8 和 D9 熄灭。按住 RESET 时 D6、D7 熄灭，释放后恢复心跳闪烁和 PASS 常亮，其余用户灯保持熄灭。该结果表明 50 MHz 单时钟自检与复位重测通过。</w:t>
      </w:r>
    </w:p>
    <w:p w14:paraId="30C1445C">
      <w:pPr>
        <w:pStyle w:val="4"/>
        <w:spacing w:before="160" w:after="80"/>
      </w:pPr>
      <w:r>
        <w:rPr>
          <w:rFonts w:eastAsia="微软雅黑"/>
        </w:rPr>
        <w:t>配置文件与硬件依据</w:t>
      </w:r>
      <w:bookmarkStart w:id="0" w:name="_GoBack"/>
      <w:bookmarkEnd w:id="0"/>
    </w:p>
    <w:p w14:paraId="23F7ED2A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板级下载文件为 Qproject/output_files_board/board_selftest.sof，采用 USB Blaster 和 JTAG 临时配置，掉电后配置丢失。管脚依据征途引脚绑定映射表 Sheet1 第 3、71、79 至 82 行，以及征途 Pro 开发板硬件规格书 V1.0.1；Pro 手册第 21 页给出用户 LED D6 至 D9 与四路 LED 信号的关系。</w:t>
      </w:r>
    </w:p>
    <w:sectPr>
      <w:footerReference r:id="rId5" w:type="default"/>
      <w:pgSz w:w="11905" w:h="16838"/>
      <w:pgMar w:top="1008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1A04F">
    <w:pPr>
      <w:pStyle w:val="24"/>
      <w:jc w:val="center"/>
    </w:pPr>
    <w:r>
      <w:rPr>
        <w:rFonts w:eastAsia="宋体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713C09"/>
    <w:rsid w:val="558A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cstheme="minorBidi" w:eastAsia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69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60"/>
      <w:outlineLvl w:val="0"/>
    </w:pPr>
    <w:rPr>
      <w:rFonts w:asciiTheme="majorHAnsi" w:hAnsiTheme="majorHAnsi" w:cstheme="majorBidi" w:eastAsia="微软雅黑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cstheme="majorBidi" w:eastAsia="微软雅黑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cstheme="majorBidi" w:eastAsia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cstheme="majorBidi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cstheme="majorBidi" w:eastAsia="微软雅黑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cstheme="majorBidi" w:eastAsia="微软雅黑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cstheme="majorBidi" w:eastAsia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cstheme="majorBidi" w:eastAsia="微软雅黑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cstheme="majorBidi" w:eastAsia="微软雅黑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eastAsia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cstheme="majorBidi" w:eastAsia="微软雅黑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spacing w:before="240" w:after="160" w:line="240" w:lineRule="auto"/>
      <w:contextualSpacing/>
    </w:pPr>
    <w:rPr>
      <w:rFonts w:asciiTheme="majorHAnsi" w:hAnsiTheme="majorHAnsi" w:cstheme="majorBidi" w:eastAsia="微软雅黑"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rPr>
      <w:rFonts w:eastAsia="宋体"/>
    </w:r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rPr>
      <w:rFonts w:eastAsia="宋体"/>
    </w:r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rPr>
      <w:rFonts w:eastAsia="宋体"/>
    </w:r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rPr>
      <w:rFonts w:eastAsia="宋体"/>
    </w:r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rPr>
      <w:rFonts w:eastAsia="宋体"/>
    </w:r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rPr>
      <w:rFonts w:eastAsia="宋体"/>
    </w:r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rPr>
      <w:rFonts w:eastAsia="宋体"/>
    </w:r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rPr>
      <w:rFonts w:eastAsia="宋体"/>
    </w:r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rPr>
      <w:rFonts w:eastAsia="宋体"/>
    </w:r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rPr>
      <w:rFonts w:eastAsia="宋体"/>
    </w:r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rPr>
      <w:rFonts w:eastAsia="宋体"/>
    </w:r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rPr>
      <w:rFonts w:eastAsia="宋体"/>
    </w:r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rPr>
      <w:rFonts w:eastAsia="宋体"/>
    </w:r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rPr>
      <w:rFonts w:eastAsia="宋体"/>
    </w:r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rPr>
      <w:rFonts w:eastAsia="宋体"/>
    </w:r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rPr>
      <w:rFonts w:eastAsia="宋体"/>
    </w:r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/>
    </w:r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/>
    </w:r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/>
    </w:r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/>
    </w:r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/>
    </w:r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rPr>
      <w:rFonts w:eastAsia="宋体"/>
    </w:r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rPr>
      <w:rFonts w:eastAsia="宋体"/>
    </w:r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rPr>
      <w:rFonts w:eastAsia="宋体"/>
    </w:r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rPr>
      <w:rFonts w:eastAsia="宋体"/>
    </w:r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rPr>
      <w:rFonts w:eastAsia="宋体"/>
    </w:r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rPr>
      <w:rFonts w:eastAsia="宋体"/>
    </w:r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rPr>
      <w:rFonts w:eastAsia="宋体"/>
    </w:r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uiPriority w:val="99"/>
    <w:rPr>
      <w:rFonts w:eastAsia="宋体"/>
    </w:rPr>
  </w:style>
  <w:style w:type="character" w:customStyle="1" w:styleId="136">
    <w:name w:val="Footer Char"/>
    <w:basedOn w:val="132"/>
    <w:link w:val="24"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cstheme="minorBidi" w:eastAsia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cstheme="majorBidi" w:eastAsia="微软雅黑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cstheme="majorBidi" w:eastAsia="微软雅黑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cstheme="majorBidi" w:eastAsia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cstheme="majorBidi" w:eastAsia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cstheme="majorBidi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cstheme="majorBidi" w:eastAsia="微软雅黑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cstheme="majorBidi" w:eastAsia="微软雅黑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cstheme="majorBidi" w:eastAsia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cstheme="majorBidi" w:eastAsia="微软雅黑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cstheme="majorBidi" w:eastAsia="微软雅黑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微软雅黑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3298</Words>
  <Characters>4536</Characters>
  <Lines>0</Lines>
  <Paragraphs>0</Paragraphs>
  <TotalTime>0</TotalTime>
  <ScaleCrop>false</ScaleCrop>
  <LinksUpToDate>false</LinksUpToDate>
  <CharactersWithSpaces>4989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张佳凝</dc:creator>
  <cp:lastModifiedBy>威尔逊必然不是歌手！</cp:lastModifiedBy>
  <dcterms:modified xsi:type="dcterms:W3CDTF">2026-10-13T13:59:01Z</dcterms:modified>
  <dc:subject>参数化 AXI4 Stream 定点 FIR 加速器</dc:subject>
  <dc:title>AXI4 Stream FIR DSP 加速器设计说明书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eyJoZGlkIjoiNGYzZDYyMmU1NzZlYWJmNDYzOGE1ODhhYmI4M2M4YjUiLCJ1c2VySWQiOiIxMTcxMzAxMzI4In0=</vt:lpwstr>
  </property>
  <property fmtid="{D5CDD505-2E9C-101B-9397-08002B2CF9AE}" pid="3" name="KSOProductBuildVer">
    <vt:lpwstr>2052-12.1.0.26895</vt:lpwstr>
  </property>
  <property fmtid="{D5CDD505-2E9C-101B-9397-08002B2CF9AE}" pid="4" name="ICV">
    <vt:lpwstr>0B15B4FD757D4D9E9E6FB9A1588D1FAD_12</vt:lpwstr>
  </property>
</Properties>
</file>