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D273D8">
      <w:pPr>
        <w:pStyle w:val="31"/>
        <w:spacing w:before="160" w:after="80"/>
      </w:pPr>
      <w:r>
        <w:rPr>
          <w:rFonts w:eastAsia="微软雅黑"/>
        </w:rPr>
        <w:t>AXI4 Stream FIR DSP 加速器实现与验证报告</w:t>
      </w:r>
    </w:p>
    <w:p w14:paraId="3E8A7989">
      <w:r>
        <w:rPr>
          <w:rFonts w:eastAsia="宋体"/>
        </w:rPr>
        <w:t xml:space="preserve"> 目标器件 EP4CE10F17C8  </w:t>
      </w:r>
    </w:p>
    <w:p w14:paraId="613C8686">
      <w:pPr>
        <w:keepLines w:val="1"/>
        <w:snapToGrid w:val="0"/>
        <w:spacing w:line="360" w:lineRule="auto" w:before="0" w:after="0"/>
        <w:ind w:firstLineChars="200" w:firstLine="440"/>
      </w:pPr>
      <w:r>
        <w:rPr>
          <w:rFonts w:eastAsia="宋体"/>
        </w:rPr>
        <w:t>本报告说明各 RTL 模块的内部结构、关键控制条件和定点运算实现，给出功能仿真、布局布线及板级自检结果，并记录设计问题和对应的修正措施。系统基于 EP4CE10F17C8，采用并行乘加流水、流接口反压和影子系数原子更新。</w:t>
      </w:r>
    </w:p>
    <w:p w14:paraId="58C6FFCF">
      <w:pPr>
        <w:pStyle w:val="3"/>
        <w:spacing w:before="160" w:after="80"/>
      </w:pPr>
      <w:r>
        <w:rPr>
          <w:rFonts w:eastAsia="微软雅黑"/>
        </w:rPr>
        <w:t>1 模块组成与实现约定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70" w:type="dxa"/>
          <w:left w:w="70" w:type="dxa"/>
          <w:bottom w:w="70" w:type="dxa"/>
          <w:right w:w="70" w:type="dxa"/>
        </w:tblCellMar>
      </w:tblPr>
      <w:tblGrid>
        <w:gridCol w:w="2359"/>
        <w:gridCol w:w="3677"/>
        <w:gridCol w:w="3469"/>
      </w:tblGrid>
      <w:tr w14:paraId="33011AD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0" w:type="dxa"/>
            <w:left w:w="70" w:type="dxa"/>
            <w:bottom w:w="70" w:type="dxa"/>
            <w:right w:w="70" w:type="dxa"/>
          </w:tblCellMar>
        </w:tblPrEx>
        <w:trPr>
          <w:cantSplit/>
          <w:tblHeader/>
          <w:jc w:val="center"/>
        </w:trPr>
        <w:tc>
          <w:tcPr>
            <w:tcW w:w="2359" w:type="dxa"/>
            <w:shd w:val="clear" w:color="auto" w:fill="EDEDED"/>
            <w:vAlign w:val="center"/>
          </w:tcPr>
          <w:p w14:paraId="2B7F26FF">
            <w:pPr>
              <w:spacing w:before="40" w:after="40"/>
            </w:pPr>
            <w:r>
              <w:rPr>
                <w:rFonts w:eastAsia="宋体"/>
                <w:b/>
                <w:color w:val="000000"/>
                <w:sz w:val="21"/>
              </w:rPr>
              <w:t>文件</w:t>
            </w:r>
          </w:p>
        </w:tc>
        <w:tc>
          <w:tcPr>
            <w:tcW w:w="3677" w:type="dxa"/>
            <w:shd w:val="clear" w:color="auto" w:fill="EDEDED"/>
            <w:vAlign w:val="center"/>
          </w:tcPr>
          <w:p w14:paraId="4D14F3BA">
            <w:pPr>
              <w:spacing w:before="40" w:after="40"/>
            </w:pPr>
            <w:r>
              <w:rPr>
                <w:rFonts w:eastAsia="宋体"/>
                <w:b/>
                <w:color w:val="000000"/>
                <w:sz w:val="21"/>
              </w:rPr>
              <w:t>职责</w:t>
            </w:r>
          </w:p>
        </w:tc>
        <w:tc>
          <w:tcPr>
            <w:tcW w:w="3469" w:type="dxa"/>
            <w:shd w:val="clear" w:color="auto" w:fill="EDEDED"/>
            <w:vAlign w:val="center"/>
          </w:tcPr>
          <w:p w14:paraId="50FB4C4B">
            <w:pPr>
              <w:spacing w:before="40" w:after="40"/>
            </w:pPr>
            <w:r>
              <w:rPr>
                <w:rFonts w:eastAsia="宋体"/>
                <w:b/>
                <w:color w:val="000000"/>
                <w:sz w:val="21"/>
              </w:rPr>
              <w:t>主要状态</w:t>
            </w:r>
          </w:p>
        </w:tc>
      </w:tr>
      <w:tr w14:paraId="6B3EA40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0" w:type="dxa"/>
            <w:left w:w="70" w:type="dxa"/>
            <w:bottom w:w="70" w:type="dxa"/>
            <w:right w:w="70" w:type="dxa"/>
          </w:tblCellMar>
        </w:tblPrEx>
        <w:trPr>
          <w:cantSplit/>
          <w:jc w:val="center"/>
        </w:trPr>
        <w:tc>
          <w:tcPr>
            <w:tcW w:w="2359" w:type="dxa"/>
            <w:shd w:val="clear" w:color="auto" w:fill="F8F8F8"/>
            <w:vAlign w:val="center"/>
          </w:tcPr>
          <w:p w14:paraId="2A1EC3A3">
            <w:pPr>
              <w:spacing w:before="40" w:after="40"/>
            </w:pPr>
            <w:r>
              <w:rPr>
                <w:b w:val="0"/>
                <w:color w:val="000000"/>
                <w:sz w:val="21"/>
              </w:rPr>
              <w:t>accelerator.v</w:t>
            </w:r>
          </w:p>
        </w:tc>
        <w:tc>
          <w:tcPr>
            <w:tcW w:w="3677" w:type="dxa"/>
            <w:shd w:val="clear" w:color="auto" w:fill="F8F8F8"/>
            <w:vAlign w:val="center"/>
          </w:tcPr>
          <w:p w14:paraId="0AB9D0D9">
            <w:pPr>
              <w:spacing w:before="40" w:after="40"/>
            </w:pPr>
            <w:r>
              <w:rPr>
                <w:rFonts w:eastAsia="宋体"/>
                <w:b w:val="0"/>
                <w:color w:val="000000"/>
                <w:sz w:val="21"/>
              </w:rPr>
              <w:t>顶层 数据通道与系数排空提交</w:t>
            </w:r>
          </w:p>
        </w:tc>
        <w:tc>
          <w:tcPr>
            <w:tcW w:w="3469" w:type="dxa"/>
            <w:shd w:val="clear" w:color="auto" w:fill="F8F8F8"/>
            <w:vAlign w:val="center"/>
          </w:tcPr>
          <w:p w14:paraId="297E0BB4">
            <w:pPr>
              <w:spacing w:before="40" w:after="40"/>
            </w:pPr>
            <w:r>
              <w:rPr>
                <w:rFonts w:eastAsia="宋体"/>
                <w:b w:val="0"/>
                <w:color w:val="000000"/>
                <w:sz w:val="21"/>
              </w:rPr>
              <w:t>pause_settled 及暂停确认</w:t>
            </w:r>
          </w:p>
        </w:tc>
      </w:tr>
      <w:tr w14:paraId="398AEF0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0" w:type="dxa"/>
            <w:left w:w="70" w:type="dxa"/>
            <w:bottom w:w="70" w:type="dxa"/>
            <w:right w:w="70" w:type="dxa"/>
          </w:tblCellMar>
        </w:tblPrEx>
        <w:trPr>
          <w:cantSplit/>
          <w:jc w:val="center"/>
        </w:trPr>
        <w:tc>
          <w:tcPr>
            <w:tcW w:w="2359" w:type="dxa"/>
            <w:vAlign w:val="center"/>
          </w:tcPr>
          <w:p w14:paraId="727DB542">
            <w:pPr>
              <w:spacing w:before="40" w:after="40"/>
            </w:pPr>
            <w:r>
              <w:rPr>
                <w:b w:val="0"/>
                <w:color w:val="000000"/>
                <w:sz w:val="21"/>
              </w:rPr>
              <w:t>fir_pipeline.v</w:t>
            </w:r>
          </w:p>
        </w:tc>
        <w:tc>
          <w:tcPr>
            <w:tcW w:w="3677" w:type="dxa"/>
            <w:vAlign w:val="center"/>
          </w:tcPr>
          <w:p w14:paraId="2BB869ED">
            <w:pPr>
              <w:spacing w:before="40" w:after="40"/>
            </w:pPr>
            <w:r>
              <w:rPr>
                <w:rFonts w:eastAsia="宋体"/>
                <w:b w:val="0"/>
                <w:color w:val="000000"/>
                <w:sz w:val="21"/>
              </w:rPr>
              <w:t>历史缓存 系数表 并行乘加流水</w:t>
            </w:r>
          </w:p>
        </w:tc>
        <w:tc>
          <w:tcPr>
            <w:tcW w:w="3469" w:type="dxa"/>
            <w:vAlign w:val="center"/>
          </w:tcPr>
          <w:p w14:paraId="4AD07D63">
            <w:pPr>
              <w:spacing w:before="40" w:after="40"/>
            </w:pPr>
            <w:r>
              <w:rPr>
                <w:b w:val="0"/>
                <w:color w:val="000000"/>
                <w:sz w:val="21"/>
              </w:rPr>
              <w:t>active shadow history tree valid_pipe</w:t>
            </w:r>
          </w:p>
        </w:tc>
      </w:tr>
      <w:tr w14:paraId="561E27D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0" w:type="dxa"/>
            <w:left w:w="70" w:type="dxa"/>
            <w:bottom w:w="70" w:type="dxa"/>
            <w:right w:w="70" w:type="dxa"/>
          </w:tblCellMar>
        </w:tblPrEx>
        <w:trPr>
          <w:cantSplit/>
          <w:jc w:val="center"/>
        </w:trPr>
        <w:tc>
          <w:tcPr>
            <w:tcW w:w="2359" w:type="dxa"/>
            <w:shd w:val="clear" w:color="auto" w:fill="F8F8F8"/>
            <w:vAlign w:val="center"/>
          </w:tcPr>
          <w:p w14:paraId="7DD1D507">
            <w:pPr>
              <w:spacing w:before="40" w:after="40"/>
            </w:pPr>
            <w:r>
              <w:rPr>
                <w:b w:val="0"/>
                <w:color w:val="000000"/>
                <w:sz w:val="21"/>
              </w:rPr>
              <w:t>fixed_quantizer.v</w:t>
            </w:r>
          </w:p>
        </w:tc>
        <w:tc>
          <w:tcPr>
            <w:tcW w:w="3677" w:type="dxa"/>
            <w:shd w:val="clear" w:color="auto" w:fill="F8F8F8"/>
            <w:vAlign w:val="center"/>
          </w:tcPr>
          <w:p w14:paraId="09DAB8F6">
            <w:pPr>
              <w:spacing w:before="40" w:after="40"/>
            </w:pPr>
            <w:r>
              <w:rPr>
                <w:rFonts w:eastAsia="宋体"/>
                <w:b w:val="0"/>
                <w:color w:val="000000"/>
                <w:sz w:val="21"/>
              </w:rPr>
              <w:t>舍入 移位 饱和或回绕</w:t>
            </w:r>
          </w:p>
        </w:tc>
        <w:tc>
          <w:tcPr>
            <w:tcW w:w="3469" w:type="dxa"/>
            <w:shd w:val="clear" w:color="auto" w:fill="F8F8F8"/>
            <w:vAlign w:val="center"/>
          </w:tcPr>
          <w:p w14:paraId="1C714881">
            <w:pPr>
              <w:spacing w:before="40" w:after="40"/>
            </w:pPr>
            <w:r>
              <w:rPr>
                <w:rFonts w:eastAsia="宋体"/>
                <w:b w:val="0"/>
                <w:color w:val="000000"/>
                <w:sz w:val="21"/>
              </w:rPr>
              <w:t>纯组合 无内部状态</w:t>
            </w:r>
          </w:p>
        </w:tc>
      </w:tr>
      <w:tr w14:paraId="74FD671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0" w:type="dxa"/>
            <w:left w:w="70" w:type="dxa"/>
            <w:bottom w:w="70" w:type="dxa"/>
            <w:right w:w="70" w:type="dxa"/>
          </w:tblCellMar>
        </w:tblPrEx>
        <w:trPr>
          <w:cantSplit/>
          <w:jc w:val="center"/>
        </w:trPr>
        <w:tc>
          <w:tcPr>
            <w:tcW w:w="2359" w:type="dxa"/>
            <w:vAlign w:val="center"/>
          </w:tcPr>
          <w:p w14:paraId="2ADE2BB5">
            <w:pPr>
              <w:spacing w:before="40" w:after="40"/>
            </w:pPr>
            <w:r>
              <w:rPr>
                <w:b w:val="0"/>
                <w:color w:val="000000"/>
                <w:sz w:val="21"/>
              </w:rPr>
              <w:t>axis_fifo.v</w:t>
            </w:r>
          </w:p>
        </w:tc>
        <w:tc>
          <w:tcPr>
            <w:tcW w:w="3677" w:type="dxa"/>
            <w:vAlign w:val="center"/>
          </w:tcPr>
          <w:p w14:paraId="5FCA2127">
            <w:pPr>
              <w:spacing w:before="40" w:after="40"/>
            </w:pPr>
            <w:r>
              <w:rPr>
                <w:rFonts w:eastAsia="宋体"/>
                <w:b w:val="0"/>
                <w:color w:val="000000"/>
                <w:sz w:val="21"/>
              </w:rPr>
              <w:t>单时钟浅 FIFO</w:t>
            </w:r>
          </w:p>
        </w:tc>
        <w:tc>
          <w:tcPr>
            <w:tcW w:w="3469" w:type="dxa"/>
            <w:vAlign w:val="center"/>
          </w:tcPr>
          <w:p w14:paraId="0331E67F">
            <w:pPr>
              <w:spacing w:before="40" w:after="40"/>
            </w:pPr>
            <w:r>
              <w:rPr>
                <w:b w:val="0"/>
                <w:color w:val="000000"/>
                <w:sz w:val="21"/>
              </w:rPr>
              <w:t>wr_ptr rd_ptr count</w:t>
            </w:r>
          </w:p>
        </w:tc>
      </w:tr>
      <w:tr w14:paraId="4F054A7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0" w:type="dxa"/>
            <w:left w:w="70" w:type="dxa"/>
            <w:bottom w:w="70" w:type="dxa"/>
            <w:right w:w="70" w:type="dxa"/>
          </w:tblCellMar>
        </w:tblPrEx>
        <w:trPr>
          <w:cantSplit/>
          <w:jc w:val="center"/>
        </w:trPr>
        <w:tc>
          <w:tcPr>
            <w:tcW w:w="2359" w:type="dxa"/>
            <w:shd w:val="clear" w:color="auto" w:fill="F8F8F8"/>
            <w:vAlign w:val="center"/>
          </w:tcPr>
          <w:p w14:paraId="160F1849">
            <w:pPr>
              <w:spacing w:before="40" w:after="40"/>
            </w:pPr>
            <w:r>
              <w:rPr>
                <w:b w:val="0"/>
                <w:color w:val="000000"/>
                <w:sz w:val="21"/>
              </w:rPr>
              <w:t>axis_async_fifo.v</w:t>
            </w:r>
          </w:p>
        </w:tc>
        <w:tc>
          <w:tcPr>
            <w:tcW w:w="3677" w:type="dxa"/>
            <w:shd w:val="clear" w:color="auto" w:fill="F8F8F8"/>
            <w:vAlign w:val="center"/>
          </w:tcPr>
          <w:p w14:paraId="69A44F8E">
            <w:pPr>
              <w:spacing w:before="40" w:after="40"/>
            </w:pPr>
            <w:r>
              <w:rPr>
                <w:rFonts w:eastAsia="宋体"/>
                <w:b w:val="0"/>
                <w:color w:val="000000"/>
                <w:sz w:val="21"/>
              </w:rPr>
              <w:t>异步浅 FIFO</w:t>
            </w:r>
          </w:p>
        </w:tc>
        <w:tc>
          <w:tcPr>
            <w:tcW w:w="3469" w:type="dxa"/>
            <w:shd w:val="clear" w:color="auto" w:fill="F8F8F8"/>
            <w:vAlign w:val="center"/>
          </w:tcPr>
          <w:p w14:paraId="1D3FF721">
            <w:pPr>
              <w:spacing w:before="40" w:after="40"/>
            </w:pPr>
            <w:r>
              <w:rPr>
                <w:rFonts w:eastAsia="宋体"/>
                <w:b w:val="0"/>
                <w:color w:val="000000"/>
                <w:sz w:val="21"/>
              </w:rPr>
              <w:t>二进制 Gray 指针 full empty</w:t>
            </w:r>
          </w:p>
        </w:tc>
      </w:tr>
      <w:tr w14:paraId="1E928A5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0" w:type="dxa"/>
            <w:left w:w="70" w:type="dxa"/>
            <w:bottom w:w="70" w:type="dxa"/>
            <w:right w:w="70" w:type="dxa"/>
          </w:tblCellMar>
        </w:tblPrEx>
        <w:trPr>
          <w:cantSplit/>
          <w:jc w:val="center"/>
        </w:trPr>
        <w:tc>
          <w:tcPr>
            <w:tcW w:w="2359" w:type="dxa"/>
            <w:vAlign w:val="center"/>
          </w:tcPr>
          <w:p w14:paraId="399C7C82">
            <w:pPr>
              <w:spacing w:before="40" w:after="40"/>
            </w:pPr>
            <w:r>
              <w:rPr>
                <w:b w:val="0"/>
                <w:color w:val="000000"/>
                <w:sz w:val="21"/>
              </w:rPr>
              <w:t>axis_register.v</w:t>
            </w:r>
          </w:p>
        </w:tc>
        <w:tc>
          <w:tcPr>
            <w:tcW w:w="3677" w:type="dxa"/>
            <w:vAlign w:val="center"/>
          </w:tcPr>
          <w:p w14:paraId="1D3EAADA">
            <w:pPr>
              <w:spacing w:before="40" w:after="40"/>
            </w:pPr>
            <w:r>
              <w:rPr>
                <w:rFonts w:eastAsia="宋体"/>
                <w:b w:val="0"/>
                <w:color w:val="000000"/>
                <w:sz w:val="21"/>
              </w:rPr>
              <w:t>单拍弹性接口寄存器</w:t>
            </w:r>
          </w:p>
        </w:tc>
        <w:tc>
          <w:tcPr>
            <w:tcW w:w="3469" w:type="dxa"/>
            <w:vAlign w:val="center"/>
          </w:tcPr>
          <w:p w14:paraId="2B612B0E">
            <w:pPr>
              <w:spacing w:before="40" w:after="40"/>
            </w:pPr>
            <w:r>
              <w:rPr>
                <w:b w:val="0"/>
                <w:color w:val="000000"/>
                <w:sz w:val="21"/>
              </w:rPr>
              <w:t>payload valid</w:t>
            </w:r>
          </w:p>
        </w:tc>
      </w:tr>
      <w:tr w14:paraId="0910C3E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0" w:type="dxa"/>
            <w:left w:w="70" w:type="dxa"/>
            <w:bottom w:w="70" w:type="dxa"/>
            <w:right w:w="70" w:type="dxa"/>
          </w:tblCellMar>
        </w:tblPrEx>
        <w:trPr>
          <w:cantSplit/>
          <w:jc w:val="center"/>
        </w:trPr>
        <w:tc>
          <w:tcPr>
            <w:tcW w:w="2359" w:type="dxa"/>
            <w:shd w:val="clear" w:color="auto" w:fill="F8F8F8"/>
            <w:vAlign w:val="center"/>
          </w:tcPr>
          <w:p w14:paraId="43B29BF9">
            <w:pPr>
              <w:spacing w:before="40" w:after="40"/>
            </w:pPr>
            <w:r>
              <w:rPr>
                <w:b w:val="0"/>
                <w:color w:val="000000"/>
                <w:sz w:val="21"/>
              </w:rPr>
              <w:t>reset_sync.v</w:t>
            </w:r>
          </w:p>
        </w:tc>
        <w:tc>
          <w:tcPr>
            <w:tcW w:w="3677" w:type="dxa"/>
            <w:shd w:val="clear" w:color="auto" w:fill="F8F8F8"/>
            <w:vAlign w:val="center"/>
          </w:tcPr>
          <w:p w14:paraId="7D57BEE4">
            <w:pPr>
              <w:spacing w:before="40" w:after="40"/>
            </w:pPr>
            <w:r>
              <w:rPr>
                <w:rFonts w:eastAsia="宋体"/>
                <w:b w:val="0"/>
                <w:color w:val="000000"/>
                <w:sz w:val="21"/>
              </w:rPr>
              <w:t>异步复位 同步释放</w:t>
            </w:r>
          </w:p>
        </w:tc>
        <w:tc>
          <w:tcPr>
            <w:tcW w:w="3469" w:type="dxa"/>
            <w:shd w:val="clear" w:color="auto" w:fill="F8F8F8"/>
            <w:vAlign w:val="center"/>
          </w:tcPr>
          <w:p w14:paraId="15FFE96F">
            <w:pPr>
              <w:spacing w:before="40" w:after="40"/>
            </w:pPr>
            <w:r>
              <w:rPr>
                <w:rFonts w:eastAsia="宋体"/>
                <w:b w:val="0"/>
                <w:color w:val="000000"/>
                <w:sz w:val="21"/>
              </w:rPr>
              <w:t>两级 sync_ff</w:t>
            </w:r>
          </w:p>
        </w:tc>
      </w:tr>
    </w:tbl>
    <w:p w14:paraId="7988491E">
      <w:pPr>
        <w:spacing w:before="0" w:after="0" w:line="120" w:lineRule="auto"/>
      </w:pPr>
    </w:p>
    <w:p w14:paraId="0D1186A0">
      <w:pPr>
        <w:keepLines w:val="1"/>
        <w:snapToGrid w:val="0"/>
        <w:spacing w:line="360" w:lineRule="auto" w:before="0" w:after="0"/>
        <w:ind w:firstLineChars="200" w:firstLine="440"/>
      </w:pPr>
      <w:r>
        <w:rPr>
          <w:rFonts w:eastAsia="宋体"/>
        </w:rPr>
        <w:t>可综合核心使用 Verilog 2001，通过局部 clog2 常量函数和一维数组实现参数化结构。RTL 在不启用 SystemVerilog 选项的 ModelSim 编译中通过。测试平台采用 SystemVerilog 支持断言与自检。两个核心配置共享 RTL，通过 USE_ASYNC 选择输入通道。</w:t>
      </w:r>
    </w:p>
    <w:p w14:paraId="65CB15D2">
      <w:pPr>
        <w:keepLines w:val="1"/>
        <w:snapToGrid w:val="0"/>
        <w:spacing w:line="360" w:lineRule="auto" w:before="0" w:after="0"/>
        <w:ind w:firstLineChars="200" w:firstLine="440"/>
      </w:pPr>
      <w:r>
        <w:rPr>
          <w:rFonts w:eastAsia="宋体"/>
        </w:rPr>
        <w:t>tb_accelerator.sv、tb_quantizer.sv、tb_fifo.sv 和 tb_board_selftest.sv 分别验证数据通道、量化、同步缓存及片上自检。golden_model.py 是独立整数参考。board_selftest.v 实现硬件测试控制，board/board_vectors.v 保存激励、参考结果和系数 ROM。</w:t>
      </w:r>
    </w:p>
    <w:p w14:paraId="04C012A0">
      <w:pPr>
        <w:keepLines w:val="1"/>
        <w:snapToGrid w:val="0"/>
        <w:spacing w:line="360" w:lineRule="auto" w:before="0" w:after="0"/>
        <w:ind w:firstLineChars="200" w:firstLine="440"/>
      </w:pPr>
      <w:r>
        <w:rPr>
          <w:rFonts w:eastAsia="宋体"/>
        </w:rPr>
        <w:t xml:space="preserve">参考资料  </w:t>
      </w:r>
      <w:r>
        <w:fldChar w:fldCharType="begin"/>
      </w:r>
      <w:r>
        <w:instrText xml:space="preserve"> HYPERLINK "https://documentation-service.arm.com/static/642583d7314e245d086bc8c9" \h </w:instrText>
      </w:r>
      <w:r>
        <w:fldChar w:fldCharType="separate"/>
      </w:r>
      <w:r>
        <w:rPr>
          <w:rFonts w:eastAsia="宋体"/>
        </w:rPr>
        <w:t>ARM AXI4 Stream 规范</w:t>
      </w:r>
      <w:r>
        <w:fldChar w:fldCharType="end"/>
      </w:r>
      <w:r>
        <w:t xml:space="preserve">  </w:t>
      </w:r>
      <w:r>
        <w:fldChar w:fldCharType="begin"/>
      </w:r>
      <w:r>
        <w:instrText xml:space="preserve"> HYPERLINK "https://docs.altera.com/r/docs/683082/25.1/quartus-prime-pro-edition-user-guide/dual-clock-fifo-timing-constraints" \h </w:instrText>
      </w:r>
      <w:r>
        <w:fldChar w:fldCharType="separate"/>
      </w:r>
      <w:r>
        <w:rPr>
          <w:rFonts w:eastAsia="宋体"/>
        </w:rPr>
        <w:t>Altera 双时钟 FIFO 约束</w:t>
      </w:r>
      <w:r>
        <w:fldChar w:fldCharType="end"/>
      </w:r>
      <w:r>
        <w:rPr>
          <w:rFonts w:eastAsia="宋体"/>
        </w:rPr>
        <w:t xml:space="preserve">  Quartus II 13.0.1 时序分析命令参考</w:t>
      </w:r>
    </w:p>
    <w:p w14:paraId="1CAFAA73">
      <w:r>
        <w:br w:type="page"/>
      </w:r>
    </w:p>
    <w:p w14:paraId="3B663376">
      <w:pPr>
        <w:pStyle w:val="3"/>
        <w:spacing w:before="160" w:after="80"/>
      </w:pPr>
      <w:r>
        <w:rPr>
          <w:rFonts w:eastAsia="微软雅黑"/>
        </w:rPr>
        <w:t>2 FIR 乘加流水线实现</w:t>
      </w:r>
    </w:p>
    <w:p w14:paraId="0CC37519">
      <m:oMathPara>
        <m:oMath>
          <m:r>
            <m:rPr/>
            <m:t>y[n] =</m:t>
          </m:r>
          <m:nary>
            <m:naryPr>
              <m:chr m:val="∑"/>
              <m:limLoc m:val="undOvr"/>
            </m:naryPr>
            <m:sub>
              <m:r>
                <m:rPr/>
                <m:t>k = 0</m:t>
              </m:r>
            </m:sub>
            <m:sup>
              <m:r>
                <m:rPr/>
                <m:t>TAPS − 1</m:t>
              </m:r>
            </m:sup>
            <m:e>
              <m:r>
                <m:rPr/>
                <m:t>c[k] x[n − k]</m:t>
              </m:r>
            </m:e>
          </m:nary>
        </m:oMath>
      </m:oMathPara>
    </w:p>
    <w:p w14:paraId="2C293591">
      <w:pPr>
        <w:pStyle w:val="4"/>
        <w:spacing w:before="160" w:after="80"/>
      </w:pPr>
      <w:r>
        <w:rPr>
          <w:rFonts w:eastAsia="微软雅黑"/>
        </w:rPr>
        <w:t>样本历史更新</w:t>
      </w:r>
    </w:p>
    <w:p w14:paraId="61CA982D">
      <w:pPr>
        <w:keepLines w:val="1"/>
        <w:snapToGrid w:val="0"/>
        <w:spacing w:line="360" w:lineRule="auto" w:before="0" w:after="0"/>
        <w:ind w:firstLineChars="200" w:firstLine="440"/>
      </w:pPr>
      <w:r>
        <w:rPr>
          <w:rFonts w:eastAsia="宋体"/>
        </w:rPr>
        <w:t>history 存放已经被 FIR 接收的历史输入；当前输入用于抽头 0，history[k−1] 用于其余抽头。只有 valid 与 ready 同时成立时更新历史，未被接收的输入与空拍均不影响滤波状态。计算当前乘积和移位历史在同一上升沿使用非阻塞赋值，乘法看到更新前的历史。</w:t>
      </w:r>
    </w:p>
    <w:p w14:paraId="54F729A4">
      <w:pPr>
        <w:pStyle w:val="4"/>
        <w:spacing w:before="160" w:after="80"/>
      </w:pPr>
      <w:r>
        <w:rPr>
          <w:rFonts w:eastAsia="微软雅黑"/>
        </w:rPr>
        <w:t>系数和精度</w:t>
      </w:r>
    </w:p>
    <w:p w14:paraId="0C5DACD3">
      <w:pPr>
        <w:keepLines w:val="1"/>
        <w:snapToGrid w:val="0"/>
        <w:spacing w:line="360" w:lineRule="auto" w:before="0" w:after="0"/>
        <w:ind w:firstLineChars="200" w:firstLine="440"/>
      </w:pPr>
      <w:r>
        <w:rPr>
          <w:rFonts w:eastAsia="宋体"/>
        </w:rPr>
        <w:t>active 参与乘法，shadow 接受运行时写入。提交时 active 复制整个 shadow；写入并不会改变在途样本的系数。默认乘积位宽 32，累加位宽 35，乘积显式符号扩展。增加 ceil(log2(TAPS)) 个保护位可以覆盖所有抽头求和的最坏幅度。</w:t>
      </w:r>
    </w:p>
    <w:p w14:paraId="0B713BC7">
      <w:pPr>
        <w:pStyle w:val="4"/>
        <w:spacing w:before="160" w:after="80"/>
      </w:pPr>
      <w:r>
        <w:rPr>
          <w:rFonts w:eastAsia="微软雅黑"/>
        </w:rPr>
        <w:t>加法树结构</w:t>
      </w:r>
    </w:p>
    <w:p w14:paraId="5CB273AC">
      <w:pPr>
        <w:keepLines w:val="1"/>
        <w:snapToGrid w:val="0"/>
        <w:spacing w:line="360" w:lineRule="auto" w:before="0" w:after="0"/>
        <w:ind w:firstLineChars="200" w:firstLine="440"/>
      </w:pPr>
      <w:r>
        <w:rPr>
          <w:rFonts w:eastAsia="宋体"/>
        </w:rPr>
        <w:t>LEAVES 为不小于 TAPS 的最小二次幂，未使用叶子写零。tree 使用一维数组，前 LEAVES 项是乘积寄存器；后续层按层号乘 LEAVES 加节点号寻址，将上一层两个节点相加并寄存。TAPS 为 8 时有乘积、三层加法和量化输出共五个运算寄存级；TAPS 为 1 时跳过加法层。</w:t>
      </w:r>
    </w:p>
    <w:p w14:paraId="1CB08F27">
      <w:pPr>
        <w:pStyle w:val="4"/>
        <w:spacing w:before="160" w:after="80"/>
      </w:pPr>
      <w:r>
        <w:rPr>
          <w:rFonts w:eastAsia="微软雅黑"/>
        </w:rPr>
        <w:t>停顿和有效位</w:t>
      </w:r>
    </w:p>
    <w:p w14:paraId="1C6667FF">
      <w:pPr>
        <w:keepLines w:val="1"/>
        <w:snapToGrid w:val="0"/>
        <w:spacing w:line="360" w:lineRule="auto" w:before="0" w:after="0"/>
        <w:ind w:firstLineChars="200" w:firstLine="440"/>
      </w:pPr>
      <w:r>
        <w:rPr>
          <w:rFonts w:eastAsia="宋体"/>
        </w:rPr>
        <w:t>advance 由末级有效位及下游 ready 决定。若末级存在未接收输出，整条运算流水暂停；所有有效位、TLAST、树节点和历史一致冻结。末级为空时仍可推进流水以填满空位。全局使能减少各级独立控制复杂度，但反压控制路径可能成为时序瓶颈。</w:t>
      </w:r>
    </w:p>
    <w:p w14:paraId="58BF5D71">
      <w:pPr>
        <w:pStyle w:val="4"/>
        <w:spacing w:before="160" w:after="80"/>
      </w:pPr>
      <w:r>
        <w:rPr>
          <w:rFonts w:eastAsia="微软雅黑"/>
        </w:rPr>
        <w:t>帧与延迟定义</w:t>
      </w:r>
    </w:p>
    <w:p w14:paraId="4D940D0B">
      <w:pPr>
        <w:keepLines w:val="1"/>
        <w:snapToGrid w:val="0"/>
        <w:spacing w:line="360" w:lineRule="auto" w:before="0" w:after="0"/>
        <w:ind w:firstLineChars="200" w:firstLine="440"/>
      </w:pPr>
      <w:r>
        <w:rPr>
          <w:rFonts w:eastAsia="宋体"/>
        </w:rPr>
        <w:t>FRAME_RESET 为 0 时 TLAST 只标记帧末，历史连续；为 1 时末样本仍使用当前帧历史，其接收后清空历史，不输出额外尾部。无反压的同步顶层从输入握手到输出握手延迟为 ceil(log2(TAPS)) 加 6 拍，默认为 9 拍。功能仿真采用 10 ns 核心周期，测得 90 ns；硬件性能配置的工作周期为 13.333 ns。异步首样本延迟另受时钟相位和指针同步影响。</w:t>
      </w:r>
    </w:p>
    <w:p w14:paraId="35FE992B">
      <w:r>
        <w:br w:type="page"/>
      </w:r>
    </w:p>
    <w:p w14:paraId="22141288">
      <w:pPr>
        <w:pStyle w:val="3"/>
        <w:spacing w:before="160" w:after="80"/>
      </w:pPr>
      <w:r>
        <w:rPr>
          <w:rFonts w:eastAsia="微软雅黑"/>
        </w:rPr>
        <w:t>3 定点量化与负数舍入</w:t>
      </w:r>
    </w:p>
    <w:p w14:paraId="1C9E2D7C">
      <w:pPr>
        <w:pStyle w:val="4"/>
        <w:spacing w:before="160" w:after="80"/>
      </w:pPr>
      <w:r>
        <w:rPr>
          <w:rFonts w:eastAsia="微软雅黑"/>
        </w:rPr>
        <w:t>可选模式</w:t>
      </w:r>
    </w:p>
    <w:p w14:paraId="46A48BD3">
      <w:pPr>
        <w:keepLines w:val="1"/>
        <w:snapToGrid w:val="0"/>
        <w:spacing w:line="360" w:lineRule="auto" w:before="0" w:after="0"/>
        <w:ind w:firstLineChars="200" w:firstLine="440"/>
      </w:pPr>
      <w:r>
        <w:rPr>
          <w:rFonts w:eastAsia="宋体"/>
        </w:rPr>
        <w:t>ROUND_MODE 为 0 时直接算术右移，相当于朝负无穷取整。模式 1 为最近值，中点远离零；模式 2 为最近偶数。SATURATE 为 1 时夹紧到 OUT_WIDTH 的有符号范围，为 0 时取结果低 OUT_WIDTH 位并按补码解释。必须先扩展和舍入，再检查溢出，最后截到输出宽度。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70" w:type="dxa"/>
          <w:left w:w="70" w:type="dxa"/>
          <w:bottom w:w="70" w:type="dxa"/>
          <w:right w:w="70" w:type="dxa"/>
        </w:tblCellMar>
      </w:tblPr>
      <w:tblGrid>
        <w:gridCol w:w="2844"/>
        <w:gridCol w:w="2220"/>
        <w:gridCol w:w="2220"/>
        <w:gridCol w:w="2220"/>
      </w:tblGrid>
      <w:tr w14:paraId="7F3194A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0" w:type="dxa"/>
            <w:left w:w="70" w:type="dxa"/>
            <w:bottom w:w="70" w:type="dxa"/>
            <w:right w:w="70" w:type="dxa"/>
          </w:tblCellMar>
        </w:tblPrEx>
        <w:trPr>
          <w:cantSplit/>
          <w:tblHeader/>
          <w:jc w:val="center"/>
        </w:trPr>
        <w:tc>
          <w:tcPr>
            <w:tcW w:w="2844" w:type="dxa"/>
            <w:shd w:val="clear" w:color="auto" w:fill="EDEDED"/>
            <w:vAlign w:val="center"/>
          </w:tcPr>
          <w:p w14:paraId="39A050E9">
            <w:pPr>
              <w:spacing w:before="40" w:after="40"/>
            </w:pPr>
            <w:r>
              <w:rPr>
                <w:rFonts w:eastAsia="宋体"/>
                <w:b/>
                <w:color w:val="000000"/>
                <w:sz w:val="21"/>
              </w:rPr>
              <w:t>SHIFT为1 的输入</w:t>
            </w:r>
          </w:p>
        </w:tc>
        <w:tc>
          <w:tcPr>
            <w:tcW w:w="2220" w:type="dxa"/>
            <w:shd w:val="clear" w:color="auto" w:fill="EDEDED"/>
            <w:vAlign w:val="center"/>
          </w:tcPr>
          <w:p w14:paraId="31874781">
            <w:pPr>
              <w:spacing w:before="40" w:after="40"/>
            </w:pPr>
            <w:r>
              <w:rPr>
                <w:rFonts w:eastAsia="宋体"/>
                <w:b/>
                <w:color w:val="000000"/>
                <w:sz w:val="21"/>
              </w:rPr>
              <w:t>算术截位</w:t>
            </w:r>
          </w:p>
        </w:tc>
        <w:tc>
          <w:tcPr>
            <w:tcW w:w="2220" w:type="dxa"/>
            <w:shd w:val="clear" w:color="auto" w:fill="EDEDED"/>
            <w:vAlign w:val="center"/>
          </w:tcPr>
          <w:p w14:paraId="604B67AE">
            <w:pPr>
              <w:spacing w:before="40" w:after="40"/>
            </w:pPr>
            <w:r>
              <w:rPr>
                <w:rFonts w:eastAsia="宋体"/>
                <w:b/>
                <w:color w:val="000000"/>
                <w:sz w:val="21"/>
              </w:rPr>
              <w:t>中点远离零</w:t>
            </w:r>
          </w:p>
        </w:tc>
        <w:tc>
          <w:tcPr>
            <w:tcW w:w="2220" w:type="dxa"/>
            <w:shd w:val="clear" w:color="auto" w:fill="EDEDED"/>
            <w:vAlign w:val="center"/>
          </w:tcPr>
          <w:p w14:paraId="56653FF9">
            <w:pPr>
              <w:spacing w:before="40" w:after="40"/>
            </w:pPr>
            <w:r>
              <w:rPr>
                <w:rFonts w:eastAsia="宋体"/>
                <w:b/>
                <w:color w:val="000000"/>
                <w:sz w:val="21"/>
              </w:rPr>
              <w:t>最近偶数</w:t>
            </w:r>
          </w:p>
        </w:tc>
      </w:tr>
      <w:tr w14:paraId="03A0AEC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0" w:type="dxa"/>
            <w:left w:w="70" w:type="dxa"/>
            <w:bottom w:w="70" w:type="dxa"/>
            <w:right w:w="70" w:type="dxa"/>
          </w:tblCellMar>
        </w:tblPrEx>
        <w:trPr>
          <w:cantSplit/>
          <w:jc w:val="center"/>
        </w:trPr>
        <w:tc>
          <w:tcPr>
            <w:tcW w:w="2844" w:type="dxa"/>
            <w:shd w:val="clear" w:color="auto" w:fill="F8F8F8"/>
            <w:vAlign w:val="center"/>
          </w:tcPr>
          <w:p w14:paraId="5BF70E24">
            <w:pPr>
              <w:spacing w:before="40" w:after="40"/>
            </w:pPr>
            <w:r>
              <w:rPr>
                <w:b w:val="0"/>
                <w:color w:val="000000"/>
                <w:sz w:val="21"/>
              </w:rPr>
              <w:t>1</w:t>
            </w:r>
          </w:p>
        </w:tc>
        <w:tc>
          <w:tcPr>
            <w:tcW w:w="2220" w:type="dxa"/>
            <w:shd w:val="clear" w:color="auto" w:fill="F8F8F8"/>
            <w:vAlign w:val="center"/>
          </w:tcPr>
          <w:p w14:paraId="36D5A49C">
            <w:pPr>
              <w:spacing w:before="40" w:after="40"/>
            </w:pPr>
            <w:r>
              <w:rPr>
                <w:b w:val="0"/>
                <w:color w:val="000000"/>
                <w:sz w:val="21"/>
              </w:rPr>
              <w:t>0</w:t>
            </w:r>
          </w:p>
        </w:tc>
        <w:tc>
          <w:tcPr>
            <w:tcW w:w="2220" w:type="dxa"/>
            <w:shd w:val="clear" w:color="auto" w:fill="F8F8F8"/>
            <w:vAlign w:val="center"/>
          </w:tcPr>
          <w:p w14:paraId="0350EEF7">
            <w:pPr>
              <w:spacing w:before="40" w:after="40"/>
            </w:pPr>
            <w:r>
              <w:rPr>
                <w:b w:val="0"/>
                <w:color w:val="000000"/>
                <w:sz w:val="21"/>
              </w:rPr>
              <w:t>1</w:t>
            </w:r>
          </w:p>
        </w:tc>
        <w:tc>
          <w:tcPr>
            <w:tcW w:w="2220" w:type="dxa"/>
            <w:shd w:val="clear" w:color="auto" w:fill="F8F8F8"/>
            <w:vAlign w:val="center"/>
          </w:tcPr>
          <w:p w14:paraId="3ECB85F7">
            <w:pPr>
              <w:spacing w:before="40" w:after="40"/>
            </w:pPr>
            <w:r>
              <w:rPr>
                <w:b w:val="0"/>
                <w:color w:val="000000"/>
                <w:sz w:val="21"/>
              </w:rPr>
              <w:t>0</w:t>
            </w:r>
          </w:p>
        </w:tc>
      </w:tr>
      <w:tr w14:paraId="2C00199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0" w:type="dxa"/>
            <w:left w:w="70" w:type="dxa"/>
            <w:bottom w:w="70" w:type="dxa"/>
            <w:right w:w="70" w:type="dxa"/>
          </w:tblCellMar>
        </w:tblPrEx>
        <w:trPr>
          <w:cantSplit/>
          <w:jc w:val="center"/>
        </w:trPr>
        <w:tc>
          <w:tcPr>
            <w:tcW w:w="2844" w:type="dxa"/>
            <w:vAlign w:val="center"/>
          </w:tcPr>
          <w:p w14:paraId="0C1B3DD2">
            <w:pPr>
              <w:spacing w:before="40" w:after="40"/>
            </w:pPr>
            <w:r>
              <w:rPr>
                <w:b w:val="0"/>
                <w:color w:val="000000"/>
                <w:sz w:val="21"/>
              </w:rPr>
              <w:t>3</w:t>
            </w:r>
          </w:p>
        </w:tc>
        <w:tc>
          <w:tcPr>
            <w:tcW w:w="2220" w:type="dxa"/>
            <w:vAlign w:val="center"/>
          </w:tcPr>
          <w:p w14:paraId="018D4308">
            <w:pPr>
              <w:spacing w:before="40" w:after="40"/>
            </w:pPr>
            <w:r>
              <w:rPr>
                <w:b w:val="0"/>
                <w:color w:val="000000"/>
                <w:sz w:val="21"/>
              </w:rPr>
              <w:t>1</w:t>
            </w:r>
          </w:p>
        </w:tc>
        <w:tc>
          <w:tcPr>
            <w:tcW w:w="2220" w:type="dxa"/>
            <w:vAlign w:val="center"/>
          </w:tcPr>
          <w:p w14:paraId="4D5C8D5D">
            <w:pPr>
              <w:spacing w:before="40" w:after="40"/>
            </w:pPr>
            <w:r>
              <w:rPr>
                <w:b w:val="0"/>
                <w:color w:val="000000"/>
                <w:sz w:val="21"/>
              </w:rPr>
              <w:t>2</w:t>
            </w:r>
          </w:p>
        </w:tc>
        <w:tc>
          <w:tcPr>
            <w:tcW w:w="2220" w:type="dxa"/>
            <w:vAlign w:val="center"/>
          </w:tcPr>
          <w:p w14:paraId="56C655D9">
            <w:pPr>
              <w:spacing w:before="40" w:after="40"/>
            </w:pPr>
            <w:r>
              <w:rPr>
                <w:b w:val="0"/>
                <w:color w:val="000000"/>
                <w:sz w:val="21"/>
              </w:rPr>
              <w:t>2</w:t>
            </w:r>
          </w:p>
        </w:tc>
      </w:tr>
      <w:tr w14:paraId="06DC6F1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0" w:type="dxa"/>
            <w:left w:w="70" w:type="dxa"/>
            <w:bottom w:w="70" w:type="dxa"/>
            <w:right w:w="70" w:type="dxa"/>
          </w:tblCellMar>
        </w:tblPrEx>
        <w:trPr>
          <w:cantSplit/>
          <w:jc w:val="center"/>
        </w:trPr>
        <w:tc>
          <w:tcPr>
            <w:tcW w:w="2844" w:type="dxa"/>
            <w:shd w:val="clear" w:color="auto" w:fill="F8F8F8"/>
            <w:vAlign w:val="center"/>
          </w:tcPr>
          <w:p w14:paraId="19E42F98">
            <w:pPr>
              <w:spacing w:before="40" w:after="40"/>
            </w:pPr>
            <w:r>
              <w:rPr>
                <w:b w:val="0"/>
                <w:color w:val="000000"/>
                <w:sz w:val="21"/>
              </w:rPr>
              <w:t>5</w:t>
            </w:r>
          </w:p>
        </w:tc>
        <w:tc>
          <w:tcPr>
            <w:tcW w:w="2220" w:type="dxa"/>
            <w:shd w:val="clear" w:color="auto" w:fill="F8F8F8"/>
            <w:vAlign w:val="center"/>
          </w:tcPr>
          <w:p w14:paraId="21F3D86D">
            <w:pPr>
              <w:spacing w:before="40" w:after="40"/>
            </w:pPr>
            <w:r>
              <w:rPr>
                <w:b w:val="0"/>
                <w:color w:val="000000"/>
                <w:sz w:val="21"/>
              </w:rPr>
              <w:t>2</w:t>
            </w:r>
          </w:p>
        </w:tc>
        <w:tc>
          <w:tcPr>
            <w:tcW w:w="2220" w:type="dxa"/>
            <w:shd w:val="clear" w:color="auto" w:fill="F8F8F8"/>
            <w:vAlign w:val="center"/>
          </w:tcPr>
          <w:p w14:paraId="399A0946">
            <w:pPr>
              <w:spacing w:before="40" w:after="40"/>
            </w:pPr>
            <w:r>
              <w:rPr>
                <w:b w:val="0"/>
                <w:color w:val="000000"/>
                <w:sz w:val="21"/>
              </w:rPr>
              <w:t>3</w:t>
            </w:r>
          </w:p>
        </w:tc>
        <w:tc>
          <w:tcPr>
            <w:tcW w:w="2220" w:type="dxa"/>
            <w:shd w:val="clear" w:color="auto" w:fill="F8F8F8"/>
            <w:vAlign w:val="center"/>
          </w:tcPr>
          <w:p w14:paraId="421FA54D">
            <w:pPr>
              <w:spacing w:before="40" w:after="40"/>
            </w:pPr>
            <w:r>
              <w:rPr>
                <w:b w:val="0"/>
                <w:color w:val="000000"/>
                <w:sz w:val="21"/>
              </w:rPr>
              <w:t>2</w:t>
            </w:r>
          </w:p>
        </w:tc>
      </w:tr>
      <w:tr w14:paraId="5689227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0" w:type="dxa"/>
            <w:left w:w="70" w:type="dxa"/>
            <w:bottom w:w="70" w:type="dxa"/>
            <w:right w:w="70" w:type="dxa"/>
          </w:tblCellMar>
        </w:tblPrEx>
        <w:trPr>
          <w:cantSplit/>
          <w:jc w:val="center"/>
        </w:trPr>
        <w:tc>
          <w:tcPr>
            <w:tcW w:w="2844" w:type="dxa"/>
            <w:vAlign w:val="center"/>
          </w:tcPr>
          <w:p w14:paraId="47547144">
            <w:pPr>
              <w:spacing w:before="40" w:after="40"/>
            </w:pPr>
            <w:r>
              <w:rPr>
                <w:b w:val="0"/>
                <w:color w:val="000000"/>
                <w:sz w:val="21"/>
              </w:rPr>
              <w:t>-1</w:t>
            </w:r>
          </w:p>
        </w:tc>
        <w:tc>
          <w:tcPr>
            <w:tcW w:w="2220" w:type="dxa"/>
            <w:vAlign w:val="center"/>
          </w:tcPr>
          <w:p w14:paraId="32565213">
            <w:pPr>
              <w:spacing w:before="40" w:after="40"/>
            </w:pPr>
            <w:r>
              <w:rPr>
                <w:b w:val="0"/>
                <w:color w:val="000000"/>
                <w:sz w:val="21"/>
              </w:rPr>
              <w:t>-1</w:t>
            </w:r>
          </w:p>
        </w:tc>
        <w:tc>
          <w:tcPr>
            <w:tcW w:w="2220" w:type="dxa"/>
            <w:vAlign w:val="center"/>
          </w:tcPr>
          <w:p w14:paraId="573BEAC4">
            <w:pPr>
              <w:spacing w:before="40" w:after="40"/>
            </w:pPr>
            <w:r>
              <w:rPr>
                <w:b w:val="0"/>
                <w:color w:val="000000"/>
                <w:sz w:val="21"/>
              </w:rPr>
              <w:t>-1</w:t>
            </w:r>
          </w:p>
        </w:tc>
        <w:tc>
          <w:tcPr>
            <w:tcW w:w="2220" w:type="dxa"/>
            <w:vAlign w:val="center"/>
          </w:tcPr>
          <w:p w14:paraId="53AFB049">
            <w:pPr>
              <w:spacing w:before="40" w:after="40"/>
            </w:pPr>
            <w:r>
              <w:rPr>
                <w:b w:val="0"/>
                <w:color w:val="000000"/>
                <w:sz w:val="21"/>
              </w:rPr>
              <w:t>0</w:t>
            </w:r>
          </w:p>
        </w:tc>
      </w:tr>
      <w:tr w14:paraId="1A83736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0" w:type="dxa"/>
            <w:left w:w="70" w:type="dxa"/>
            <w:bottom w:w="70" w:type="dxa"/>
            <w:right w:w="70" w:type="dxa"/>
          </w:tblCellMar>
        </w:tblPrEx>
        <w:trPr>
          <w:cantSplit/>
          <w:jc w:val="center"/>
        </w:trPr>
        <w:tc>
          <w:tcPr>
            <w:tcW w:w="2844" w:type="dxa"/>
            <w:shd w:val="clear" w:color="auto" w:fill="F8F8F8"/>
            <w:vAlign w:val="center"/>
          </w:tcPr>
          <w:p w14:paraId="7CAAF99E">
            <w:pPr>
              <w:spacing w:before="40" w:after="40"/>
            </w:pPr>
            <w:r>
              <w:rPr>
                <w:b w:val="0"/>
                <w:color w:val="000000"/>
                <w:sz w:val="21"/>
              </w:rPr>
              <w:t>-3</w:t>
            </w:r>
          </w:p>
        </w:tc>
        <w:tc>
          <w:tcPr>
            <w:tcW w:w="2220" w:type="dxa"/>
            <w:shd w:val="clear" w:color="auto" w:fill="F8F8F8"/>
            <w:vAlign w:val="center"/>
          </w:tcPr>
          <w:p w14:paraId="60D2BA90">
            <w:pPr>
              <w:spacing w:before="40" w:after="40"/>
            </w:pPr>
            <w:r>
              <w:rPr>
                <w:b w:val="0"/>
                <w:color w:val="000000"/>
                <w:sz w:val="21"/>
              </w:rPr>
              <w:t>-2</w:t>
            </w:r>
          </w:p>
        </w:tc>
        <w:tc>
          <w:tcPr>
            <w:tcW w:w="2220" w:type="dxa"/>
            <w:shd w:val="clear" w:color="auto" w:fill="F8F8F8"/>
            <w:vAlign w:val="center"/>
          </w:tcPr>
          <w:p w14:paraId="49364B82">
            <w:pPr>
              <w:spacing w:before="40" w:after="40"/>
            </w:pPr>
            <w:r>
              <w:rPr>
                <w:b w:val="0"/>
                <w:color w:val="000000"/>
                <w:sz w:val="21"/>
              </w:rPr>
              <w:t>-2</w:t>
            </w:r>
          </w:p>
        </w:tc>
        <w:tc>
          <w:tcPr>
            <w:tcW w:w="2220" w:type="dxa"/>
            <w:shd w:val="clear" w:color="auto" w:fill="F8F8F8"/>
            <w:vAlign w:val="center"/>
          </w:tcPr>
          <w:p w14:paraId="26B214D4">
            <w:pPr>
              <w:spacing w:before="40" w:after="40"/>
            </w:pPr>
            <w:r>
              <w:rPr>
                <w:b w:val="0"/>
                <w:color w:val="000000"/>
                <w:sz w:val="21"/>
              </w:rPr>
              <w:t>-2</w:t>
            </w:r>
          </w:p>
        </w:tc>
      </w:tr>
      <w:tr w14:paraId="6C78CFB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0" w:type="dxa"/>
            <w:left w:w="70" w:type="dxa"/>
            <w:bottom w:w="70" w:type="dxa"/>
            <w:right w:w="70" w:type="dxa"/>
          </w:tblCellMar>
        </w:tblPrEx>
        <w:trPr>
          <w:cantSplit/>
          <w:jc w:val="center"/>
        </w:trPr>
        <w:tc>
          <w:tcPr>
            <w:tcW w:w="2844" w:type="dxa"/>
            <w:vAlign w:val="center"/>
          </w:tcPr>
          <w:p w14:paraId="171F9EAA">
            <w:pPr>
              <w:spacing w:before="40" w:after="40"/>
            </w:pPr>
            <w:r>
              <w:rPr>
                <w:b w:val="0"/>
                <w:color w:val="000000"/>
                <w:sz w:val="21"/>
              </w:rPr>
              <w:t>-5</w:t>
            </w:r>
          </w:p>
        </w:tc>
        <w:tc>
          <w:tcPr>
            <w:tcW w:w="2220" w:type="dxa"/>
            <w:vAlign w:val="center"/>
          </w:tcPr>
          <w:p w14:paraId="5709A7AF">
            <w:pPr>
              <w:spacing w:before="40" w:after="40"/>
            </w:pPr>
            <w:r>
              <w:rPr>
                <w:b w:val="0"/>
                <w:color w:val="000000"/>
                <w:sz w:val="21"/>
              </w:rPr>
              <w:t>-3</w:t>
            </w:r>
          </w:p>
        </w:tc>
        <w:tc>
          <w:tcPr>
            <w:tcW w:w="2220" w:type="dxa"/>
            <w:vAlign w:val="center"/>
          </w:tcPr>
          <w:p w14:paraId="2279ACC7">
            <w:pPr>
              <w:spacing w:before="40" w:after="40"/>
            </w:pPr>
            <w:r>
              <w:rPr>
                <w:b w:val="0"/>
                <w:color w:val="000000"/>
                <w:sz w:val="21"/>
              </w:rPr>
              <w:t>-3</w:t>
            </w:r>
          </w:p>
        </w:tc>
        <w:tc>
          <w:tcPr>
            <w:tcW w:w="2220" w:type="dxa"/>
            <w:vAlign w:val="center"/>
          </w:tcPr>
          <w:p w14:paraId="604E4C1A">
            <w:pPr>
              <w:spacing w:before="40" w:after="40"/>
            </w:pPr>
            <w:r>
              <w:rPr>
                <w:b w:val="0"/>
                <w:color w:val="000000"/>
                <w:sz w:val="21"/>
              </w:rPr>
              <w:t>-2</w:t>
            </w:r>
          </w:p>
        </w:tc>
      </w:tr>
    </w:tbl>
    <w:p w14:paraId="30FDA021">
      <w:pPr>
        <w:spacing w:before="0" w:after="0" w:line="120" w:lineRule="auto"/>
      </w:pPr>
    </w:p>
    <w:p w14:paraId="1DEE7B07">
      <w:pPr>
        <w:pStyle w:val="4"/>
        <w:spacing w:before="160" w:after="80"/>
      </w:pPr>
      <w:r>
        <w:rPr>
          <w:rFonts w:eastAsia="微软雅黑"/>
        </w:rPr>
        <w:t>实现与优化</w:t>
      </w:r>
    </w:p>
    <w:p w14:paraId="48A8013C">
      <w:pPr>
        <w:keepLines w:val="1"/>
        <w:snapToGrid w:val="0"/>
        <w:spacing w:line="360" w:lineRule="auto" w:before="0" w:after="0"/>
        <w:ind w:firstLineChars="200" w:firstLine="440"/>
      </w:pPr>
      <w:r>
        <w:rPr>
          <w:rFonts w:eastAsia="宋体"/>
        </w:rPr>
        <w:t>din 先符号扩展一位。移位数大于零时，模式 1 的正数偏置为半个量化单位，负数为该值减 1；模式 2 的偏置为半个单位减 1 再加移位后结果的最低位。将有符号输入加偏置后算术右移，等价实现了两种最近舍入。这避免了绝对值、取负和取余形成的长组合路径。SHIFT 为 0 时偏置为零。</w:t>
      </w:r>
    </w:p>
    <w:p w14:paraId="758CBA92">
      <w:pPr>
        <w:pStyle w:val="4"/>
        <w:spacing w:before="160" w:after="80"/>
      </w:pPr>
      <w:r>
        <w:rPr>
          <w:rFonts w:eastAsia="微软雅黑"/>
        </w:rPr>
        <w:t>溢出边界</w:t>
      </w:r>
    </w:p>
    <w:p w14:paraId="4C5FA06F">
      <w:pPr>
        <w:keepLines w:val="1"/>
        <w:snapToGrid w:val="0"/>
        <w:spacing w:line="360" w:lineRule="auto" w:before="0" w:after="0"/>
        <w:ind w:firstLineChars="200" w:firstLine="440"/>
      </w:pPr>
      <w:r>
        <w:rPr>
          <w:rFonts w:eastAsia="宋体"/>
        </w:rPr>
        <w:t>默认输出范围为负 32768 至正 32767。默认 8 抽头全部系数为负 32768，所有样本为负 32768 时，完整累加为正 8589934592；右移 15 位得到 262144，应饱和为 32767。最小负数必须在扩展位宽中参与处理，避免同宽取绝对值溢出。</w:t>
      </w:r>
    </w:p>
    <w:p w14:paraId="7FA7A96C">
      <w:pPr>
        <w:pStyle w:val="4"/>
        <w:spacing w:before="160" w:after="80"/>
      </w:pPr>
      <w:r>
        <w:rPr>
          <w:rFonts w:eastAsia="微软雅黑"/>
        </w:rPr>
        <w:t>验证独立性</w:t>
      </w:r>
    </w:p>
    <w:p w14:paraId="6B65F371">
      <w:pPr>
        <w:keepLines w:val="1"/>
        <w:snapToGrid w:val="0"/>
        <w:spacing w:line="360" w:lineRule="auto" w:before="0" w:after="0"/>
        <w:ind w:firstLineChars="200" w:firstLine="440"/>
      </w:pPr>
      <w:r>
        <w:rPr>
          <w:rFonts w:eastAsia="宋体"/>
        </w:rPr>
        <w:t>Python 使用不限位宽的整数、divmod 和数学范围夹紧，避免照抄 RTL 的位宽截取和舍入偏置实现。量化单元测试另外使用整数商与余数定义，对 12 位输入的全部 4096 个值、六种舍入 饱和组合以及五种 SHIFT 逐一比较。FIR 测试同时覆盖累加、帧历史和最终量化。</w:t>
      </w:r>
    </w:p>
    <w:p w14:paraId="319FF218">
      <w:r>
        <w:br w:type="page"/>
      </w:r>
    </w:p>
    <w:p w14:paraId="0830ED72">
      <w:pPr>
        <w:pStyle w:val="3"/>
        <w:spacing w:before="160" w:after="80"/>
      </w:pPr>
      <w:r>
        <w:rPr>
          <w:rFonts w:eastAsia="微软雅黑"/>
        </w:rPr>
        <w:t>4 同步 FIFO 与弹性寄存器</w:t>
      </w:r>
    </w:p>
    <w:p w14:paraId="5EE090A4">
      <w:pPr>
        <w:pStyle w:val="4"/>
        <w:spacing w:before="160" w:after="80"/>
      </w:pPr>
      <w:r>
        <w:rPr>
          <w:rFonts w:eastAsia="微软雅黑"/>
        </w:rPr>
        <w:t>单时钟 FIFO</w:t>
      </w:r>
    </w:p>
    <w:p w14:paraId="6CA16358">
      <w:pPr>
        <w:keepLines w:val="1"/>
        <w:snapToGrid w:val="0"/>
        <w:spacing w:line="360" w:lineRule="auto" w:before="0" w:after="0"/>
        <w:ind w:firstLineChars="200" w:firstLine="440"/>
      </w:pPr>
      <w:r>
        <w:rPr>
          <w:rFonts w:eastAsia="宋体"/>
        </w:rPr>
        <w:t>写指针与读指针只在相应握手时自增，溢出自然回绕。count 区分空满；计数为零不产生 valid。未满时允许写；已满但同拍读出时也允许写入替换。push 与 pop 同时发生时 count 保持，仅单独写入或读出时增减。FIFO 对外先展示当前头部，再在 pop 上升沿推进读指针。</w:t>
      </w:r>
    </w:p>
    <w:p w14:paraId="50FE393D">
      <w:pPr>
        <w:pStyle w:val="4"/>
        <w:spacing w:before="160" w:after="80"/>
      </w:pPr>
      <w:r>
        <w:rPr>
          <w:rFonts w:eastAsia="微软雅黑"/>
        </w:rPr>
        <w:t>满时同拍读写</w:t>
      </w:r>
    </w:p>
    <w:p w14:paraId="513B8321">
      <w:pPr>
        <w:keepLines w:val="1"/>
        <w:snapToGrid w:val="0"/>
        <w:spacing w:line="360" w:lineRule="auto" w:before="0" w:after="0"/>
        <w:ind w:firstLineChars="200" w:firstLine="440"/>
      </w:pPr>
      <w:r>
        <w:rPr>
          <w:rFonts w:eastAsia="宋体"/>
        </w:rPr>
        <w:t>满 FIFO 的写位置是正在消费的最旧位置。时钟边沿下游采样旧数据，写端以非阻塞赋值写入新数据，读指针推进后展示下一项。专用用例覆盖满、满时同拍替换、回绕、顺序及空条件。</w:t>
      </w:r>
    </w:p>
    <w:p w14:paraId="432CBB06">
      <w:pPr>
        <w:pStyle w:val="4"/>
        <w:spacing w:before="160" w:after="80"/>
      </w:pPr>
      <w:r>
        <w:rPr>
          <w:rFonts w:eastAsia="微软雅黑"/>
        </w:rPr>
        <w:t>弹性寄存器</w:t>
      </w:r>
    </w:p>
    <w:p w14:paraId="01499192">
      <w:pPr>
        <w:keepLines w:val="1"/>
        <w:snapToGrid w:val="0"/>
        <w:spacing w:line="360" w:lineRule="auto" w:before="0" w:after="0"/>
        <w:ind w:firstLineChars="200" w:firstLine="440"/>
      </w:pPr>
      <w:r>
        <w:rPr>
          <w:rFonts w:eastAsia="宋体"/>
        </w:rPr>
        <w:t>valid 表示单个寄存器位置有未消费数据。为空或下游 ready 为 1 时，s_ready 为 1；此时更新 valid，若输入 valid 同时为 1 才更新 payload。已有数据且下游不 ready 时，valid 和 payload 保持。该模块可以每拍替换输出，稳态吞吐为每拍一个样本。</w:t>
      </w:r>
    </w:p>
    <w:p w14:paraId="738A7D01">
      <w:pPr>
        <w:pStyle w:val="4"/>
        <w:spacing w:before="160" w:after="80"/>
      </w:pPr>
      <w:r>
        <w:rPr>
          <w:rFonts w:eastAsia="微软雅黑"/>
        </w:rPr>
        <w:t>接口寄存器与存储映射</w:t>
      </w:r>
    </w:p>
    <w:p w14:paraId="74CAE9B4">
      <w:pPr>
        <w:keepLines w:val="1"/>
        <w:snapToGrid w:val="0"/>
        <w:spacing w:line="360" w:lineRule="auto" w:before="0" w:after="0"/>
        <w:ind w:firstLineChars="200" w:firstLine="440"/>
      </w:pPr>
      <w:r>
        <w:rPr>
          <w:rFonts w:eastAsia="宋体"/>
        </w:rPr>
        <w:t>FIFO 读出与外部接口直接相连会形成较长数据路径。输入和输出 FIFO 后分别设置 payload 寄存器，浅存储声明 ramstyle 为 logic，使默认 16 深度 FIFO 映射为逻辑寄存器，以额外缓存和延迟缩短组合读出路径。</w:t>
      </w:r>
    </w:p>
    <w:p w14:paraId="4FB8946D">
      <w:pPr>
        <w:pStyle w:val="4"/>
        <w:spacing w:before="160" w:after="80"/>
      </w:pPr>
      <w:r>
        <w:rPr>
          <w:rFonts w:eastAsia="微软雅黑"/>
        </w:rPr>
        <w:t>容量与控制取舍</w:t>
      </w:r>
    </w:p>
    <w:p w14:paraId="4FEBED43">
      <w:pPr>
        <w:keepLines w:val="1"/>
        <w:snapToGrid w:val="0"/>
        <w:spacing w:line="360" w:lineRule="auto" w:before="0" w:after="0"/>
        <w:ind w:firstLineChars="200" w:firstLine="440"/>
      </w:pPr>
      <w:r>
        <w:rPr>
          <w:rFonts w:eastAsia="宋体"/>
        </w:rPr>
        <w:t>默认每个 FIFO 16 个位置，输入和输出弹性寄存器各 1 个位置，运算流水 5 个位置。FIFO 可以缓冲有限突发，不能长期消除输入速率高于输出速率的问题。当前 ready 组合链仍存在，性能报告中可以看见这条控制路径；更高频率可用带 skid buffer 的寄存 ready 结构。</w:t>
      </w:r>
    </w:p>
    <w:p w14:paraId="0B735B66">
      <w:r>
        <w:br w:type="page"/>
      </w:r>
    </w:p>
    <w:p w14:paraId="2EB813B8">
      <w:pPr>
        <w:pStyle w:val="3"/>
        <w:spacing w:before="160" w:after="80"/>
      </w:pPr>
      <w:r>
        <w:rPr>
          <w:rFonts w:eastAsia="微软雅黑"/>
        </w:rPr>
        <w:t>5 异步 FIFO 与原子配置提交</w:t>
      </w:r>
    </w:p>
    <w:p w14:paraId="1AE6596F">
      <w:pPr>
        <w:pStyle w:val="4"/>
        <w:spacing w:before="160" w:after="80"/>
      </w:pPr>
      <w:r>
        <w:rPr>
          <w:rFonts w:eastAsia="微软雅黑"/>
        </w:rPr>
        <w:t>Gray 指针</w:t>
      </w:r>
    </w:p>
    <w:p w14:paraId="7820FABD">
      <w:pPr>
        <w:keepLines w:val="1"/>
        <w:snapToGrid w:val="0"/>
        <w:spacing w:line="360" w:lineRule="auto" w:before="0" w:after="0"/>
        <w:ind w:firstLineChars="200" w:firstLine="440"/>
      </w:pPr>
      <w:r>
        <w:rPr>
          <w:rFonts w:eastAsia="宋体"/>
        </w:rPr>
        <w:t>ADDR_WIDTH 加 1 位二进制指针保留回绕信息，每次实际读写加 1，再转换为 Gray。读指针同步到写域，写指针同步到读域。空判断使用下一个读 Gray 指针与同步写 Gray 指针比较；满判断将同步读 Gray 指针的最高两位反转后与下一个写 Gray 比较。两级同步器带有 Quartus 的同步器识别属性。</w:t>
      </w:r>
    </w:p>
    <w:p w14:paraId="5A58AD0A">
      <w:pPr>
        <w:pStyle w:val="4"/>
        <w:spacing w:before="160" w:after="80"/>
      </w:pPr>
      <w:r>
        <w:rPr>
          <w:rFonts w:eastAsia="微软雅黑"/>
        </w:rPr>
        <w:t>满空保守性</w:t>
      </w:r>
    </w:p>
    <w:p w14:paraId="6BCD085E">
      <w:pPr>
        <w:keepLines w:val="1"/>
        <w:snapToGrid w:val="0"/>
        <w:spacing w:line="360" w:lineRule="auto" w:before="0" w:after="0"/>
        <w:ind w:firstLineChars="200" w:firstLine="440"/>
      </w:pPr>
      <w:r>
        <w:rPr>
          <w:rFonts w:eastAsia="宋体"/>
        </w:rPr>
        <w:t>跨域指针有两拍延迟，因此状态可以保守地暂时报告空或满。读端不会访问尚未通过写指针同步证明有效的数据，写端不会覆盖仍未确认读出的内容。Gray 总线不能仅靠 RTL 编码保证物理到达次序，需要对位间延迟实施约束。最终 max skew 报告的实际最坏值为约 0.402 ns，上限为 10 ns。</w:t>
      </w:r>
    </w:p>
    <w:p w14:paraId="2270411B">
      <w:pPr>
        <w:pStyle w:val="4"/>
        <w:spacing w:before="160" w:after="80"/>
      </w:pPr>
      <w:r>
        <w:rPr>
          <w:rFonts w:eastAsia="微软雅黑"/>
        </w:rPr>
        <w:t>暂停确认的竞态</w:t>
      </w:r>
    </w:p>
    <w:p w14:paraId="6B5DAFAB">
      <w:pPr>
        <w:keepLines w:val="1"/>
        <w:snapToGrid w:val="0"/>
        <w:spacing w:line="360" w:lineRule="auto" w:before="0" w:after="0"/>
        <w:ind w:firstLineChars="200" w:firstLine="440"/>
      </w:pPr>
      <w:r>
        <w:rPr>
          <w:rFonts w:eastAsia="宋体"/>
        </w:rPr>
        <w:t>源域最后一次写入和暂停确认可能在同一源时钟边沿发生。若核心只看确认已经返回而不考虑 empty 寄存器使用上一拍同步指针，就可能过早判空。pause_settled 在确认后额外延时，再与整个通道的空闲条件共同决定 cfg_ready，从而覆盖该竞态。</w:t>
      </w:r>
    </w:p>
    <w:p w14:paraId="106AFFCB">
      <w:pPr>
        <w:pStyle w:val="4"/>
        <w:spacing w:before="160" w:after="80"/>
      </w:pPr>
      <w:r>
        <w:rPr>
          <w:rFonts w:eastAsia="微软雅黑"/>
        </w:rPr>
        <w:t>更新事务的边界</w:t>
      </w:r>
    </w:p>
    <w:p w14:paraId="0602C745">
      <w:pPr>
        <w:keepLines w:val="1"/>
        <w:snapToGrid w:val="0"/>
        <w:spacing w:line="360" w:lineRule="auto" w:before="0" w:after="0"/>
        <w:ind w:firstLineChars="200" w:firstLine="440"/>
      </w:pPr>
      <w:r>
        <w:rPr>
          <w:rFonts w:eastAsia="宋体"/>
        </w:rPr>
        <w:t>系数写入可与数据运行并行，只改变 shadow。cfg_quiesce 停止新的源握手，但所有已接收数据必须继续消费。提交只在 cfg_ready 时生效；清空 history 是定义好的切换边界，不将上一套滤波状态继承到新滤波器。下游长期阻塞会使等待排空持续，这是协议行为而非死锁缺陷。</w:t>
      </w:r>
    </w:p>
    <w:p w14:paraId="145FF6B5">
      <w:pPr>
        <w:pStyle w:val="4"/>
        <w:spacing w:before="160" w:after="80"/>
      </w:pPr>
      <w:r>
        <w:rPr>
          <w:rFonts w:eastAsia="微软雅黑"/>
        </w:rPr>
        <w:t>跨域验证范围</w:t>
      </w:r>
    </w:p>
    <w:p w14:paraId="5B1DF28E">
      <w:pPr>
        <w:keepLines w:val="1"/>
        <w:snapToGrid w:val="0"/>
        <w:spacing w:line="360" w:lineRule="auto" w:before="0" w:after="0"/>
        <w:ind w:firstLineChars="200" w:firstLine="440"/>
      </w:pPr>
      <w:r>
        <w:rPr>
          <w:rFonts w:eastAsia="宋体"/>
        </w:rPr>
        <w:t>异步功能测试分别使用 14 ns 与 6 ns 源周期，核心周期为 10 ns，覆盖源端慢与快、长反压、指针回绕和共同复位。断言检查本域 Gray 每次至多变化一位。数字仿真不生成模拟亚稳态，跨域可靠性还依赖同步器结构、芯片参数和物理布线。双时钟版本的验证不包含实物试验。</w:t>
      </w:r>
    </w:p>
    <w:p w14:paraId="5F47676B">
      <w:r>
        <w:br w:type="page"/>
      </w:r>
    </w:p>
    <w:p w14:paraId="49A51571">
      <w:pPr>
        <w:pStyle w:val="3"/>
        <w:spacing w:before="160" w:after="80"/>
      </w:pPr>
      <w:r>
        <w:rPr>
          <w:rFonts w:eastAsia="微软雅黑"/>
        </w:rPr>
        <w:t>6 功能验证方案与结果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70" w:type="dxa"/>
          <w:left w:w="70" w:type="dxa"/>
          <w:bottom w:w="70" w:type="dxa"/>
          <w:right w:w="70" w:type="dxa"/>
        </w:tblCellMar>
      </w:tblPr>
      <w:tblGrid>
        <w:gridCol w:w="2775"/>
        <w:gridCol w:w="4995"/>
        <w:gridCol w:w="1734"/>
      </w:tblGrid>
      <w:tr w14:paraId="39E08C0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0" w:type="dxa"/>
            <w:left w:w="70" w:type="dxa"/>
            <w:bottom w:w="70" w:type="dxa"/>
            <w:right w:w="70" w:type="dxa"/>
          </w:tblCellMar>
        </w:tblPrEx>
        <w:trPr>
          <w:cantSplit/>
          <w:tblHeader/>
          <w:jc w:val="center"/>
        </w:trPr>
        <w:tc>
          <w:tcPr>
            <w:tcW w:w="2775" w:type="dxa"/>
            <w:shd w:val="clear" w:color="auto" w:fill="EDEDED"/>
            <w:vAlign w:val="center"/>
          </w:tcPr>
          <w:p w14:paraId="7A9FBA75">
            <w:pPr>
              <w:spacing w:before="40" w:after="40"/>
            </w:pPr>
            <w:r>
              <w:rPr>
                <w:rFonts w:eastAsia="宋体"/>
                <w:b/>
                <w:color w:val="000000"/>
                <w:sz w:val="21"/>
              </w:rPr>
              <w:t>用例组</w:t>
            </w:r>
          </w:p>
        </w:tc>
        <w:tc>
          <w:tcPr>
            <w:tcW w:w="4995" w:type="dxa"/>
            <w:shd w:val="clear" w:color="auto" w:fill="EDEDED"/>
            <w:vAlign w:val="center"/>
          </w:tcPr>
          <w:p w14:paraId="10B2C1E1">
            <w:pPr>
              <w:spacing w:before="40" w:after="40"/>
            </w:pPr>
            <w:r>
              <w:rPr>
                <w:rFonts w:eastAsia="宋体"/>
                <w:b/>
                <w:color w:val="000000"/>
                <w:sz w:val="21"/>
              </w:rPr>
              <w:t>重点</w:t>
            </w:r>
          </w:p>
        </w:tc>
        <w:tc>
          <w:tcPr>
            <w:tcW w:w="1734" w:type="dxa"/>
            <w:shd w:val="clear" w:color="auto" w:fill="EDEDED"/>
            <w:vAlign w:val="center"/>
          </w:tcPr>
          <w:p w14:paraId="09FF43F7">
            <w:pPr>
              <w:spacing w:before="40" w:after="40"/>
            </w:pPr>
            <w:r>
              <w:rPr>
                <w:rFonts w:eastAsia="宋体"/>
                <w:b/>
                <w:color w:val="000000"/>
                <w:sz w:val="21"/>
              </w:rPr>
              <w:t>数量</w:t>
            </w:r>
          </w:p>
        </w:tc>
      </w:tr>
      <w:tr w14:paraId="5AA8764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0" w:type="dxa"/>
            <w:left w:w="70" w:type="dxa"/>
            <w:bottom w:w="70" w:type="dxa"/>
            <w:right w:w="70" w:type="dxa"/>
          </w:tblCellMar>
        </w:tblPrEx>
        <w:trPr>
          <w:cantSplit/>
          <w:jc w:val="center"/>
        </w:trPr>
        <w:tc>
          <w:tcPr>
            <w:tcW w:w="2775" w:type="dxa"/>
            <w:shd w:val="clear" w:color="auto" w:fill="F8F8F8"/>
            <w:vAlign w:val="center"/>
          </w:tcPr>
          <w:p w14:paraId="0BA075D2">
            <w:pPr>
              <w:spacing w:before="40" w:after="40"/>
            </w:pPr>
            <w:r>
              <w:rPr>
                <w:rFonts w:eastAsia="宋体"/>
                <w:b w:val="0"/>
                <w:color w:val="000000"/>
                <w:sz w:val="21"/>
              </w:rPr>
              <w:t>同步默认及异步默认</w:t>
            </w:r>
          </w:p>
        </w:tc>
        <w:tc>
          <w:tcPr>
            <w:tcW w:w="4995" w:type="dxa"/>
            <w:shd w:val="clear" w:color="auto" w:fill="F8F8F8"/>
            <w:vAlign w:val="center"/>
          </w:tcPr>
          <w:p w14:paraId="3A4D6F99">
            <w:pPr>
              <w:spacing w:before="40" w:after="40"/>
            </w:pPr>
            <w:r>
              <w:rPr>
                <w:rFonts w:eastAsia="宋体"/>
                <w:b w:val="0"/>
                <w:color w:val="000000"/>
                <w:sz w:val="21"/>
              </w:rPr>
              <w:t>16位 8抽头 3次系数编程</w:t>
            </w:r>
          </w:p>
        </w:tc>
        <w:tc>
          <w:tcPr>
            <w:tcW w:w="1734" w:type="dxa"/>
            <w:shd w:val="clear" w:color="auto" w:fill="F8F8F8"/>
            <w:vAlign w:val="center"/>
          </w:tcPr>
          <w:p w14:paraId="6DABF640">
            <w:pPr>
              <w:spacing w:before="40" w:after="40"/>
            </w:pPr>
            <w:r>
              <w:rPr>
                <w:b w:val="0"/>
                <w:color w:val="000000"/>
                <w:sz w:val="21"/>
              </w:rPr>
              <w:t>2</w:t>
            </w:r>
          </w:p>
        </w:tc>
      </w:tr>
      <w:tr w14:paraId="7F115F3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0" w:type="dxa"/>
            <w:left w:w="70" w:type="dxa"/>
            <w:bottom w:w="70" w:type="dxa"/>
            <w:right w:w="70" w:type="dxa"/>
          </w:tblCellMar>
        </w:tblPrEx>
        <w:trPr>
          <w:cantSplit/>
          <w:jc w:val="center"/>
        </w:trPr>
        <w:tc>
          <w:tcPr>
            <w:tcW w:w="2775" w:type="dxa"/>
            <w:vAlign w:val="center"/>
          </w:tcPr>
          <w:p w14:paraId="36E0BD67">
            <w:pPr>
              <w:spacing w:before="40" w:after="40"/>
            </w:pPr>
            <w:r>
              <w:rPr>
                <w:rFonts w:eastAsia="宋体"/>
                <w:b w:val="0"/>
                <w:color w:val="000000"/>
                <w:sz w:val="21"/>
              </w:rPr>
              <w:t>非二次幂抽头</w:t>
            </w:r>
          </w:p>
        </w:tc>
        <w:tc>
          <w:tcPr>
            <w:tcW w:w="4995" w:type="dxa"/>
            <w:vAlign w:val="center"/>
          </w:tcPr>
          <w:p w14:paraId="6378161B">
            <w:pPr>
              <w:spacing w:before="40" w:after="40"/>
            </w:pPr>
            <w:r>
              <w:rPr>
                <w:rFonts w:eastAsia="宋体"/>
                <w:b w:val="0"/>
                <w:color w:val="000000"/>
                <w:sz w:val="21"/>
              </w:rPr>
              <w:t>3抽头 5抽头 小位宽 跨帧清历史</w:t>
            </w:r>
          </w:p>
        </w:tc>
        <w:tc>
          <w:tcPr>
            <w:tcW w:w="1734" w:type="dxa"/>
            <w:vAlign w:val="center"/>
          </w:tcPr>
          <w:p w14:paraId="1F0D1D8A">
            <w:pPr>
              <w:spacing w:before="40" w:after="40"/>
            </w:pPr>
            <w:r>
              <w:rPr>
                <w:b w:val="0"/>
                <w:color w:val="000000"/>
                <w:sz w:val="21"/>
              </w:rPr>
              <w:t>4</w:t>
            </w:r>
          </w:p>
        </w:tc>
      </w:tr>
      <w:tr w14:paraId="572A292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0" w:type="dxa"/>
            <w:left w:w="70" w:type="dxa"/>
            <w:bottom w:w="70" w:type="dxa"/>
            <w:right w:w="70" w:type="dxa"/>
          </w:tblCellMar>
        </w:tblPrEx>
        <w:trPr>
          <w:cantSplit/>
          <w:jc w:val="center"/>
        </w:trPr>
        <w:tc>
          <w:tcPr>
            <w:tcW w:w="2775" w:type="dxa"/>
            <w:shd w:val="clear" w:color="auto" w:fill="F8F8F8"/>
            <w:vAlign w:val="center"/>
          </w:tcPr>
          <w:p w14:paraId="23D095E6">
            <w:pPr>
              <w:spacing w:before="40" w:after="40"/>
            </w:pPr>
            <w:r>
              <w:rPr>
                <w:rFonts w:eastAsia="宋体"/>
                <w:b w:val="0"/>
                <w:color w:val="000000"/>
                <w:sz w:val="21"/>
              </w:rPr>
              <w:t>单抽头与边界舍入</w:t>
            </w:r>
          </w:p>
        </w:tc>
        <w:tc>
          <w:tcPr>
            <w:tcW w:w="4995" w:type="dxa"/>
            <w:shd w:val="clear" w:color="auto" w:fill="F8F8F8"/>
            <w:vAlign w:val="center"/>
          </w:tcPr>
          <w:p w14:paraId="1CAB6908">
            <w:pPr>
              <w:spacing w:before="40" w:after="40"/>
            </w:pPr>
            <w:r>
              <w:rPr>
                <w:rFonts w:eastAsia="宋体"/>
                <w:b w:val="0"/>
                <w:color w:val="000000"/>
                <w:sz w:val="21"/>
              </w:rPr>
              <w:t>SHIFT为0 中点偶数 中点远离零</w:t>
            </w:r>
          </w:p>
        </w:tc>
        <w:tc>
          <w:tcPr>
            <w:tcW w:w="1734" w:type="dxa"/>
            <w:shd w:val="clear" w:color="auto" w:fill="F8F8F8"/>
            <w:vAlign w:val="center"/>
          </w:tcPr>
          <w:p w14:paraId="0503F1DD">
            <w:pPr>
              <w:spacing w:before="40" w:after="40"/>
            </w:pPr>
            <w:r>
              <w:rPr>
                <w:b w:val="0"/>
                <w:color w:val="000000"/>
                <w:sz w:val="21"/>
              </w:rPr>
              <w:t>3</w:t>
            </w:r>
          </w:p>
        </w:tc>
      </w:tr>
      <w:tr w14:paraId="7D4D2C5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0" w:type="dxa"/>
            <w:left w:w="70" w:type="dxa"/>
            <w:bottom w:w="70" w:type="dxa"/>
            <w:right w:w="70" w:type="dxa"/>
          </w:tblCellMar>
        </w:tblPrEx>
        <w:trPr>
          <w:cantSplit/>
          <w:jc w:val="center"/>
        </w:trPr>
        <w:tc>
          <w:tcPr>
            <w:tcW w:w="2775" w:type="dxa"/>
            <w:vAlign w:val="center"/>
          </w:tcPr>
          <w:p w14:paraId="5D65672B">
            <w:pPr>
              <w:spacing w:before="40" w:after="40"/>
            </w:pPr>
            <w:r>
              <w:rPr>
                <w:rFonts w:eastAsia="宋体"/>
                <w:b w:val="0"/>
                <w:color w:val="000000"/>
                <w:sz w:val="21"/>
              </w:rPr>
              <w:t>16抽头及快源 CDC</w:t>
            </w:r>
          </w:p>
        </w:tc>
        <w:tc>
          <w:tcPr>
            <w:tcW w:w="4995" w:type="dxa"/>
            <w:vAlign w:val="center"/>
          </w:tcPr>
          <w:p w14:paraId="2486B9E1">
            <w:pPr>
              <w:spacing w:before="40" w:after="40"/>
            </w:pPr>
            <w:r>
              <w:rPr>
                <w:rFonts w:eastAsia="宋体"/>
                <w:b w:val="0"/>
                <w:color w:val="000000"/>
                <w:sz w:val="21"/>
              </w:rPr>
              <w:t>大加法树 源快于核心</w:t>
            </w:r>
          </w:p>
        </w:tc>
        <w:tc>
          <w:tcPr>
            <w:tcW w:w="1734" w:type="dxa"/>
            <w:vAlign w:val="center"/>
          </w:tcPr>
          <w:p w14:paraId="5595D198">
            <w:pPr>
              <w:spacing w:before="40" w:after="40"/>
            </w:pPr>
            <w:r>
              <w:rPr>
                <w:b w:val="0"/>
                <w:color w:val="000000"/>
                <w:sz w:val="21"/>
              </w:rPr>
              <w:t>2</w:t>
            </w:r>
          </w:p>
        </w:tc>
      </w:tr>
      <w:tr w14:paraId="6B3FB06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0" w:type="dxa"/>
            <w:left w:w="70" w:type="dxa"/>
            <w:bottom w:w="70" w:type="dxa"/>
            <w:right w:w="70" w:type="dxa"/>
          </w:tblCellMar>
        </w:tblPrEx>
        <w:trPr>
          <w:cantSplit/>
          <w:jc w:val="center"/>
        </w:trPr>
        <w:tc>
          <w:tcPr>
            <w:tcW w:w="2775" w:type="dxa"/>
            <w:shd w:val="clear" w:color="auto" w:fill="F8F8F8"/>
            <w:vAlign w:val="center"/>
          </w:tcPr>
          <w:p w14:paraId="52282779">
            <w:pPr>
              <w:spacing w:before="40" w:after="40"/>
            </w:pPr>
            <w:r>
              <w:rPr>
                <w:rFonts w:eastAsia="宋体"/>
                <w:b w:val="0"/>
                <w:color w:val="000000"/>
                <w:sz w:val="21"/>
              </w:rPr>
              <w:t>量化穷举</w:t>
            </w:r>
          </w:p>
        </w:tc>
        <w:tc>
          <w:tcPr>
            <w:tcW w:w="4995" w:type="dxa"/>
            <w:shd w:val="clear" w:color="auto" w:fill="F8F8F8"/>
            <w:vAlign w:val="center"/>
          </w:tcPr>
          <w:p w14:paraId="4F40539D">
            <w:pPr>
              <w:spacing w:before="40" w:after="40"/>
            </w:pPr>
            <w:r>
              <w:rPr>
                <w:rFonts w:eastAsia="宋体"/>
                <w:b w:val="0"/>
                <w:color w:val="000000"/>
                <w:sz w:val="21"/>
              </w:rPr>
              <w:t>SHIFT为0 1 3 7 11；每组24576比对</w:t>
            </w:r>
          </w:p>
        </w:tc>
        <w:tc>
          <w:tcPr>
            <w:tcW w:w="1734" w:type="dxa"/>
            <w:shd w:val="clear" w:color="auto" w:fill="F8F8F8"/>
            <w:vAlign w:val="center"/>
          </w:tcPr>
          <w:p w14:paraId="0D3E673F">
            <w:pPr>
              <w:spacing w:before="40" w:after="40"/>
            </w:pPr>
            <w:r>
              <w:rPr>
                <w:b w:val="0"/>
                <w:color w:val="000000"/>
                <w:sz w:val="21"/>
              </w:rPr>
              <w:t>5</w:t>
            </w:r>
          </w:p>
        </w:tc>
      </w:tr>
      <w:tr w14:paraId="3CA9FE3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0" w:type="dxa"/>
            <w:left w:w="70" w:type="dxa"/>
            <w:bottom w:w="70" w:type="dxa"/>
            <w:right w:w="70" w:type="dxa"/>
          </w:tblCellMar>
        </w:tblPrEx>
        <w:trPr>
          <w:cantSplit/>
          <w:jc w:val="center"/>
        </w:trPr>
        <w:tc>
          <w:tcPr>
            <w:tcW w:w="2775" w:type="dxa"/>
            <w:vAlign w:val="center"/>
          </w:tcPr>
          <w:p w14:paraId="202EDB2C">
            <w:pPr>
              <w:spacing w:before="40" w:after="40"/>
            </w:pPr>
            <w:r>
              <w:rPr>
                <w:rFonts w:eastAsia="宋体"/>
                <w:b w:val="0"/>
                <w:color w:val="000000"/>
                <w:sz w:val="21"/>
              </w:rPr>
              <w:t>同步 FIFO 单元</w:t>
            </w:r>
          </w:p>
        </w:tc>
        <w:tc>
          <w:tcPr>
            <w:tcW w:w="4995" w:type="dxa"/>
            <w:vAlign w:val="center"/>
          </w:tcPr>
          <w:p w14:paraId="50AB3586">
            <w:pPr>
              <w:spacing w:before="40" w:after="40"/>
            </w:pPr>
            <w:r>
              <w:rPr>
                <w:rFonts w:eastAsia="宋体"/>
                <w:b w:val="0"/>
                <w:color w:val="000000"/>
                <w:sz w:val="21"/>
              </w:rPr>
              <w:t>满状态同拍读写与指针回绕</w:t>
            </w:r>
          </w:p>
        </w:tc>
        <w:tc>
          <w:tcPr>
            <w:tcW w:w="1734" w:type="dxa"/>
            <w:vAlign w:val="center"/>
          </w:tcPr>
          <w:p w14:paraId="2620CDD6">
            <w:pPr>
              <w:spacing w:before="40" w:after="40"/>
            </w:pPr>
            <w:r>
              <w:rPr>
                <w:b w:val="0"/>
                <w:color w:val="000000"/>
                <w:sz w:val="21"/>
              </w:rPr>
              <w:t>1</w:t>
            </w:r>
          </w:p>
        </w:tc>
      </w:tr>
      <w:tr w14:paraId="76BCC1F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0" w:type="dxa"/>
            <w:left w:w="70" w:type="dxa"/>
            <w:bottom w:w="70" w:type="dxa"/>
            <w:right w:w="70" w:type="dxa"/>
          </w:tblCellMar>
        </w:tblPrEx>
        <w:trPr>
          <w:cantSplit/>
          <w:jc w:val="center"/>
        </w:trPr>
        <w:tc>
          <w:tcPr>
            <w:tcW w:w="2775" w:type="dxa"/>
            <w:shd w:val="clear" w:color="auto" w:fill="F8F8F8"/>
            <w:vAlign w:val="center"/>
          </w:tcPr>
          <w:p w14:paraId="6ABFB80D">
            <w:pPr>
              <w:spacing w:before="40" w:after="40"/>
            </w:pPr>
            <w:r>
              <w:rPr>
                <w:rFonts w:eastAsia="宋体"/>
                <w:b w:val="0"/>
                <w:color w:val="000000"/>
                <w:sz w:val="21"/>
              </w:rPr>
              <w:t>板级自检</w:t>
            </w:r>
          </w:p>
        </w:tc>
        <w:tc>
          <w:tcPr>
            <w:tcW w:w="4995" w:type="dxa"/>
            <w:shd w:val="clear" w:color="auto" w:fill="F8F8F8"/>
            <w:vAlign w:val="center"/>
          </w:tcPr>
          <w:p w14:paraId="48E4EC4C">
            <w:pPr>
              <w:spacing w:before="40" w:after="40"/>
            </w:pPr>
            <w:r>
              <w:rPr>
                <w:rFonts w:eastAsia="宋体"/>
                <w:b w:val="0"/>
                <w:color w:val="000000"/>
                <w:sz w:val="21"/>
              </w:rPr>
              <w:t>黄金 ROM 复位重跑 心跳 故障注入</w:t>
            </w:r>
          </w:p>
        </w:tc>
        <w:tc>
          <w:tcPr>
            <w:tcW w:w="1734" w:type="dxa"/>
            <w:shd w:val="clear" w:color="auto" w:fill="F8F8F8"/>
            <w:vAlign w:val="center"/>
          </w:tcPr>
          <w:p w14:paraId="551E1086">
            <w:pPr>
              <w:spacing w:before="40" w:after="40"/>
            </w:pPr>
            <w:r>
              <w:rPr>
                <w:b w:val="0"/>
                <w:color w:val="000000"/>
                <w:sz w:val="21"/>
              </w:rPr>
              <w:t>1</w:t>
            </w:r>
          </w:p>
        </w:tc>
      </w:tr>
    </w:tbl>
    <w:p w14:paraId="04E3501F">
      <w:pPr>
        <w:spacing w:before="0" w:after="0" w:line="120" w:lineRule="auto"/>
      </w:pPr>
    </w:p>
    <w:p w14:paraId="13B9EE96">
      <w:pPr>
        <w:keepLines w:val="1"/>
        <w:snapToGrid w:val="0"/>
        <w:spacing w:line="360" w:lineRule="auto" w:before="0" w:after="0"/>
        <w:ind w:firstLineChars="200" w:firstLine="440"/>
      </w:pPr>
      <w:r>
        <w:rPr>
          <w:rFonts w:eastAsia="宋体"/>
        </w:rPr>
        <w:t>总计 18 个用例均 PASS。11 个 FIR 用例各 1536 个样本、三套系数，共 16896 个输出比对；量化比对 122880 项。向量含冲激、正负极值、交替符号、连续常量、随机数据和周期性 TLAST。</w:t>
      </w:r>
    </w:p>
    <w:p w14:paraId="269D88C6">
      <w:pPr>
        <w:pStyle w:val="4"/>
        <w:spacing w:before="160" w:after="80"/>
      </w:pPr>
      <w:r>
        <w:rPr>
          <w:rFonts w:eastAsia="微软雅黑"/>
        </w:rPr>
        <w:t>测试平台行为</w:t>
      </w:r>
    </w:p>
    <w:p w14:paraId="574C54C5">
      <w:pPr>
        <w:keepLines w:val="1"/>
        <w:snapToGrid w:val="0"/>
        <w:spacing w:line="360" w:lineRule="auto" w:before="0" w:after="0"/>
        <w:ind w:firstLineChars="200" w:firstLine="440"/>
      </w:pPr>
      <w:r>
        <w:rPr>
          <w:rFonts w:eastAsia="宋体"/>
        </w:rPr>
        <w:t>源数据在下降沿驱动，在上升沿等待握手，停顿时保持 valid 和 payload。输出消费者首先持续 ready 验证吞吐，然后引入随机与长阻塞。scoreboard 在输出握手时比较数值和 TLAST，接受数与输出数必须一致。停顿稳定性、同步首样本延迟和 Gray 变化均有断言。</w:t>
      </w:r>
    </w:p>
    <w:p w14:paraId="3A667B52">
      <w:pPr>
        <w:pStyle w:val="4"/>
        <w:spacing w:before="160" w:after="80"/>
      </w:pPr>
      <w:r>
        <w:rPr>
          <w:rFonts w:eastAsia="微软雅黑"/>
        </w:rPr>
        <w:t>复位与错误注入</w:t>
      </w:r>
    </w:p>
    <w:p w14:paraId="590DBBEE">
      <w:pPr>
        <w:keepLines w:val="1"/>
        <w:snapToGrid w:val="0"/>
        <w:spacing w:line="360" w:lineRule="auto" w:before="0" w:after="0"/>
        <w:ind w:firstLineChars="200" w:firstLine="440"/>
      </w:pPr>
      <w:r>
        <w:rPr>
          <w:rFonts w:eastAsia="宋体"/>
        </w:rPr>
        <w:t>正常比较前先令输出阻塞并填满 FIFO，然后共同复位，确认旧数据不会泄漏。每套系数更新前等待排空，流中途还执行暂停排空并恢复。覆盖非法地址、未暂停提交以及同拍 write 和 commit 拒绝；这些行为不会破坏当前有效系数的数值参考。</w:t>
      </w:r>
    </w:p>
    <w:p w14:paraId="6309FD0F">
      <w:pPr>
        <w:pStyle w:val="4"/>
        <w:spacing w:before="160" w:after="80"/>
      </w:pPr>
      <w:r>
        <w:rPr>
          <w:rFonts w:eastAsia="微软雅黑"/>
        </w:rPr>
        <w:t>证据位置</w:t>
      </w:r>
    </w:p>
    <w:p w14:paraId="58885A20">
      <w:pPr>
        <w:keepLines w:val="1"/>
        <w:snapToGrid w:val="0"/>
        <w:spacing w:line="360" w:lineRule="auto" w:before="0" w:after="0"/>
        <w:ind w:firstLineChars="200" w:firstLine="440"/>
      </w:pPr>
      <w:r>
        <w:rPr>
          <w:rFonts w:eastAsia="宋体"/>
        </w:rPr>
        <w:t>compile_lint.log 同时记录 RTL 的 Verilog 模式编译和测试平台的 sv 模式编译，均无错误或警告。每个 FIR 用例日志记录接受 输出 停顿 连续输出计数及首样本延迟；板级日志记录两次共 512 个比对及故障检测。WLF 保留信号，summary.json 和 verification_summary.json 提供机器可读摘要。</w:t>
      </w:r>
    </w:p>
    <w:p w14:paraId="3715E24A">
      <w:r>
        <w:br w:type="page"/>
      </w:r>
    </w:p>
    <w:p w14:paraId="7C57B6C3">
      <w:pPr>
        <w:pStyle w:val="3"/>
        <w:spacing w:before="160" w:after="80"/>
      </w:pPr>
      <w:r>
        <w:rPr>
          <w:rFonts w:eastAsia="微软雅黑"/>
        </w:rPr>
        <w:t>7 设计问题与解决方案</w:t>
      </w:r>
    </w:p>
    <w:p w14:paraId="29B4F9D8">
      <w:pPr>
        <w:pStyle w:val="4"/>
        <w:spacing w:before="160" w:after="80"/>
      </w:pPr>
      <w:r>
        <w:rPr>
          <w:rFonts w:eastAsia="微软雅黑"/>
        </w:rPr>
        <w:t>异步用例未覆盖输入反压</w:t>
      </w:r>
    </w:p>
    <w:p w14:paraId="5EA38F8F">
      <w:pPr>
        <w:keepLines w:val="1"/>
        <w:snapToGrid w:val="0"/>
        <w:spacing w:line="360" w:lineRule="auto" w:before="0" w:after="0"/>
        <w:ind w:firstLineChars="200" w:firstLine="440"/>
      </w:pPr>
      <w:r>
        <w:rPr>
          <w:rFonts w:eastAsia="宋体"/>
        </w:rPr>
        <w:t>第一轮异步默认测试的输入比核心慢，随机输出 ready 平均吞吐仍大于输入吞吐，导致 input_stalls 为零。数值通过不能说明反压覆盖完整。增加周期性 80 拍阻塞和快源 CDC 用例，最终异步默认输入停顿 805 拍，快源用例为 3751 拍。</w:t>
      </w:r>
    </w:p>
    <w:p w14:paraId="65C88649">
      <w:pPr>
        <w:pStyle w:val="4"/>
        <w:spacing w:before="160" w:after="80"/>
      </w:pPr>
      <w:r>
        <w:rPr>
          <w:rFonts w:eastAsia="微软雅黑"/>
        </w:rPr>
        <w:t>存储读出导致初版时序失败</w:t>
      </w:r>
    </w:p>
    <w:p w14:paraId="076F7CAE">
      <w:pPr>
        <w:keepLines w:val="1"/>
        <w:snapToGrid w:val="0"/>
        <w:spacing w:line="360" w:lineRule="auto" w:before="0" w:after="0"/>
        <w:ind w:firstLineChars="200" w:firstLine="440"/>
      </w:pPr>
      <w:r>
        <w:rPr>
          <w:rFonts w:eastAsia="宋体"/>
        </w:rPr>
        <w:t>初版在 100 MHz 下最差 setup 裕量为负 5.080 ns，Fmax 为 66.31 MHz，关键路径由输出 FIFO 的 RAM 地址寄存器到 m_axis_tlast。增加输入 输出接口寄存器、浅 FIFO 使用逻辑存储并简化量化运算后，控制链成为主要限制；100 MHz 尝试仍未闭合，因此最终工作约束设为 75 MHz并完整重编译。</w:t>
      </w:r>
    </w:p>
    <w:p w14:paraId="43BD1F02">
      <w:pPr>
        <w:pStyle w:val="4"/>
        <w:spacing w:before="160" w:after="80"/>
      </w:pPr>
      <w:r>
        <w:rPr>
          <w:rFonts w:eastAsia="微软雅黑"/>
        </w:rPr>
        <w:t>跨域约束与版本兼容</w:t>
      </w:r>
    </w:p>
    <w:p w14:paraId="15877957">
      <w:pPr>
        <w:keepLines w:val="1"/>
        <w:snapToGrid w:val="0"/>
        <w:spacing w:line="360" w:lineRule="auto" w:before="0" w:after="0"/>
        <w:ind w:firstLineChars="200" w:firstLine="440"/>
      </w:pPr>
      <w:r>
        <w:rPr>
          <w:rFonts w:eastAsia="宋体"/>
        </w:rPr>
        <w:t>Quartus 13 不支持 set_max_delay 的 datapath_only 选项，导致原跨域约束无法通过实现。约束改用该版本支持的 set_max_delay、set_min_delay 和 set_max_skew 组合，并避免整体异步时钟组切断屏蔽 Gray 检查。最终 skew 报告匹配 20 条实际路径且无违例，全部约束完整性检查通过。</w:t>
      </w:r>
    </w:p>
    <w:p w14:paraId="4C616BCC">
      <w:pPr>
        <w:pStyle w:val="4"/>
        <w:spacing w:before="160" w:after="80"/>
      </w:pPr>
      <w:r>
        <w:rPr>
          <w:rFonts w:eastAsia="微软雅黑"/>
        </w:rPr>
        <w:t>配置暂停和指针同步的窗口</w:t>
      </w:r>
    </w:p>
    <w:p w14:paraId="1C6FD55A">
      <w:pPr>
        <w:keepLines w:val="1"/>
        <w:snapToGrid w:val="0"/>
        <w:spacing w:line="360" w:lineRule="auto" w:before="0" w:after="0"/>
        <w:ind w:firstLineChars="200" w:firstLine="440"/>
      </w:pPr>
      <w:r>
        <w:rPr>
          <w:rFonts w:eastAsia="宋体"/>
        </w:rPr>
        <w:t>设计审查发现暂停 ack 与最后一个 Gray 写指针可能一起返回，而 empty 标志在下一拍才能更新。加入 pause_settled 延时并检查五个数据通道位置全部排空，流中暂停用例要求 cfg_ready 时输出数等于接收数。该问题属于设计审查发现的竞态，未观察到实际硬件故障。</w:t>
      </w:r>
    </w:p>
    <w:p w14:paraId="40FF0B3E">
      <w:pPr>
        <w:pStyle w:val="4"/>
        <w:spacing w:before="160" w:after="80"/>
      </w:pPr>
      <w:r>
        <w:rPr>
          <w:rFonts w:eastAsia="微软雅黑"/>
        </w:rPr>
        <w:t>字节宽度与 AXI 总线</w:t>
      </w:r>
    </w:p>
    <w:p w14:paraId="6674B907">
      <w:pPr>
        <w:keepLines w:val="1"/>
        <w:snapToGrid w:val="0"/>
        <w:spacing w:line="360" w:lineRule="auto" w:before="0" w:after="0"/>
        <w:ind w:firstLineChars="200" w:firstLine="440"/>
      </w:pPr>
      <w:r>
        <w:rPr>
          <w:rFonts w:eastAsia="宋体"/>
        </w:rPr>
        <w:t>数值参数允许 12 位输入、10 位输出，但 AXI 数据总线必须按字节对齐。顶层对 TDATA 向上补齐并在输出符号扩展，数值核心继续使用原精度；非整字节参数用例直接验证了符号扩展后的总线值。</w:t>
      </w:r>
    </w:p>
    <w:p w14:paraId="29684348">
      <w:pPr>
        <w:pStyle w:val="4"/>
        <w:spacing w:before="160" w:after="80"/>
      </w:pPr>
      <w:r>
        <w:rPr>
          <w:rFonts w:eastAsia="微软雅黑"/>
        </w:rPr>
        <w:t>复位输入的约束声明</w:t>
      </w:r>
    </w:p>
    <w:p w14:paraId="38027AD3">
      <w:pPr>
        <w:keepLines w:val="1"/>
        <w:snapToGrid w:val="0"/>
        <w:spacing w:line="360" w:lineRule="auto" w:before="0" w:after="0"/>
        <w:ind w:firstLineChars="200" w:firstLine="440"/>
      </w:pPr>
      <w:r>
        <w:rPr>
          <w:rFonts w:eastAsia="宋体"/>
        </w:rPr>
        <w:t>异步复位外部路径采用时序例外，但端口仍应明确声明输入延迟。为 aresetn 补入最大和最小均为零的输入延迟，使 check_timing 能完整识别接口条件。最终 no_input_delay 为零，复位同步结构的本域恢复和移除检查通过。</w:t>
      </w:r>
    </w:p>
    <w:p w14:paraId="78F0592D">
      <w:r>
        <w:br w:type="page"/>
      </w:r>
    </w:p>
    <w:p w14:paraId="3CE22721">
      <w:pPr>
        <w:pStyle w:val="3"/>
        <w:spacing w:before="160" w:after="80"/>
      </w:pPr>
      <w:r>
        <w:rPr>
          <w:rFonts w:eastAsia="微软雅黑"/>
        </w:rPr>
        <w:t>8 最终时序资源与关键路径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70" w:type="dxa"/>
          <w:left w:w="70" w:type="dxa"/>
          <w:bottom w:w="70" w:type="dxa"/>
          <w:right w:w="70" w:type="dxa"/>
        </w:tblCellMar>
      </w:tblPr>
      <w:tblGrid>
        <w:gridCol w:w="2205"/>
        <w:gridCol w:w="1703"/>
        <w:gridCol w:w="912"/>
        <w:gridCol w:w="1140"/>
        <w:gridCol w:w="1901"/>
        <w:gridCol w:w="1642"/>
      </w:tblGrid>
      <w:tr w14:paraId="677549A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0" w:type="dxa"/>
            <w:left w:w="70" w:type="dxa"/>
            <w:bottom w:w="70" w:type="dxa"/>
            <w:right w:w="70" w:type="dxa"/>
          </w:tblCellMar>
        </w:tblPrEx>
        <w:trPr>
          <w:cantSplit/>
          <w:tblHeader/>
          <w:jc w:val="center"/>
        </w:trPr>
        <w:tc>
          <w:tcPr>
            <w:tcW w:w="2205" w:type="dxa"/>
            <w:shd w:val="clear" w:color="auto" w:fill="EDEDED"/>
            <w:vAlign w:val="center"/>
          </w:tcPr>
          <w:p w14:paraId="015C89BC">
            <w:pPr>
              <w:spacing w:before="40" w:after="40"/>
            </w:pPr>
            <w:r>
              <w:rPr>
                <w:rFonts w:eastAsia="宋体"/>
                <w:b/>
                <w:color w:val="000000"/>
                <w:sz w:val="21"/>
              </w:rPr>
              <w:t>配置</w:t>
            </w:r>
          </w:p>
        </w:tc>
        <w:tc>
          <w:tcPr>
            <w:tcW w:w="1703" w:type="dxa"/>
            <w:shd w:val="clear" w:color="auto" w:fill="EDEDED"/>
            <w:vAlign w:val="center"/>
          </w:tcPr>
          <w:p w14:paraId="15DB96AC">
            <w:pPr>
              <w:spacing w:before="40" w:after="40"/>
            </w:pPr>
            <w:r>
              <w:rPr>
                <w:rFonts w:eastAsia="宋体"/>
                <w:b/>
                <w:color w:val="000000"/>
                <w:sz w:val="21"/>
              </w:rPr>
              <w:t>核心 Fmax</w:t>
            </w:r>
          </w:p>
        </w:tc>
        <w:tc>
          <w:tcPr>
            <w:tcW w:w="912" w:type="dxa"/>
            <w:shd w:val="clear" w:color="auto" w:fill="EDEDED"/>
            <w:vAlign w:val="center"/>
          </w:tcPr>
          <w:p w14:paraId="7C45C8CA">
            <w:pPr>
              <w:spacing w:before="40" w:after="40"/>
            </w:pPr>
            <w:r>
              <w:rPr>
                <w:b/>
                <w:color w:val="000000"/>
                <w:sz w:val="21"/>
              </w:rPr>
              <w:t>LE</w:t>
            </w:r>
          </w:p>
        </w:tc>
        <w:tc>
          <w:tcPr>
            <w:tcW w:w="1140" w:type="dxa"/>
            <w:shd w:val="clear" w:color="auto" w:fill="EDEDED"/>
            <w:vAlign w:val="center"/>
          </w:tcPr>
          <w:p w14:paraId="37A54330">
            <w:pPr>
              <w:spacing w:before="40" w:after="40"/>
            </w:pPr>
            <w:r>
              <w:rPr>
                <w:rFonts w:eastAsia="宋体"/>
                <w:b/>
                <w:color w:val="000000"/>
                <w:sz w:val="21"/>
              </w:rPr>
              <w:t>寄存器</w:t>
            </w:r>
          </w:p>
        </w:tc>
        <w:tc>
          <w:tcPr>
            <w:tcW w:w="1901" w:type="dxa"/>
            <w:shd w:val="clear" w:color="auto" w:fill="EDEDED"/>
            <w:vAlign w:val="center"/>
          </w:tcPr>
          <w:p w14:paraId="7843B854">
            <w:pPr>
              <w:spacing w:before="40" w:after="40"/>
            </w:pPr>
            <w:r>
              <w:rPr>
                <w:rFonts w:eastAsia="宋体"/>
                <w:b/>
                <w:color w:val="000000"/>
                <w:sz w:val="21"/>
              </w:rPr>
              <w:t>9位乘法资源</w:t>
            </w:r>
          </w:p>
        </w:tc>
        <w:tc>
          <w:tcPr>
            <w:tcW w:w="1642" w:type="dxa"/>
            <w:shd w:val="clear" w:color="auto" w:fill="EDEDED"/>
            <w:vAlign w:val="center"/>
          </w:tcPr>
          <w:p w14:paraId="07EC10CB">
            <w:pPr>
              <w:spacing w:before="40" w:after="40"/>
            </w:pPr>
            <w:r>
              <w:rPr>
                <w:b/>
                <w:color w:val="000000"/>
                <w:sz w:val="21"/>
              </w:rPr>
              <w:t>Setup ns</w:t>
            </w:r>
          </w:p>
        </w:tc>
      </w:tr>
      <w:tr w14:paraId="1D7840C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0" w:type="dxa"/>
            <w:left w:w="70" w:type="dxa"/>
            <w:bottom w:w="70" w:type="dxa"/>
            <w:right w:w="70" w:type="dxa"/>
          </w:tblCellMar>
        </w:tblPrEx>
        <w:trPr>
          <w:cantSplit/>
          <w:jc w:val="center"/>
        </w:trPr>
        <w:tc>
          <w:tcPr>
            <w:tcW w:w="2205" w:type="dxa"/>
            <w:shd w:val="clear" w:color="auto" w:fill="F8F8F8"/>
            <w:vAlign w:val="center"/>
          </w:tcPr>
          <w:p w14:paraId="056D03BC">
            <w:pPr>
              <w:spacing w:before="40" w:after="40"/>
            </w:pPr>
            <w:r>
              <w:rPr>
                <w:b w:val="0"/>
                <w:color w:val="000000"/>
                <w:sz w:val="21"/>
              </w:rPr>
              <w:t>accelerator</w:t>
            </w:r>
          </w:p>
        </w:tc>
        <w:tc>
          <w:tcPr>
            <w:tcW w:w="1703" w:type="dxa"/>
            <w:shd w:val="clear" w:color="auto" w:fill="F8F8F8"/>
            <w:vAlign w:val="center"/>
          </w:tcPr>
          <w:p w14:paraId="26B9B7A5">
            <w:pPr>
              <w:spacing w:before="40" w:after="40"/>
            </w:pPr>
            <w:r>
              <w:rPr>
                <w:b w:val="0"/>
                <w:color w:val="000000"/>
                <w:sz w:val="21"/>
              </w:rPr>
              <w:t>78.14 MHz</w:t>
            </w:r>
          </w:p>
        </w:tc>
        <w:tc>
          <w:tcPr>
            <w:tcW w:w="912" w:type="dxa"/>
            <w:shd w:val="clear" w:color="auto" w:fill="F8F8F8"/>
            <w:vAlign w:val="center"/>
          </w:tcPr>
          <w:p w14:paraId="3CF30870">
            <w:pPr>
              <w:spacing w:before="40" w:after="40"/>
            </w:pPr>
            <w:r>
              <w:rPr>
                <w:b w:val="0"/>
                <w:color w:val="000000"/>
                <w:sz w:val="21"/>
              </w:rPr>
              <w:t>1427</w:t>
            </w:r>
          </w:p>
        </w:tc>
        <w:tc>
          <w:tcPr>
            <w:tcW w:w="1140" w:type="dxa"/>
            <w:shd w:val="clear" w:color="auto" w:fill="F8F8F8"/>
            <w:vAlign w:val="center"/>
          </w:tcPr>
          <w:p w14:paraId="22CA3ABC">
            <w:pPr>
              <w:spacing w:before="40" w:after="40"/>
            </w:pPr>
            <w:r>
              <w:rPr>
                <w:b w:val="0"/>
                <w:color w:val="000000"/>
                <w:sz w:val="21"/>
              </w:rPr>
              <w:t>1256</w:t>
            </w:r>
          </w:p>
        </w:tc>
        <w:tc>
          <w:tcPr>
            <w:tcW w:w="1901" w:type="dxa"/>
            <w:shd w:val="clear" w:color="auto" w:fill="F8F8F8"/>
            <w:vAlign w:val="center"/>
          </w:tcPr>
          <w:p w14:paraId="692040E4">
            <w:pPr>
              <w:spacing w:before="40" w:after="40"/>
            </w:pPr>
            <w:r>
              <w:rPr>
                <w:b w:val="0"/>
                <w:color w:val="000000"/>
                <w:sz w:val="21"/>
              </w:rPr>
              <w:t>16</w:t>
            </w:r>
          </w:p>
        </w:tc>
        <w:tc>
          <w:tcPr>
            <w:tcW w:w="1642" w:type="dxa"/>
            <w:shd w:val="clear" w:color="auto" w:fill="F8F8F8"/>
            <w:vAlign w:val="center"/>
          </w:tcPr>
          <w:p w14:paraId="3F161C25">
            <w:pPr>
              <w:spacing w:before="40" w:after="40"/>
            </w:pPr>
            <w:r>
              <w:rPr>
                <w:b w:val="0"/>
                <w:color w:val="000000"/>
                <w:sz w:val="21"/>
              </w:rPr>
              <w:t>0.535</w:t>
            </w:r>
          </w:p>
        </w:tc>
      </w:tr>
      <w:tr w14:paraId="431A5F9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0" w:type="dxa"/>
            <w:left w:w="70" w:type="dxa"/>
            <w:bottom w:w="70" w:type="dxa"/>
            <w:right w:w="70" w:type="dxa"/>
          </w:tblCellMar>
        </w:tblPrEx>
        <w:trPr>
          <w:cantSplit/>
          <w:jc w:val="center"/>
        </w:trPr>
        <w:tc>
          <w:tcPr>
            <w:tcW w:w="2205" w:type="dxa"/>
            <w:vAlign w:val="center"/>
          </w:tcPr>
          <w:p w14:paraId="020BD81E">
            <w:pPr>
              <w:spacing w:before="40" w:after="40"/>
            </w:pPr>
            <w:r>
              <w:rPr>
                <w:b w:val="0"/>
                <w:color w:val="000000"/>
                <w:sz w:val="21"/>
              </w:rPr>
              <w:t>accelerator_cdc</w:t>
            </w:r>
          </w:p>
        </w:tc>
        <w:tc>
          <w:tcPr>
            <w:tcW w:w="1703" w:type="dxa"/>
            <w:vAlign w:val="center"/>
          </w:tcPr>
          <w:p w14:paraId="2B379EE3">
            <w:pPr>
              <w:spacing w:before="40" w:after="40"/>
            </w:pPr>
            <w:r>
              <w:rPr>
                <w:b w:val="0"/>
                <w:color w:val="000000"/>
                <w:sz w:val="21"/>
              </w:rPr>
              <w:t>83.31 MHz</w:t>
            </w:r>
          </w:p>
        </w:tc>
        <w:tc>
          <w:tcPr>
            <w:tcW w:w="912" w:type="dxa"/>
            <w:vAlign w:val="center"/>
          </w:tcPr>
          <w:p w14:paraId="0AC9B31A">
            <w:pPr>
              <w:spacing w:before="40" w:after="40"/>
            </w:pPr>
            <w:r>
              <w:rPr>
                <w:b w:val="0"/>
                <w:color w:val="000000"/>
                <w:sz w:val="21"/>
              </w:rPr>
              <w:t>1466</w:t>
            </w:r>
          </w:p>
        </w:tc>
        <w:tc>
          <w:tcPr>
            <w:tcW w:w="1140" w:type="dxa"/>
            <w:vAlign w:val="center"/>
          </w:tcPr>
          <w:p w14:paraId="64E5B902">
            <w:pPr>
              <w:spacing w:before="40" w:after="40"/>
            </w:pPr>
            <w:r>
              <w:rPr>
                <w:b w:val="0"/>
                <w:color w:val="000000"/>
                <w:sz w:val="21"/>
              </w:rPr>
              <w:t>1291</w:t>
            </w:r>
          </w:p>
        </w:tc>
        <w:tc>
          <w:tcPr>
            <w:tcW w:w="1901" w:type="dxa"/>
            <w:vAlign w:val="center"/>
          </w:tcPr>
          <w:p w14:paraId="0447BD2F">
            <w:pPr>
              <w:spacing w:before="40" w:after="40"/>
            </w:pPr>
            <w:r>
              <w:rPr>
                <w:b w:val="0"/>
                <w:color w:val="000000"/>
                <w:sz w:val="21"/>
              </w:rPr>
              <w:t>16</w:t>
            </w:r>
          </w:p>
        </w:tc>
        <w:tc>
          <w:tcPr>
            <w:tcW w:w="1642" w:type="dxa"/>
            <w:vAlign w:val="center"/>
          </w:tcPr>
          <w:p w14:paraId="473FF259">
            <w:pPr>
              <w:spacing w:before="40" w:after="40"/>
            </w:pPr>
            <w:r>
              <w:rPr>
                <w:b w:val="0"/>
                <w:color w:val="000000"/>
                <w:sz w:val="21"/>
              </w:rPr>
              <w:t>1.33</w:t>
            </w:r>
          </w:p>
        </w:tc>
      </w:tr>
    </w:tbl>
    <w:p w14:paraId="48B0E64A">
      <w:pPr>
        <w:spacing w:before="0" w:after="0" w:line="120" w:lineRule="auto"/>
      </w:pPr>
    </w:p>
    <w:p w14:paraId="7A012049">
      <w:pPr>
        <w:keepLines w:val="1"/>
        <w:snapToGrid w:val="0"/>
        <w:spacing w:line="360" w:lineRule="auto" w:before="0" w:after="0"/>
        <w:ind w:firstLineChars="200" w:firstLine="440"/>
      </w:pPr>
      <w:r>
        <w:rPr>
          <w:rFonts w:eastAsia="宋体"/>
        </w:rPr>
        <w:t>accelerator 在慢模型 1.2 V 85 ℃ 的 setup 为 0.535 ns，hold 为 0.453 ns，recovery 为 9.49 ns，removal 为 2.798 ns。完整 STA 同时检查慢模型 0 ℃ 和快模型 0 ℃，工作约束均满足。</w:t>
      </w:r>
    </w:p>
    <w:p w14:paraId="5BB3ACDE">
      <w:pPr>
        <w:keepLines w:val="1"/>
        <w:snapToGrid w:val="0"/>
        <w:spacing w:line="360" w:lineRule="auto" w:before="0" w:after="0"/>
        <w:ind w:firstLineChars="200" w:firstLine="440"/>
      </w:pPr>
      <w:r>
        <w:rPr>
          <w:rFonts w:eastAsia="宋体"/>
        </w:rPr>
        <w:t>accelerator_cdc 在慢模型 1.2 V 85 ℃ 的 setup 为 1.33 ns，hold 为 0.452 ns，recovery 为 9.491 ns，removal 为 1.149 ns。完整 STA 同时检查慢模型 0 ℃ 和快模型 0 ℃，工作约束均满足。</w:t>
      </w:r>
    </w:p>
    <w:p w14:paraId="378BC504">
      <w:pPr>
        <w:keepLines w:val="1"/>
        <w:snapToGrid w:val="0"/>
        <w:spacing w:line="360" w:lineRule="auto" w:before="0" w:after="0"/>
        <w:ind w:firstLineChars="200" w:firstLine="440"/>
      </w:pPr>
      <w:r>
        <w:rPr>
          <w:rFonts w:eastAsia="宋体"/>
        </w:rPr>
        <w:t>board_selftest 在慢模型 1.2 V 85 ℃ 的 setup 为 5.666 ns，hold 为 0.452 ns，recovery 为 15.596 ns，removal 为 1.184 ns。完整 STA 同时检查慢模型 0 ℃ 和快模型 0 ℃，工作约束均满足。</w:t>
      </w:r>
    </w:p>
    <w:p w14:paraId="4FC8742C">
      <w:pPr>
        <w:pStyle w:val="4"/>
        <w:spacing w:before="160" w:after="80"/>
      </w:pPr>
      <w:r>
        <w:rPr>
          <w:rFonts w:eastAsia="微软雅黑"/>
        </w:rPr>
        <w:t>Fmax 与工作频率</w:t>
      </w:r>
    </w:p>
    <w:p w14:paraId="632F7CCE">
      <w:pPr>
        <w:keepLines w:val="1"/>
        <w:snapToGrid w:val="0"/>
        <w:spacing w:line="360" w:lineRule="auto" w:before="0" w:after="0"/>
        <w:ind w:firstLineChars="200" w:firstLine="440"/>
      </w:pPr>
      <w:r>
        <w:rPr>
          <w:rFonts w:eastAsia="宋体"/>
        </w:rPr>
        <w:t>Fmax 是当前布局和约束下的同钟路径估计，不覆盖异步跨域路径。核心性能配置工作频率为 75 MHz，异步源为 50 MHz，并结合 setup、hold、recovery、removal、pulse width 和约束完整性判断是否满足要求。参数、约束、管脚或布局改变后应重新评估。</w:t>
      </w:r>
    </w:p>
    <w:p w14:paraId="3973F7E5">
      <w:pPr>
        <w:keepLines w:val="1"/>
        <w:snapToGrid w:val="0"/>
        <w:spacing w:line="360" w:lineRule="auto" w:before="0" w:after="0"/>
        <w:ind w:firstLineChars="200" w:firstLine="440"/>
      </w:pPr>
      <w:r>
        <w:rPr>
          <w:rFonts w:eastAsia="宋体"/>
        </w:rPr>
        <w:t>accelerator 最差 setup 路径：cfg_quiesce 至 cfg_error。其 slack 为 0.535 ns，说明性能限制包含控制信号传播和外部时序预算，而不只是乘法器运算。</w:t>
      </w:r>
    </w:p>
    <w:p w14:paraId="26018776">
      <w:pPr>
        <w:keepLines w:val="1"/>
        <w:snapToGrid w:val="0"/>
        <w:spacing w:line="360" w:lineRule="auto" w:before="0" w:after="0"/>
        <w:ind w:firstLineChars="200" w:firstLine="440"/>
      </w:pPr>
      <w:r>
        <w:rPr>
          <w:rFonts w:eastAsia="宋体"/>
        </w:rPr>
        <w:t>accelerator_cdc 最差 setup 路径：cfg_quiesce 至 cfg_error。其 slack 为 1.330 ns，说明性能限制包含控制信号传播和外部时序预算，而不只是乘法器运算。</w:t>
      </w:r>
    </w:p>
    <w:p w14:paraId="3C6B56EC">
      <w:pPr>
        <w:pStyle w:val="4"/>
        <w:spacing w:before="160" w:after="80"/>
      </w:pPr>
      <w:r>
        <w:rPr>
          <w:rFonts w:eastAsia="微软雅黑"/>
        </w:rPr>
        <w:t>约束与资源复核</w:t>
      </w:r>
    </w:p>
    <w:p w14:paraId="59F346FD">
      <w:pPr>
        <w:keepLines w:val="1"/>
        <w:snapToGrid w:val="0"/>
        <w:spacing w:line="360" w:lineRule="auto" w:before="0" w:after="0"/>
        <w:ind w:firstLineChars="200" w:firstLine="440"/>
      </w:pPr>
      <w:r>
        <w:rPr>
          <w:rFonts w:eastAsia="宋体"/>
        </w:rPr>
        <w:t>两种配置 no_clock、multiple_clock、no_input_delay、no_output_delay 均为零，report_ucp 的未约束输入 输出路径为零。Gray skew 最差裕量为 9.598 ns。当前使用 0 个 M9K 存储位与 16 个 9 位乘法元素，逻辑使用率约 14%，满足所选芯片资源容量。</w:t>
      </w:r>
    </w:p>
    <w:p w14:paraId="2B930A13">
      <w:pPr>
        <w:keepLines w:val="1"/>
        <w:snapToGrid w:val="0"/>
        <w:spacing w:line="360" w:lineRule="auto" w:before="0" w:after="0"/>
        <w:ind w:firstLineChars="200" w:firstLine="440"/>
      </w:pPr>
      <w:r>
        <w:rPr>
          <w:rFonts w:eastAsia="宋体"/>
        </w:rPr>
        <w:t>两个核心配置用于性能评估，外部 AXI 管脚自动分配。板级配置已绑定全部六个端口，并采用实际 50 MHz 晶振时钟约束；单时钟实物自检和复位重测通过，结果记录见板级验证章节。</w:t>
      </w:r>
    </w:p>
    <w:p w14:paraId="68CB0047">
      <w:r>
        <w:br w:type="page"/>
      </w:r>
    </w:p>
    <w:p w14:paraId="78206871">
      <w:pPr>
        <w:pStyle w:val="3"/>
        <w:spacing w:before="160" w:after="80"/>
      </w:pPr>
      <w:r>
        <w:rPr>
          <w:rFonts w:eastAsia="微软雅黑"/>
        </w:rPr>
        <w:t>9 板级自检设计与实测结果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70" w:type="dxa"/>
          <w:left w:w="70" w:type="dxa"/>
          <w:bottom w:w="70" w:type="dxa"/>
          <w:right w:w="70" w:type="dxa"/>
        </w:tblCellMar>
      </w:tblPr>
      <w:tblGrid>
        <w:gridCol w:w="1734"/>
        <w:gridCol w:w="902"/>
        <w:gridCol w:w="1249"/>
        <w:gridCol w:w="5619"/>
      </w:tblGrid>
      <w:tr w14:paraId="5811FAB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0" w:type="dxa"/>
            <w:left w:w="70" w:type="dxa"/>
            <w:bottom w:w="70" w:type="dxa"/>
            <w:right w:w="70" w:type="dxa"/>
          </w:tblCellMar>
        </w:tblPrEx>
        <w:trPr>
          <w:cantSplit/>
          <w:tblHeader/>
          <w:jc w:val="center"/>
        </w:trPr>
        <w:tc>
          <w:tcPr>
            <w:tcW w:w="1734" w:type="dxa"/>
            <w:shd w:val="clear" w:color="auto" w:fill="EDEDED"/>
            <w:vAlign w:val="center"/>
          </w:tcPr>
          <w:p w14:paraId="6E32CCF0">
            <w:pPr>
              <w:spacing w:before="40" w:after="40"/>
            </w:pPr>
            <w:r>
              <w:rPr>
                <w:rFonts w:eastAsia="宋体"/>
                <w:b/>
                <w:color w:val="000000"/>
                <w:sz w:val="21"/>
              </w:rPr>
              <w:t>接口</w:t>
            </w:r>
          </w:p>
        </w:tc>
        <w:tc>
          <w:tcPr>
            <w:tcW w:w="902" w:type="dxa"/>
            <w:shd w:val="clear" w:color="auto" w:fill="EDEDED"/>
            <w:vAlign w:val="center"/>
          </w:tcPr>
          <w:p w14:paraId="203901CE">
            <w:pPr>
              <w:spacing w:before="40" w:after="40"/>
            </w:pPr>
            <w:r>
              <w:rPr>
                <w:rFonts w:eastAsia="宋体"/>
                <w:b/>
                <w:color w:val="000000"/>
                <w:sz w:val="21"/>
              </w:rPr>
              <w:t>管脚</w:t>
            </w:r>
          </w:p>
        </w:tc>
        <w:tc>
          <w:tcPr>
            <w:tcW w:w="1249" w:type="dxa"/>
            <w:shd w:val="clear" w:color="auto" w:fill="EDEDED"/>
            <w:vAlign w:val="center"/>
          </w:tcPr>
          <w:p w14:paraId="2143ED2A">
            <w:pPr>
              <w:spacing w:before="40" w:after="40"/>
            </w:pPr>
            <w:r>
              <w:rPr>
                <w:rFonts w:eastAsia="宋体"/>
                <w:b/>
                <w:color w:val="000000"/>
                <w:sz w:val="21"/>
              </w:rPr>
              <w:t>板上标识</w:t>
            </w:r>
          </w:p>
        </w:tc>
        <w:tc>
          <w:tcPr>
            <w:tcW w:w="5619" w:type="dxa"/>
            <w:shd w:val="clear" w:color="auto" w:fill="EDEDED"/>
            <w:vAlign w:val="center"/>
          </w:tcPr>
          <w:p w14:paraId="11CA4C40">
            <w:pPr>
              <w:spacing w:before="40" w:after="40"/>
            </w:pPr>
            <w:r>
              <w:rPr>
                <w:rFonts w:eastAsia="宋体"/>
                <w:b/>
                <w:color w:val="000000"/>
                <w:sz w:val="21"/>
              </w:rPr>
              <w:t>功能</w:t>
            </w:r>
          </w:p>
        </w:tc>
      </w:tr>
      <w:tr w14:paraId="6676AB6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0" w:type="dxa"/>
            <w:left w:w="70" w:type="dxa"/>
            <w:bottom w:w="70" w:type="dxa"/>
            <w:right w:w="70" w:type="dxa"/>
          </w:tblCellMar>
        </w:tblPrEx>
        <w:trPr>
          <w:cantSplit/>
          <w:jc w:val="center"/>
        </w:trPr>
        <w:tc>
          <w:tcPr>
            <w:tcW w:w="1734" w:type="dxa"/>
            <w:shd w:val="clear" w:color="auto" w:fill="F8F8F8"/>
            <w:vAlign w:val="center"/>
          </w:tcPr>
          <w:p w14:paraId="6EAF8084">
            <w:pPr>
              <w:spacing w:before="40" w:after="40"/>
            </w:pPr>
            <w:r>
              <w:rPr>
                <w:b w:val="0"/>
                <w:color w:val="000000"/>
                <w:sz w:val="21"/>
              </w:rPr>
              <w:t>sys_clk</w:t>
            </w:r>
          </w:p>
        </w:tc>
        <w:tc>
          <w:tcPr>
            <w:tcW w:w="902" w:type="dxa"/>
            <w:shd w:val="clear" w:color="auto" w:fill="F8F8F8"/>
            <w:vAlign w:val="center"/>
          </w:tcPr>
          <w:p w14:paraId="0204A42E">
            <w:pPr>
              <w:spacing w:before="40" w:after="40"/>
            </w:pPr>
            <w:r>
              <w:rPr>
                <w:b w:val="0"/>
                <w:color w:val="000000"/>
                <w:sz w:val="21"/>
              </w:rPr>
              <w:t>E1</w:t>
            </w:r>
          </w:p>
        </w:tc>
        <w:tc>
          <w:tcPr>
            <w:tcW w:w="1249" w:type="dxa"/>
            <w:shd w:val="clear" w:color="auto" w:fill="F8F8F8"/>
            <w:vAlign w:val="center"/>
          </w:tcPr>
          <w:p w14:paraId="19A3D4A7">
            <w:pPr>
              <w:spacing w:before="40" w:after="40"/>
            </w:pPr>
            <w:r>
              <w:rPr>
                <w:rFonts w:eastAsia="宋体"/>
                <w:b w:val="0"/>
                <w:color w:val="000000"/>
                <w:sz w:val="21"/>
              </w:rPr>
              <w:t>晶振</w:t>
            </w:r>
          </w:p>
        </w:tc>
        <w:tc>
          <w:tcPr>
            <w:tcW w:w="5619" w:type="dxa"/>
            <w:shd w:val="clear" w:color="auto" w:fill="F8F8F8"/>
            <w:vAlign w:val="center"/>
          </w:tcPr>
          <w:p w14:paraId="65A85F64">
            <w:pPr>
              <w:spacing w:before="40" w:after="40"/>
            </w:pPr>
            <w:r>
              <w:rPr>
                <w:rFonts w:eastAsia="微软雅黑"/>
                <w:b w:val="0"/>
                <w:color w:val="000000"/>
                <w:sz w:val="21"/>
              </w:rPr>
              <w:t>50 MHz 时钟</w:t>
            </w:r>
          </w:p>
        </w:tc>
      </w:tr>
      <w:tr w14:paraId="1CAE56B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0" w:type="dxa"/>
            <w:left w:w="70" w:type="dxa"/>
            <w:bottom w:w="70" w:type="dxa"/>
            <w:right w:w="70" w:type="dxa"/>
          </w:tblCellMar>
        </w:tblPrEx>
        <w:trPr>
          <w:cantSplit/>
          <w:jc w:val="center"/>
        </w:trPr>
        <w:tc>
          <w:tcPr>
            <w:tcW w:w="1734" w:type="dxa"/>
            <w:vAlign w:val="center"/>
          </w:tcPr>
          <w:p w14:paraId="017439F9">
            <w:pPr>
              <w:spacing w:before="40" w:after="40"/>
            </w:pPr>
            <w:r>
              <w:rPr>
                <w:b w:val="0"/>
                <w:color w:val="000000"/>
                <w:sz w:val="21"/>
              </w:rPr>
              <w:t>sys_rst_n</w:t>
            </w:r>
          </w:p>
        </w:tc>
        <w:tc>
          <w:tcPr>
            <w:tcW w:w="902" w:type="dxa"/>
            <w:vAlign w:val="center"/>
          </w:tcPr>
          <w:p w14:paraId="66A68071">
            <w:pPr>
              <w:spacing w:before="40" w:after="40"/>
            </w:pPr>
            <w:r>
              <w:rPr>
                <w:b w:val="0"/>
                <w:color w:val="000000"/>
                <w:sz w:val="21"/>
              </w:rPr>
              <w:t>M15</w:t>
            </w:r>
          </w:p>
        </w:tc>
        <w:tc>
          <w:tcPr>
            <w:tcW w:w="1249" w:type="dxa"/>
            <w:vAlign w:val="center"/>
          </w:tcPr>
          <w:p w14:paraId="5802A8A4">
            <w:pPr>
              <w:spacing w:before="40" w:after="40"/>
            </w:pPr>
            <w:r>
              <w:rPr>
                <w:b w:val="0"/>
                <w:color w:val="000000"/>
                <w:sz w:val="21"/>
              </w:rPr>
              <w:t>RESET</w:t>
            </w:r>
          </w:p>
        </w:tc>
        <w:tc>
          <w:tcPr>
            <w:tcW w:w="5619" w:type="dxa"/>
            <w:vAlign w:val="center"/>
          </w:tcPr>
          <w:p w14:paraId="59EB69F6">
            <w:pPr>
              <w:spacing w:before="40" w:after="40"/>
            </w:pPr>
            <w:r>
              <w:rPr>
                <w:rFonts w:eastAsia="宋体"/>
                <w:b w:val="0"/>
                <w:color w:val="000000"/>
                <w:sz w:val="21"/>
              </w:rPr>
              <w:t>低电平复位</w:t>
            </w:r>
          </w:p>
        </w:tc>
      </w:tr>
      <w:tr w14:paraId="4A92BCD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0" w:type="dxa"/>
            <w:left w:w="70" w:type="dxa"/>
            <w:bottom w:w="70" w:type="dxa"/>
            <w:right w:w="70" w:type="dxa"/>
          </w:tblCellMar>
        </w:tblPrEx>
        <w:trPr>
          <w:cantSplit/>
          <w:jc w:val="center"/>
        </w:trPr>
        <w:tc>
          <w:tcPr>
            <w:tcW w:w="1734" w:type="dxa"/>
            <w:shd w:val="clear" w:color="auto" w:fill="F8F8F8"/>
            <w:vAlign w:val="center"/>
          </w:tcPr>
          <w:p w14:paraId="12B5E44F">
            <w:pPr>
              <w:spacing w:before="40" w:after="40"/>
            </w:pPr>
            <w:r>
              <w:rPr>
                <w:b w:val="0"/>
                <w:color w:val="000000"/>
                <w:sz w:val="21"/>
              </w:rPr>
              <w:t>led[0]</w:t>
            </w:r>
          </w:p>
        </w:tc>
        <w:tc>
          <w:tcPr>
            <w:tcW w:w="902" w:type="dxa"/>
            <w:shd w:val="clear" w:color="auto" w:fill="F8F8F8"/>
            <w:vAlign w:val="center"/>
          </w:tcPr>
          <w:p w14:paraId="0C0FC848">
            <w:pPr>
              <w:spacing w:before="40" w:after="40"/>
            </w:pPr>
            <w:r>
              <w:rPr>
                <w:b w:val="0"/>
                <w:color w:val="000000"/>
                <w:sz w:val="21"/>
              </w:rPr>
              <w:t>L7</w:t>
            </w:r>
          </w:p>
        </w:tc>
        <w:tc>
          <w:tcPr>
            <w:tcW w:w="1249" w:type="dxa"/>
            <w:shd w:val="clear" w:color="auto" w:fill="F8F8F8"/>
            <w:vAlign w:val="center"/>
          </w:tcPr>
          <w:p w14:paraId="1DD517A1">
            <w:pPr>
              <w:spacing w:before="40" w:after="40"/>
            </w:pPr>
            <w:r>
              <w:rPr>
                <w:b w:val="0"/>
                <w:color w:val="000000"/>
                <w:sz w:val="21"/>
              </w:rPr>
              <w:t>D6</w:t>
            </w:r>
          </w:p>
        </w:tc>
        <w:tc>
          <w:tcPr>
            <w:tcW w:w="5619" w:type="dxa"/>
            <w:shd w:val="clear" w:color="auto" w:fill="F8F8F8"/>
            <w:vAlign w:val="center"/>
          </w:tcPr>
          <w:p w14:paraId="1D4DB9B6">
            <w:pPr>
              <w:spacing w:before="40" w:after="40"/>
            </w:pPr>
            <w:r>
              <w:rPr>
                <w:rFonts w:eastAsia="宋体"/>
                <w:b w:val="0"/>
                <w:color w:val="000000"/>
                <w:sz w:val="21"/>
              </w:rPr>
              <w:t>时钟心跳</w:t>
            </w:r>
          </w:p>
        </w:tc>
      </w:tr>
      <w:tr w14:paraId="7AB0C3B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0" w:type="dxa"/>
            <w:left w:w="70" w:type="dxa"/>
            <w:bottom w:w="70" w:type="dxa"/>
            <w:right w:w="70" w:type="dxa"/>
          </w:tblCellMar>
        </w:tblPrEx>
        <w:trPr>
          <w:cantSplit/>
          <w:jc w:val="center"/>
        </w:trPr>
        <w:tc>
          <w:tcPr>
            <w:tcW w:w="1734" w:type="dxa"/>
            <w:vAlign w:val="center"/>
          </w:tcPr>
          <w:p w14:paraId="14736539">
            <w:pPr>
              <w:spacing w:before="40" w:after="40"/>
            </w:pPr>
            <w:r>
              <w:rPr>
                <w:b w:val="0"/>
                <w:color w:val="000000"/>
                <w:sz w:val="21"/>
              </w:rPr>
              <w:t>led[1]</w:t>
            </w:r>
          </w:p>
        </w:tc>
        <w:tc>
          <w:tcPr>
            <w:tcW w:w="902" w:type="dxa"/>
            <w:vAlign w:val="center"/>
          </w:tcPr>
          <w:p w14:paraId="51942B36">
            <w:pPr>
              <w:spacing w:before="40" w:after="40"/>
            </w:pPr>
            <w:r>
              <w:rPr>
                <w:b w:val="0"/>
                <w:color w:val="000000"/>
                <w:sz w:val="21"/>
              </w:rPr>
              <w:t>M6</w:t>
            </w:r>
          </w:p>
        </w:tc>
        <w:tc>
          <w:tcPr>
            <w:tcW w:w="1249" w:type="dxa"/>
            <w:vAlign w:val="center"/>
          </w:tcPr>
          <w:p w14:paraId="07514498">
            <w:pPr>
              <w:spacing w:before="40" w:after="40"/>
            </w:pPr>
            <w:r>
              <w:rPr>
                <w:b w:val="0"/>
                <w:color w:val="000000"/>
                <w:sz w:val="21"/>
              </w:rPr>
              <w:t>D7</w:t>
            </w:r>
          </w:p>
        </w:tc>
        <w:tc>
          <w:tcPr>
            <w:tcW w:w="5619" w:type="dxa"/>
            <w:vAlign w:val="center"/>
          </w:tcPr>
          <w:p w14:paraId="090210A2">
            <w:pPr>
              <w:spacing w:before="40" w:after="40"/>
            </w:pPr>
            <w:r>
              <w:rPr>
                <w:rFonts w:eastAsia="宋体"/>
                <w:b w:val="0"/>
                <w:color w:val="000000"/>
                <w:sz w:val="21"/>
              </w:rPr>
              <w:t>自检通过 PASS</w:t>
            </w:r>
          </w:p>
        </w:tc>
      </w:tr>
      <w:tr w14:paraId="61A6808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0" w:type="dxa"/>
            <w:left w:w="70" w:type="dxa"/>
            <w:bottom w:w="70" w:type="dxa"/>
            <w:right w:w="70" w:type="dxa"/>
          </w:tblCellMar>
        </w:tblPrEx>
        <w:trPr>
          <w:cantSplit/>
          <w:jc w:val="center"/>
        </w:trPr>
        <w:tc>
          <w:tcPr>
            <w:tcW w:w="1734" w:type="dxa"/>
            <w:shd w:val="clear" w:color="auto" w:fill="F8F8F8"/>
            <w:vAlign w:val="center"/>
          </w:tcPr>
          <w:p w14:paraId="1ABCC50B">
            <w:pPr>
              <w:spacing w:before="40" w:after="40"/>
            </w:pPr>
            <w:r>
              <w:rPr>
                <w:b w:val="0"/>
                <w:color w:val="000000"/>
                <w:sz w:val="21"/>
              </w:rPr>
              <w:t>led[2]</w:t>
            </w:r>
          </w:p>
        </w:tc>
        <w:tc>
          <w:tcPr>
            <w:tcW w:w="902" w:type="dxa"/>
            <w:shd w:val="clear" w:color="auto" w:fill="F8F8F8"/>
            <w:vAlign w:val="center"/>
          </w:tcPr>
          <w:p w14:paraId="7050966D">
            <w:pPr>
              <w:spacing w:before="40" w:after="40"/>
            </w:pPr>
            <w:r>
              <w:rPr>
                <w:b w:val="0"/>
                <w:color w:val="000000"/>
                <w:sz w:val="21"/>
              </w:rPr>
              <w:t>P3</w:t>
            </w:r>
          </w:p>
        </w:tc>
        <w:tc>
          <w:tcPr>
            <w:tcW w:w="1249" w:type="dxa"/>
            <w:shd w:val="clear" w:color="auto" w:fill="F8F8F8"/>
            <w:vAlign w:val="center"/>
          </w:tcPr>
          <w:p w14:paraId="6EF67A5D">
            <w:pPr>
              <w:spacing w:before="40" w:after="40"/>
            </w:pPr>
            <w:r>
              <w:rPr>
                <w:b w:val="0"/>
                <w:color w:val="000000"/>
                <w:sz w:val="21"/>
              </w:rPr>
              <w:t>D8</w:t>
            </w:r>
          </w:p>
        </w:tc>
        <w:tc>
          <w:tcPr>
            <w:tcW w:w="5619" w:type="dxa"/>
            <w:shd w:val="clear" w:color="auto" w:fill="F8F8F8"/>
            <w:vAlign w:val="center"/>
          </w:tcPr>
          <w:p w14:paraId="61B3D609">
            <w:pPr>
              <w:spacing w:before="40" w:after="40"/>
            </w:pPr>
            <w:r>
              <w:rPr>
                <w:rFonts w:eastAsia="宋体"/>
                <w:b w:val="0"/>
                <w:color w:val="000000"/>
                <w:sz w:val="21"/>
              </w:rPr>
              <w:t>自检失败 FAIL</w:t>
            </w:r>
          </w:p>
        </w:tc>
      </w:tr>
      <w:tr w14:paraId="55B48A5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0" w:type="dxa"/>
            <w:left w:w="70" w:type="dxa"/>
            <w:bottom w:w="70" w:type="dxa"/>
            <w:right w:w="70" w:type="dxa"/>
          </w:tblCellMar>
        </w:tblPrEx>
        <w:trPr>
          <w:cantSplit/>
          <w:jc w:val="center"/>
        </w:trPr>
        <w:tc>
          <w:tcPr>
            <w:tcW w:w="1734" w:type="dxa"/>
            <w:vAlign w:val="center"/>
          </w:tcPr>
          <w:p w14:paraId="3C60A6F1">
            <w:pPr>
              <w:spacing w:before="40" w:after="40"/>
            </w:pPr>
            <w:r>
              <w:rPr>
                <w:b w:val="0"/>
                <w:color w:val="000000"/>
                <w:sz w:val="21"/>
              </w:rPr>
              <w:t>led[3]</w:t>
            </w:r>
          </w:p>
        </w:tc>
        <w:tc>
          <w:tcPr>
            <w:tcW w:w="902" w:type="dxa"/>
            <w:vAlign w:val="center"/>
          </w:tcPr>
          <w:p w14:paraId="1F71D22B">
            <w:pPr>
              <w:spacing w:before="40" w:after="40"/>
            </w:pPr>
            <w:r>
              <w:rPr>
                <w:b w:val="0"/>
                <w:color w:val="000000"/>
                <w:sz w:val="21"/>
              </w:rPr>
              <w:t>N3</w:t>
            </w:r>
          </w:p>
        </w:tc>
        <w:tc>
          <w:tcPr>
            <w:tcW w:w="1249" w:type="dxa"/>
            <w:vAlign w:val="center"/>
          </w:tcPr>
          <w:p w14:paraId="7DA7560C">
            <w:pPr>
              <w:spacing w:before="40" w:after="40"/>
            </w:pPr>
            <w:r>
              <w:rPr>
                <w:b w:val="0"/>
                <w:color w:val="000000"/>
                <w:sz w:val="21"/>
              </w:rPr>
              <w:t>D9</w:t>
            </w:r>
          </w:p>
        </w:tc>
        <w:tc>
          <w:tcPr>
            <w:tcW w:w="5619" w:type="dxa"/>
            <w:vAlign w:val="center"/>
          </w:tcPr>
          <w:p w14:paraId="467DFE7C">
            <w:pPr>
              <w:spacing w:before="40" w:after="40"/>
            </w:pPr>
            <w:r>
              <w:rPr>
                <w:rFonts w:eastAsia="宋体"/>
                <w:b w:val="0"/>
                <w:color w:val="000000"/>
                <w:sz w:val="21"/>
              </w:rPr>
              <w:t>运行状态 RUN</w:t>
            </w:r>
          </w:p>
        </w:tc>
      </w:tr>
    </w:tbl>
    <w:p w14:paraId="6B884E1F">
      <w:pPr>
        <w:spacing w:before="0" w:after="0" w:line="120" w:lineRule="auto"/>
      </w:pPr>
    </w:p>
    <w:p w14:paraId="1E87EBD3">
      <w:pPr>
        <w:keepLines w:val="1"/>
        <w:snapToGrid w:val="0"/>
        <w:spacing w:line="360" w:lineRule="auto" w:before="0" w:after="0"/>
        <w:ind w:firstLineChars="200" w:firstLine="440"/>
      </w:pPr>
      <w:r>
        <w:rPr>
          <w:rFonts w:eastAsia="宋体"/>
        </w:rPr>
        <w:t>以上六个管脚使用 3.3 V LVTTL；LED 低电平点亮，输出驱动配置为 4 mA。未使用的普通用户引脚在拟合报告中为输入三态带弱上拉。绑定放在 Qproject/board_pins.qsf，板级 revision 为 board_selftest。</w:t>
      </w:r>
    </w:p>
    <w:p w14:paraId="5AEAE3D0">
      <w:pPr>
        <w:pStyle w:val="4"/>
        <w:spacing w:before="160" w:after="80"/>
      </w:pPr>
      <w:r>
        <w:rPr>
          <w:rFonts w:eastAsia="微软雅黑"/>
        </w:rPr>
        <w:t>自检控制与比较</w:t>
      </w:r>
    </w:p>
    <w:p w14:paraId="05E91EC5">
      <w:pPr>
        <w:keepLines w:val="1"/>
        <w:snapToGrid w:val="0"/>
        <w:spacing w:line="360" w:lineRule="auto" w:before="0" w:after="0"/>
        <w:ind w:firstLineChars="200" w:firstLine="440"/>
      </w:pPr>
      <w:r>
        <w:rPr>
          <w:rFonts w:eastAsia="宋体"/>
        </w:rPr>
        <w:t>配置后通过上电计数产生初始化复位，控制状态依次为 BOOT、PAUSE、WRITE、COMMIT、RELEASE、RUN、DRAIN 和 DONE。四套 8 抽头系数各处理 64 个样本，共比较 256 项数值及 TLAST，包含极值、舍入、饱和和随机数据。接收端主动制造长短反压，源端和比较端分别按发送、接收计数寻址 ROM。错误或每组 1 秒超时均锁存 FAIL，全部比较完成且无错误才输出 PASS。</w:t>
      </w:r>
    </w:p>
    <w:p w14:paraId="4EB39E87">
      <w:pPr>
        <w:keepLines w:val="1"/>
        <w:snapToGrid w:val="0"/>
        <w:spacing w:line="360" w:lineRule="auto" w:before="0" w:after="0"/>
        <w:ind w:firstLineChars="200" w:firstLine="440"/>
      </w:pPr>
      <w:r>
        <w:rPr>
          <w:rFonts w:eastAsia="宋体"/>
        </w:rPr>
        <w:t>板级配置在全部时序模型下满足 50 MHz 工作约束，报告 Fmax 为 69.76 MHz，使用 1846 个 LE。自检测试平台两次运行共完成 512 项结果比较，另覆盖心跳和故障注入后的 FAIL 锁存。板级版本采用单时钟，CDC 由独立配置验证。</w:t>
      </w:r>
    </w:p>
    <w:p w14:paraId="52A9095F">
      <w:pPr>
        <w:pStyle w:val="4"/>
        <w:spacing w:before="160" w:after="80"/>
      </w:pPr>
      <w:r>
        <w:rPr>
          <w:rFonts w:eastAsia="微软雅黑"/>
        </w:rPr>
        <w:t>实物验证记录</w:t>
      </w:r>
    </w:p>
    <w:p w14:paraId="2FD251AE">
      <w:pPr>
        <w:keepLines w:val="1"/>
        <w:snapToGrid w:val="0"/>
        <w:spacing w:line="360" w:lineRule="auto" w:before="0" w:after="0"/>
        <w:ind w:firstLineChars="200" w:firstLine="440"/>
      </w:pPr>
      <w:r>
        <w:rPr>
          <w:rFonts w:eastAsia="宋体"/>
        </w:rPr>
        <w:t>测试</w:t>
      </w:r>
      <w:r>
        <w:rPr>
          <w:rFonts w:hint="eastAsia" w:eastAsia="宋体"/>
          <w:lang w:eastAsia="zh-CN"/>
        </w:rPr>
        <w:t>的</w:t>
      </w:r>
      <w:bookmarkStart w:id="0" w:name="_GoBack"/>
      <w:bookmarkEnd w:id="0"/>
      <w:r>
        <w:rPr>
          <w:rFonts w:eastAsia="宋体"/>
        </w:rPr>
        <w:t>记录方式为现场人工观察。运行结果为 D6 持续闪烁、D7 常亮、D8 和 D9 熄灭。按住 RESET 时 D6、D7 熄灭，释放后恢复心跳闪烁和 PASS 常亮，其余用户灯保持熄灭。该结果表明 50 MHz 单时钟自检与复位重测通过。</w:t>
      </w:r>
    </w:p>
    <w:p w14:paraId="19A996ED">
      <w:pPr>
        <w:pStyle w:val="4"/>
        <w:spacing w:before="160" w:after="80"/>
      </w:pPr>
      <w:r>
        <w:rPr>
          <w:rFonts w:eastAsia="微软雅黑"/>
        </w:rPr>
        <w:t>配置文件与硬件依据</w:t>
      </w:r>
    </w:p>
    <w:p w14:paraId="3BA8E90B">
      <w:pPr>
        <w:keepLines w:val="1"/>
        <w:snapToGrid w:val="0"/>
        <w:spacing w:line="360" w:lineRule="auto" w:before="0" w:after="0"/>
        <w:ind w:firstLineChars="200" w:firstLine="440"/>
      </w:pPr>
      <w:r>
        <w:rPr>
          <w:rFonts w:eastAsia="宋体"/>
        </w:rPr>
        <w:t>板级下载文件为 Qproject/output_files_board/board_selftest.sof，采用 USB Blaster 和 JTAG 临时配置，掉电后配置丢失。管脚依据征途引脚绑定映射表 Sheet1 第 3、71、79 至 82 行，以及征途 Pro 开发板硬件规格书 V1.0.1；Pro 手册第 21 页给出用户 LED D6 至 D9 与四路 LED 信号的关系。</w:t>
      </w:r>
    </w:p>
    <w:p w14:paraId="465B238F">
      <w:r>
        <w:br w:type="page"/>
      </w:r>
    </w:p>
    <w:p w14:paraId="112C0A24">
      <w:pPr>
        <w:pStyle w:val="3"/>
        <w:spacing w:before="160" w:after="80"/>
      </w:pPr>
      <w:r>
        <w:rPr>
          <w:rFonts w:eastAsia="微软雅黑"/>
        </w:rPr>
        <w:t>附录 技术问答 数据通道</w:t>
      </w:r>
    </w:p>
    <w:p w14:paraId="6998FF4A">
      <w:pPr>
        <w:keepNext/>
        <w:spacing w:before="160" w:after="80"/>
      </w:pPr>
      <w:r>
        <w:rPr>
          <w:rFonts w:eastAsia="微软雅黑"/>
          <w:b/>
        </w:rPr>
        <w:t>1  为什么选择 FIR</w:t>
      </w:r>
    </w:p>
    <w:p w14:paraId="3EBE849F">
      <w:pPr>
        <w:keepLines w:val="1"/>
        <w:snapToGrid w:val="0"/>
        <w:spacing w:after="0" w:line="360" w:lineRule="auto" w:before="0"/>
        <w:ind w:firstLineChars="200" w:firstLine="440"/>
      </w:pPr>
      <w:r>
        <w:rPr>
          <w:rFonts w:eastAsia="宋体"/>
        </w:rPr>
        <w:t>有限冲激响应结构简单，没有反馈环路，定点误差不会沿反馈累积；每个样本都能独立展开并行乘加，适合 FPGA 流水线。</w:t>
      </w:r>
      <w:r>
        <w:br w:type="textWrapping"/>
      </w:r>
    </w:p>
    <w:p w14:paraId="31542967">
      <w:pPr>
        <w:keepNext/>
        <w:spacing w:before="160" w:after="80"/>
      </w:pPr>
      <w:r>
        <w:rPr>
          <w:rFonts w:eastAsia="微软雅黑"/>
          <w:b/>
        </w:rPr>
        <w:t>2  TAPS 和阶数有什么区别</w:t>
      </w:r>
    </w:p>
    <w:p w14:paraId="05BA21B8">
      <w:pPr>
        <w:keepLines w:val="1"/>
        <w:snapToGrid w:val="0"/>
        <w:spacing w:after="0" w:line="360" w:lineRule="auto" w:before="0"/>
        <w:ind w:firstLineChars="200" w:firstLine="440"/>
      </w:pPr>
      <w:r>
        <w:rPr>
          <w:rFonts w:eastAsia="宋体"/>
        </w:rPr>
        <w:t>TAPS 为抽头个数，阶数是 TAPS 减 1。默认 8 抽头对应 7 阶；增加抽头需要更多乘法资源和加法树级数。</w:t>
      </w:r>
      <w:r>
        <w:br w:type="textWrapping"/>
      </w:r>
    </w:p>
    <w:p w14:paraId="2DD1C159">
      <w:pPr>
        <w:keepNext/>
        <w:spacing w:before="160" w:after="80"/>
      </w:pPr>
      <w:r>
        <w:rPr>
          <w:rFonts w:eastAsia="微软雅黑"/>
          <w:b/>
        </w:rPr>
        <w:t>3  为什么每拍能输出一个样本</w:t>
      </w:r>
    </w:p>
    <w:p w14:paraId="0FE0A72F">
      <w:pPr>
        <w:keepLines w:val="1"/>
        <w:snapToGrid w:val="0"/>
        <w:spacing w:after="0" w:line="360" w:lineRule="auto" w:before="0"/>
        <w:ind w:firstLineChars="200" w:firstLine="440"/>
      </w:pPr>
      <w:r>
        <w:rPr>
          <w:rFonts w:eastAsia="宋体"/>
        </w:rPr>
        <w:t>各抽头乘法并行，每级树节点寄存，相邻样本在不同流水级同时运行。延迟增加但启动间隔为 1；下游阻塞时吞吐由实际握手决定。</w:t>
      </w:r>
      <w:r>
        <w:br w:type="textWrapping"/>
      </w:r>
    </w:p>
    <w:p w14:paraId="58341A95">
      <w:pPr>
        <w:keepNext/>
        <w:spacing w:before="160" w:after="80"/>
      </w:pPr>
      <w:r>
        <w:rPr>
          <w:rFonts w:eastAsia="微软雅黑"/>
          <w:b/>
        </w:rPr>
        <w:t>4  valid 为 1 时能否改变数据</w:t>
      </w:r>
    </w:p>
    <w:p w14:paraId="49B558CA">
      <w:pPr>
        <w:keepLines w:val="1"/>
        <w:snapToGrid w:val="0"/>
        <w:spacing w:after="0" w:line="360" w:lineRule="auto" w:before="0"/>
        <w:ind w:firstLineChars="200" w:firstLine="440"/>
      </w:pPr>
      <w:r>
        <w:rPr>
          <w:rFonts w:eastAsia="宋体"/>
        </w:rPr>
        <w:t>只在 ready 同时为 1 的握手之后可以换下一份数据。valid 为 1 且 ready 为 0 时必须保持数据、TLAST 和 valid，直到被消费。</w:t>
      </w:r>
      <w:r>
        <w:br w:type="textWrapping"/>
      </w:r>
    </w:p>
    <w:p w14:paraId="0BEA59DE">
      <w:pPr>
        <w:keepNext/>
        <w:spacing w:before="160" w:after="80"/>
      </w:pPr>
      <w:r>
        <w:rPr>
          <w:rFonts w:eastAsia="微软雅黑"/>
          <w:b/>
        </w:rPr>
        <w:t>5  什么时候移位历史样本</w:t>
      </w:r>
    </w:p>
    <w:p w14:paraId="538096A6">
      <w:pPr>
        <w:keepLines w:val="1"/>
        <w:snapToGrid w:val="0"/>
        <w:spacing w:after="0" w:line="360" w:lineRule="auto" w:before="0"/>
        <w:ind w:firstLineChars="200" w:firstLine="440"/>
      </w:pPr>
      <w:r>
        <w:rPr>
          <w:rFonts w:eastAsia="宋体"/>
        </w:rPr>
        <w:t>只在 FIR 输入被接收时移位。源端 valid 但未 ready，或流水线暂停，都不能更新历史，否则同一数据会被重复计算。</w:t>
      </w:r>
      <w:r>
        <w:br w:type="textWrapping"/>
      </w:r>
    </w:p>
    <w:p w14:paraId="02621B17">
      <w:pPr>
        <w:keepNext/>
        <w:spacing w:before="160" w:after="80"/>
      </w:pPr>
      <w:r>
        <w:rPr>
          <w:rFonts w:eastAsia="微软雅黑"/>
          <w:b/>
        </w:rPr>
        <w:t>6  为什么乘积和累加要显式有符号</w:t>
      </w:r>
    </w:p>
    <w:p w14:paraId="202AF84F">
      <w:pPr>
        <w:keepLines w:val="1"/>
        <w:snapToGrid w:val="0"/>
        <w:spacing w:after="0" w:line="360" w:lineRule="auto" w:before="0"/>
        <w:ind w:firstLineChars="200" w:firstLine="440"/>
      </w:pPr>
      <w:r>
        <w:rPr>
          <w:rFonts w:eastAsia="宋体"/>
        </w:rPr>
        <w:t>无符号扩展会将负数变成大正数。乘积用有符号样本和系数，求和前符号扩展到完整累加位宽，避免表达式隐含位宽造成溢出。</w:t>
      </w:r>
      <w:r>
        <w:br w:type="textWrapping"/>
      </w:r>
    </w:p>
    <w:p w14:paraId="5FE8677A">
      <w:pPr>
        <w:keepNext/>
        <w:spacing w:before="160" w:after="80"/>
      </w:pPr>
      <w:r>
        <w:rPr>
          <w:rFonts w:eastAsia="微软雅黑"/>
          <w:b/>
        </w:rPr>
        <w:t>7  TLAST 是否意味着复位滤波器</w:t>
      </w:r>
    </w:p>
    <w:p w14:paraId="2364D501">
      <w:pPr>
        <w:keepLines w:val="1"/>
        <w:snapToGrid w:val="0"/>
        <w:spacing w:after="0" w:line="360" w:lineRule="auto" w:before="0"/>
        <w:ind w:firstLineChars="200" w:firstLine="440"/>
      </w:pPr>
      <w:r>
        <w:rPr>
          <w:rFonts w:eastAsia="宋体"/>
        </w:rPr>
        <w:t>由 FRAME_RESET 决定。默认只传递包边界，跨包历史继续；选择清历史时，末样本仍使用此前历史，然后准备下一帧零初态。</w:t>
      </w:r>
      <w:r>
        <w:br w:type="textWrapping"/>
      </w:r>
    </w:p>
    <w:p w14:paraId="39E38104">
      <w:r>
        <w:br w:type="page"/>
      </w:r>
    </w:p>
    <w:p w14:paraId="3CD9E3D6">
      <w:pPr>
        <w:pStyle w:val="3"/>
        <w:spacing w:before="160" w:after="80"/>
      </w:pPr>
      <w:r>
        <w:rPr>
          <w:rFonts w:eastAsia="微软雅黑"/>
        </w:rPr>
        <w:t>附录 技术问答 数值与跨域</w:t>
      </w:r>
    </w:p>
    <w:p w14:paraId="725C1022">
      <w:pPr>
        <w:keepNext/>
        <w:spacing w:before="160" w:after="80"/>
      </w:pPr>
      <w:r>
        <w:rPr>
          <w:rFonts w:eastAsia="微软雅黑"/>
          <w:b/>
        </w:rPr>
        <w:t>8  FIR 是否自动输出尾部</w:t>
      </w:r>
    </w:p>
    <w:p w14:paraId="518F1937">
      <w:pPr>
        <w:keepLines w:val="1"/>
        <w:snapToGrid w:val="0"/>
        <w:spacing w:after="0" w:line="360" w:lineRule="auto" w:before="0"/>
        <w:ind w:firstLineChars="200" w:firstLine="440"/>
      </w:pPr>
      <w:r>
        <w:rPr>
          <w:rFonts w:eastAsia="宋体"/>
        </w:rPr>
        <w:t>不自动补零，输入与输出握手数量一致。若应用需要完整卷积尾部，源端应主动追加 TAPS 减 1 个零样本并安排 TLAST。</w:t>
      </w:r>
      <w:r>
        <w:br w:type="textWrapping"/>
      </w:r>
    </w:p>
    <w:p w14:paraId="7456132C">
      <w:pPr>
        <w:keepNext/>
        <w:spacing w:before="160" w:after="80"/>
      </w:pPr>
      <w:r>
        <w:rPr>
          <w:rFonts w:eastAsia="微软雅黑"/>
          <w:b/>
        </w:rPr>
        <w:t>9  为什么不能运行中直接改 active 系数</w:t>
      </w:r>
    </w:p>
    <w:p w14:paraId="646AFDE0">
      <w:pPr>
        <w:keepLines w:val="1"/>
        <w:snapToGrid w:val="0"/>
        <w:spacing w:after="0" w:line="360" w:lineRule="auto" w:before="0"/>
        <w:ind w:firstLineChars="200" w:firstLine="440"/>
      </w:pPr>
      <w:r>
        <w:rPr>
          <w:rFonts w:eastAsia="宋体"/>
        </w:rPr>
        <w:t>不同抽头或不同在途样本可能使用混合的新旧系数，破坏黄金模型定义。影子写入与排空后原子提交给出明确切换边界。</w:t>
      </w:r>
      <w:r>
        <w:br w:type="textWrapping"/>
      </w:r>
    </w:p>
    <w:p w14:paraId="7DE674CA">
      <w:pPr>
        <w:keepNext/>
        <w:spacing w:before="160" w:after="80"/>
      </w:pPr>
      <w:r>
        <w:rPr>
          <w:rFonts w:eastAsia="微软雅黑"/>
          <w:b/>
        </w:rPr>
        <w:t>10  为何提交后清空历史</w:t>
      </w:r>
    </w:p>
    <w:p w14:paraId="5168FFFD">
      <w:pPr>
        <w:keepLines w:val="1"/>
        <w:snapToGrid w:val="0"/>
        <w:spacing w:after="0" w:line="360" w:lineRule="auto" w:before="0"/>
        <w:ind w:firstLineChars="200" w:firstLine="440"/>
      </w:pPr>
      <w:r>
        <w:rPr>
          <w:rFonts w:eastAsia="宋体"/>
        </w:rPr>
        <w:t>历史样本代表旧滤波状态。本项目定义新系数启用时从零历史开始，便于软件使用和验证；若要无缝保留状态，需要另行定义更新语义。</w:t>
      </w:r>
      <w:r>
        <w:br w:type="textWrapping"/>
      </w:r>
    </w:p>
    <w:p w14:paraId="78A72AFD">
      <w:pPr>
        <w:keepNext/>
        <w:spacing w:before="160" w:after="80"/>
      </w:pPr>
      <w:r>
        <w:rPr>
          <w:rFonts w:eastAsia="微软雅黑"/>
          <w:b/>
        </w:rPr>
        <w:t>11  算术右移是否等于朝零截断</w:t>
      </w:r>
    </w:p>
    <w:p w14:paraId="323DFF9E">
      <w:pPr>
        <w:keepLines w:val="1"/>
        <w:snapToGrid w:val="0"/>
        <w:spacing w:after="0" w:line="360" w:lineRule="auto" w:before="0"/>
        <w:ind w:firstLineChars="200" w:firstLine="440"/>
      </w:pPr>
      <w:r>
        <w:rPr>
          <w:rFonts w:eastAsia="宋体"/>
        </w:rPr>
        <w:t>不是。负数算术右移相当于向负无穷取整，例如负 3 右移一位得到负 2，而朝零取整会得到负 1。</w:t>
      </w:r>
      <w:r>
        <w:br w:type="textWrapping"/>
      </w:r>
    </w:p>
    <w:p w14:paraId="309263CD">
      <w:pPr>
        <w:keepNext/>
        <w:spacing w:before="160" w:after="80"/>
      </w:pPr>
      <w:r>
        <w:rPr>
          <w:rFonts w:eastAsia="微软雅黑"/>
          <w:b/>
        </w:rPr>
        <w:t>12  最近偶数舍入为什么有用</w:t>
      </w:r>
    </w:p>
    <w:p w14:paraId="31C6E015">
      <w:pPr>
        <w:keepLines w:val="1"/>
        <w:snapToGrid w:val="0"/>
        <w:spacing w:after="0" w:line="360" w:lineRule="auto" w:before="0"/>
        <w:ind w:firstLineChars="200" w:firstLine="440"/>
      </w:pPr>
      <w:r>
        <w:rPr>
          <w:rFonts w:eastAsia="宋体"/>
        </w:rPr>
        <w:t>中点始终偏向同一方向会带来偏置。最近偶数使中点落在偶数结果上，在许多数值分布中可以降低累计舍入偏差。</w:t>
      </w:r>
      <w:r>
        <w:br w:type="textWrapping"/>
      </w:r>
    </w:p>
    <w:p w14:paraId="7543E633">
      <w:pPr>
        <w:keepNext/>
        <w:spacing w:before="160" w:after="80"/>
      </w:pPr>
      <w:r>
        <w:rPr>
          <w:rFonts w:eastAsia="微软雅黑"/>
          <w:b/>
        </w:rPr>
        <w:t>13  饱和和回绕何时选择</w:t>
      </w:r>
    </w:p>
    <w:p w14:paraId="6314832B">
      <w:pPr>
        <w:keepLines w:val="1"/>
        <w:snapToGrid w:val="0"/>
        <w:spacing w:after="0" w:line="360" w:lineRule="auto" w:before="0"/>
        <w:ind w:firstLineChars="200" w:firstLine="440"/>
      </w:pPr>
      <w:r>
        <w:rPr>
          <w:rFonts w:eastAsia="宋体"/>
        </w:rPr>
        <w:t>饱和避免幅度溢出后突然翻转符号，常用于 DSP 输出。回绕对应固定宽度补码运算，适合明确允许模数行为的应用。</w:t>
      </w:r>
      <w:r>
        <w:br w:type="textWrapping"/>
      </w:r>
    </w:p>
    <w:p w14:paraId="3245DCC9">
      <w:pPr>
        <w:keepNext/>
        <w:spacing w:before="160" w:after="80"/>
      </w:pPr>
      <w:r>
        <w:rPr>
          <w:rFonts w:eastAsia="微软雅黑"/>
          <w:b/>
        </w:rPr>
        <w:t>14  为什么 Gray 指针仍需约束</w:t>
      </w:r>
    </w:p>
    <w:p w14:paraId="0103B0E9">
      <w:pPr>
        <w:keepLines w:val="1"/>
        <w:snapToGrid w:val="0"/>
        <w:spacing w:after="0" w:line="360" w:lineRule="auto" w:before="0"/>
        <w:ind w:firstLineChars="200" w:firstLine="440"/>
      </w:pPr>
      <w:r>
        <w:rPr>
          <w:rFonts w:eastAsia="宋体"/>
        </w:rPr>
        <w:t>逻辑上一次只变一位，但不同位经过不等布线延迟，多个连续状态仍可能在采样端重叠。位间 skew 必须小于发起更新的最短周期。</w:t>
      </w:r>
      <w:r>
        <w:br w:type="textWrapping"/>
      </w:r>
    </w:p>
    <w:p w14:paraId="1D494578">
      <w:r>
        <w:br w:type="page"/>
      </w:r>
    </w:p>
    <w:p w14:paraId="4E47B075">
      <w:pPr>
        <w:pStyle w:val="3"/>
        <w:spacing w:before="160" w:after="80"/>
      </w:pPr>
      <w:r>
        <w:rPr>
          <w:rFonts w:eastAsia="微软雅黑"/>
        </w:rPr>
        <w:t>附录 技术问答 配置与验证</w:t>
      </w:r>
    </w:p>
    <w:p w14:paraId="3B7DA2CB">
      <w:pPr>
        <w:keepNext/>
        <w:spacing w:before="160" w:after="80"/>
      </w:pPr>
      <w:r>
        <w:rPr>
          <w:rFonts w:eastAsia="微软雅黑"/>
          <w:b/>
        </w:rPr>
        <w:t>15  同步器能否保证绝不亚稳</w:t>
      </w:r>
    </w:p>
    <w:p w14:paraId="33D6EC70">
      <w:pPr>
        <w:keepLines w:val="1"/>
        <w:snapToGrid w:val="0"/>
        <w:spacing w:after="0" w:line="360" w:lineRule="auto" w:before="0"/>
        <w:ind w:firstLineChars="200" w:firstLine="440"/>
      </w:pPr>
      <w:r>
        <w:rPr>
          <w:rFonts w:eastAsia="宋体"/>
        </w:rPr>
        <w:t>不能。同步器提供恢复时间并显著降低亚稳传播概率，可靠性与芯片参数、时钟 数据频率及布线有关；数字仿真不能直接证明模拟可靠性。</w:t>
      </w:r>
      <w:r>
        <w:br w:type="textWrapping"/>
      </w:r>
    </w:p>
    <w:p w14:paraId="004E17DE">
      <w:pPr>
        <w:keepNext/>
        <w:spacing w:before="160" w:after="80"/>
      </w:pPr>
      <w:r>
        <w:rPr>
          <w:rFonts w:eastAsia="微软雅黑"/>
          <w:b/>
        </w:rPr>
        <w:t>16  能否单独复位 FIFO 一侧</w:t>
      </w:r>
    </w:p>
    <w:p w14:paraId="33B4865F">
      <w:pPr>
        <w:keepLines w:val="1"/>
        <w:snapToGrid w:val="0"/>
        <w:spacing w:after="0" w:line="360" w:lineRule="auto" w:before="0"/>
        <w:ind w:firstLineChars="200" w:firstLine="440"/>
      </w:pPr>
      <w:r>
        <w:rPr>
          <w:rFonts w:eastAsia="宋体"/>
        </w:rPr>
        <w:t>当前设计要求共同复位。单侧清指针会使另一侧仍使用旧回绕状态，存在重读、覆盖或空满误判风险。</w:t>
      </w:r>
      <w:r>
        <w:br w:type="textWrapping"/>
      </w:r>
    </w:p>
    <w:p w14:paraId="52360794">
      <w:pPr>
        <w:keepNext/>
        <w:spacing w:before="160" w:after="80"/>
      </w:pPr>
      <w:r>
        <w:rPr>
          <w:rFonts w:eastAsia="微软雅黑"/>
          <w:b/>
        </w:rPr>
        <w:t>17  cfg_ready 为什么一直不出现</w:t>
      </w:r>
    </w:p>
    <w:p w14:paraId="67575159">
      <w:pPr>
        <w:keepLines w:val="1"/>
        <w:snapToGrid w:val="0"/>
        <w:spacing w:after="0" w:line="360" w:lineRule="auto" w:before="0"/>
        <w:ind w:firstLineChars="200" w:firstLine="440"/>
      </w:pPr>
      <w:r>
        <w:rPr>
          <w:rFonts w:eastAsia="宋体"/>
        </w:rPr>
        <w:t>先确认 cfg_quiesce 已保持、两个时钟在运行、下游 ready 能消费，以及源端停止条件已同步。任何在途数据未排空时都不允许提交。</w:t>
      </w:r>
      <w:r>
        <w:br w:type="textWrapping"/>
      </w:r>
    </w:p>
    <w:p w14:paraId="10102FFF">
      <w:pPr>
        <w:keepNext/>
        <w:spacing w:before="160" w:after="80"/>
      </w:pPr>
      <w:r>
        <w:rPr>
          <w:rFonts w:eastAsia="微软雅黑"/>
          <w:b/>
        </w:rPr>
        <w:t>18  Fmax 是否就是可上板的频率</w:t>
      </w:r>
    </w:p>
    <w:p w14:paraId="53217EB1">
      <w:pPr>
        <w:keepLines w:val="1"/>
        <w:snapToGrid w:val="0"/>
        <w:spacing w:after="0" w:line="360" w:lineRule="auto" w:before="0"/>
        <w:ind w:firstLineChars="200" w:firstLine="440"/>
      </w:pPr>
      <w:r>
        <w:rPr>
          <w:rFonts w:eastAsia="宋体"/>
        </w:rPr>
        <w:t>不是。Fmax 是给定约束和布局下的同钟路径报告。板级可用频率还需外部接口、管脚、电压、时钟质量和全部时序角落满足要求。</w:t>
      </w:r>
      <w:r>
        <w:br w:type="textWrapping"/>
      </w:r>
    </w:p>
    <w:p w14:paraId="5CCFC467">
      <w:pPr>
        <w:keepNext/>
        <w:spacing w:before="160" w:after="80"/>
      </w:pPr>
      <w:r>
        <w:rPr>
          <w:rFonts w:eastAsia="微软雅黑"/>
          <w:b/>
        </w:rPr>
        <w:t>19  如何证明设计没有丢数据</w:t>
      </w:r>
    </w:p>
    <w:p w14:paraId="0C8197C5">
      <w:pPr>
        <w:keepLines w:val="1"/>
        <w:snapToGrid w:val="0"/>
        <w:spacing w:after="0" w:line="360" w:lineRule="auto" w:before="0"/>
        <w:ind w:firstLineChars="200" w:firstLine="440"/>
      </w:pPr>
      <w:r>
        <w:rPr>
          <w:rFonts w:eastAsia="宋体"/>
        </w:rPr>
        <w:t>比较输入与输出握手数量，对每次输出的数值和 TLAST 按序比对，再覆盖长反压、时钟速率变化、FIFO 回绕和复位。当前回归均实现了这些检查。</w:t>
      </w:r>
      <w:r>
        <w:br w:type="textWrapping"/>
      </w:r>
    </w:p>
    <w:p w14:paraId="1D4AB2FB">
      <w:pPr>
        <w:keepNext/>
        <w:spacing w:before="160" w:after="80"/>
      </w:pPr>
      <w:r>
        <w:rPr>
          <w:rFonts w:eastAsia="微软雅黑"/>
          <w:b/>
        </w:rPr>
        <w:t>20  怎样继续提高频率</w:t>
      </w:r>
    </w:p>
    <w:p w14:paraId="2F98BC4A">
      <w:pPr>
        <w:keepLines w:val="1"/>
        <w:snapToGrid w:val="0"/>
        <w:spacing w:after="0" w:line="360" w:lineRule="auto" w:before="0"/>
        <w:ind w:firstLineChars="200" w:firstLine="440"/>
      </w:pPr>
      <w:r>
        <w:rPr>
          <w:rFonts w:eastAsia="宋体"/>
        </w:rPr>
        <w:t>先看真实最差路径。当前可考虑用 skid buffer 寄存 ready、减少配置控制输出的组合层次，并结合芯片资源重新流水化；每次改动重新回归与 STA。</w:t>
      </w:r>
      <w:r>
        <w:br w:type="textWrapping"/>
      </w:r>
    </w:p>
    <w:sectPr>
      <w:footerReference r:id="rId5" w:type="default"/>
      <w:pgSz w:w="11905" w:h="16838"/>
      <w:pgMar w:top="1008" w:right="1152" w:bottom="936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4C25F9">
    <w:pPr>
      <w:pStyle w:val="24"/>
      <w:jc w:val="center"/>
    </w:pPr>
    <w:r>
      <w:rPr>
        <w:rFonts w:eastAsia="宋体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rFonts w:eastAsia="宋体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9" w:lineRule="auto"/>
      </w:pPr>
      <w:r>
        <w:separator/>
      </w:r>
    </w:p>
  </w:footnote>
  <w:footnote w:type="continuationSeparator" w:id="1">
    <w:p>
      <w:pPr>
        <w:spacing w:before="0" w:after="0" w:line="26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D734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cstheme="minorBidi" w:eastAsia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40" w:line="269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40" w:after="160"/>
      <w:outlineLvl w:val="0"/>
    </w:pPr>
    <w:rPr>
      <w:rFonts w:asciiTheme="majorHAnsi" w:hAnsiTheme="majorHAnsi" w:cstheme="majorBidi" w:eastAsia="微软雅黑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60"/>
      <w:outlineLvl w:val="1"/>
    </w:pPr>
    <w:rPr>
      <w:rFonts w:asciiTheme="majorHAnsi" w:hAnsiTheme="majorHAnsi" w:cstheme="majorBidi" w:eastAsia="微软雅黑"/>
      <w:b/>
      <w:bCs/>
      <w:color w:val="000000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cstheme="majorBidi" w:eastAsia="微软雅黑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cstheme="majorBidi" w:eastAsia="微软雅黑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cstheme="majorBidi" w:eastAsia="微软雅黑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cstheme="majorBidi" w:eastAsia="微软雅黑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cstheme="majorBidi" w:eastAsia="微软雅黑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cstheme="majorBidi" w:eastAsia="微软雅黑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cstheme="majorBidi" w:eastAsia="微软雅黑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  <w:rPr>
      <w:rFonts w:eastAsia="宋体"/>
    </w:rPr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  <w:rPr>
      <w:rFonts w:eastAsia="宋体"/>
    </w:r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cstheme="minorBidi" w:eastAsia="宋体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  <w:rPr>
      <w:rFonts w:eastAsia="宋体"/>
    </w:r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  <w:rPr>
      <w:rFonts w:eastAsia="宋体"/>
    </w:r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  <w:rPr>
      <w:rFonts w:eastAsia="宋体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rFonts w:eastAsia="宋体"/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  <w:rPr>
      <w:rFonts w:eastAsia="宋体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rFonts w:eastAsia="宋体"/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  <w:rPr>
      <w:rFonts w:eastAsia="宋体"/>
    </w:r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  <w:rPr>
      <w:rFonts w:eastAsia="宋体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  <w:rPr>
      <w:rFonts w:eastAsia="宋体"/>
    </w:rPr>
  </w:style>
  <w:style w:type="paragraph" w:styleId="21">
    <w:name w:val="List 2"/>
    <w:basedOn w:val="1"/>
    <w:unhideWhenUsed/>
    <w:uiPriority w:val="99"/>
    <w:pPr>
      <w:ind w:left="720" w:hanging="360"/>
      <w:contextualSpacing/>
    </w:pPr>
    <w:rPr>
      <w:rFonts w:eastAsia="宋体"/>
    </w:r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  <w:rPr>
      <w:rFonts w:eastAsia="宋体"/>
    </w:r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  <w:rPr>
      <w:rFonts w:eastAsia="宋体"/>
    </w:r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eastAsia="宋体"/>
    </w:r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eastAsia="宋体"/>
    </w:r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cstheme="majorBidi" w:eastAsia="微软雅黑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  <w:rPr>
      <w:rFonts w:eastAsia="宋体"/>
    </w:r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  <w:rPr>
      <w:rFonts w:eastAsia="宋体"/>
    </w:r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  <w:rPr>
      <w:rFonts w:eastAsia="宋体"/>
    </w:r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  <w:rPr>
      <w:rFonts w:eastAsia="宋体"/>
    </w:rPr>
  </w:style>
  <w:style w:type="paragraph" w:styleId="31">
    <w:name w:val="Title"/>
    <w:basedOn w:val="1"/>
    <w:next w:val="1"/>
    <w:link w:val="141"/>
    <w:qFormat/>
    <w:uiPriority w:val="10"/>
    <w:pPr>
      <w:spacing w:before="240" w:after="160" w:line="240" w:lineRule="auto"/>
      <w:contextualSpacing/>
    </w:pPr>
    <w:rPr>
      <w:rFonts w:asciiTheme="majorHAnsi" w:hAnsiTheme="majorHAnsi" w:cstheme="majorBidi" w:eastAsia="微软雅黑"/>
      <w:color w:val="000000"/>
      <w:spacing w:val="5"/>
      <w:kern w:val="28"/>
      <w:sz w:val="46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rPr>
      <w:rFonts w:eastAsia="宋体"/>
    </w:rPr>
  </w:style>
  <w:style w:type="table" w:styleId="34">
    <w:name w:val="Light Shading"/>
    <w:basedOn w:val="32"/>
    <w:qFormat/>
    <w:uiPriority w:val="60"/>
    <w:pPr>
      <w:spacing w:after="0" w:line="240" w:lineRule="auto"/>
    </w:pPr>
    <w:rPr>
      <w:rFonts w:eastAsia="宋体"/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rFonts w:eastAsia="宋体"/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rFonts w:eastAsia="宋体"/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rFonts w:eastAsia="宋体"/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rFonts w:eastAsia="宋体"/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rFonts w:eastAsia="宋体"/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rFonts w:eastAsia="宋体"/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rPr>
      <w:rFonts w:eastAsia="宋体"/>
    </w:r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rPr>
      <w:rFonts w:eastAsia="宋体"/>
    </w:r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rPr>
      <w:rFonts w:eastAsia="宋体"/>
    </w:r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rPr>
      <w:rFonts w:eastAsia="宋体"/>
    </w:r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rPr>
      <w:rFonts w:eastAsia="宋体"/>
    </w:r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rPr>
      <w:rFonts w:eastAsia="宋体"/>
    </w:r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rPr>
      <w:rFonts w:eastAsia="宋体"/>
    </w:r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  <w:rPr>
      <w:rFonts w:eastAsia="宋体"/>
    </w:r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  <w:rPr>
      <w:rFonts w:eastAsia="宋体"/>
    </w:r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  <w:rPr>
      <w:rFonts w:eastAsia="宋体"/>
    </w:r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  <w:rPr>
      <w:rFonts w:eastAsia="宋体"/>
    </w:r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  <w:rPr>
      <w:rFonts w:eastAsia="宋体"/>
    </w:r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  <w:rPr>
      <w:rFonts w:eastAsia="宋体"/>
    </w:r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  <w:rPr>
      <w:rFonts w:eastAsia="宋体"/>
    </w:r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eastAsia="宋体"/>
    </w:r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eastAsia="宋体"/>
    </w:r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eastAsia="宋体"/>
    </w:r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eastAsia="宋体"/>
    </w:r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eastAsia="宋体"/>
    </w:r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eastAsia="宋体"/>
    </w:r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eastAsia="宋体"/>
    </w:r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rPr>
      <w:rFonts w:eastAsia="宋体"/>
    </w:r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rPr>
      <w:rFonts w:eastAsia="宋体"/>
    </w:r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rPr>
      <w:rFonts w:eastAsia="宋体"/>
    </w:r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rPr>
      <w:rFonts w:eastAsia="宋体"/>
    </w:r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rPr>
      <w:rFonts w:eastAsia="宋体"/>
    </w:r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rPr>
      <w:rFonts w:eastAsia="宋体"/>
    </w:r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rPr>
      <w:rFonts w:eastAsia="宋体"/>
    </w:rPr>
  </w:style>
  <w:style w:type="table" w:styleId="69">
    <w:name w:val="Medium List 1"/>
    <w:basedOn w:val="32"/>
    <w:qFormat/>
    <w:uiPriority w:val="65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cstheme="majorBidi"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cstheme="majorBidi"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cstheme="majorBidi"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cstheme="majorBidi"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cstheme="majorBidi"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cstheme="majorBidi"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cstheme="majorBidi"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  <w:rPr>
      <w:rFonts w:eastAsia="宋体"/>
    </w:r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  <w:rPr>
      <w:rFonts w:eastAsia="宋体"/>
    </w:r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eastAsia="宋体"/>
    </w:r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eastAsia="宋体"/>
    </w:r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eastAsia="宋体"/>
    </w:r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eastAsia="宋体"/>
    </w:r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eastAsia="宋体"/>
    </w:r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cstheme="majorBidi"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cstheme="majorBidi"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cstheme="majorBidi"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cstheme="majorBidi"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cstheme="majorBidi"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cstheme="majorBidi"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cstheme="majorBidi"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  <w:rPr>
      <w:rFonts w:eastAsia="宋体"/>
    </w:r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  <w:rPr>
      <w:rFonts w:eastAsia="宋体"/>
    </w:r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  <w:rPr>
      <w:rFonts w:eastAsia="宋体"/>
    </w:r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  <w:rPr>
      <w:rFonts w:eastAsia="宋体"/>
    </w:r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  <w:rPr>
      <w:rFonts w:eastAsia="宋体"/>
    </w:r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  <w:rPr>
      <w:rFonts w:eastAsia="宋体"/>
    </w:r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  <w:rPr>
      <w:rFonts w:eastAsia="宋体"/>
    </w:rPr>
  </w:style>
  <w:style w:type="table" w:styleId="104">
    <w:name w:val="Dark List"/>
    <w:basedOn w:val="32"/>
    <w:qFormat/>
    <w:uiPriority w:val="70"/>
    <w:pPr>
      <w:spacing w:after="0" w:line="240" w:lineRule="auto"/>
    </w:pPr>
    <w:rPr>
      <w:rFonts w:eastAsia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rFonts w:eastAsia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rFonts w:eastAsia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rFonts w:eastAsia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rFonts w:eastAsia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rFonts w:eastAsia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rFonts w:eastAsia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rFonts w:eastAsia="宋体"/>
      <w:b/>
      <w:bCs/>
    </w:rPr>
  </w:style>
  <w:style w:type="character" w:styleId="134">
    <w:name w:val="Emphasis"/>
    <w:basedOn w:val="132"/>
    <w:qFormat/>
    <w:uiPriority w:val="20"/>
    <w:rPr>
      <w:rFonts w:eastAsia="宋体"/>
      <w:i/>
      <w:iCs/>
    </w:rPr>
  </w:style>
  <w:style w:type="character" w:customStyle="1" w:styleId="135">
    <w:name w:val="Header Char"/>
    <w:basedOn w:val="132"/>
    <w:link w:val="25"/>
    <w:uiPriority w:val="99"/>
    <w:rPr>
      <w:rFonts w:eastAsia="宋体"/>
    </w:rPr>
  </w:style>
  <w:style w:type="character" w:customStyle="1" w:styleId="136">
    <w:name w:val="Footer Char"/>
    <w:basedOn w:val="132"/>
    <w:link w:val="24"/>
    <w:uiPriority w:val="99"/>
    <w:rPr>
      <w:rFonts w:eastAsia="宋体"/>
    </w:rPr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cstheme="minorBidi" w:eastAsia="宋体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cstheme="majorBidi" w:eastAsia="微软雅黑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cstheme="majorBidi" w:eastAsia="微软雅黑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cstheme="majorBidi" w:eastAsia="微软雅黑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cstheme="majorBidi" w:eastAsia="宋体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cstheme="majorBidi" w:eastAsia="宋体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  <w:rPr>
      <w:rFonts w:eastAsia="宋体"/>
    </w:rPr>
  </w:style>
  <w:style w:type="character" w:customStyle="1" w:styleId="144">
    <w:name w:val="Body Text Char"/>
    <w:basedOn w:val="132"/>
    <w:link w:val="19"/>
    <w:uiPriority w:val="99"/>
    <w:rPr>
      <w:rFonts w:eastAsia="宋体"/>
    </w:rPr>
  </w:style>
  <w:style w:type="character" w:customStyle="1" w:styleId="145">
    <w:name w:val="Body Text 2 Char"/>
    <w:basedOn w:val="132"/>
    <w:link w:val="28"/>
    <w:qFormat/>
    <w:uiPriority w:val="99"/>
    <w:rPr>
      <w:rFonts w:eastAsia="宋体"/>
    </w:rPr>
  </w:style>
  <w:style w:type="character" w:customStyle="1" w:styleId="146">
    <w:name w:val="Body Text 3 Char"/>
    <w:basedOn w:val="132"/>
    <w:link w:val="17"/>
    <w:qFormat/>
    <w:uiPriority w:val="99"/>
    <w:rPr>
      <w:rFonts w:eastAsia="宋体"/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 w:eastAsia="宋体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rFonts w:eastAsia="宋体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rFonts w:eastAsia="宋体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cstheme="majorBidi" w:eastAsia="微软雅黑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cstheme="majorBidi" w:eastAsia="微软雅黑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cstheme="majorBidi" w:eastAsia="微软雅黑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cstheme="majorBidi" w:eastAsia="微软雅黑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cstheme="majorBidi" w:eastAsia="微软雅黑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cstheme="majorBidi" w:eastAsia="微软雅黑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rFonts w:eastAsia="宋体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rFonts w:eastAsia="宋体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rFonts w:eastAsia="宋体"/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rFonts w:eastAsia="宋体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rFonts w:eastAsia="宋体"/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rFonts w:eastAsia="宋体"/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rFonts w:eastAsia="宋体"/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  <w:rPr>
      <w:rFonts w:eastAsia="微软雅黑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6231</Words>
  <Characters>8374</Characters>
  <Lines>0</Lines>
  <Paragraphs>0</Paragraphs>
  <TotalTime>0</TotalTime>
  <ScaleCrop>false</ScaleCrop>
  <LinksUpToDate>false</LinksUpToDate>
  <CharactersWithSpaces>9159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张佳凝</dc:creator>
  <cp:lastModifiedBy>威尔逊必然不是歌手！</cp:lastModifiedBy>
  <dcterms:modified xsi:type="dcterms:W3CDTF">2026-10-13T13:59:28Z</dcterms:modified>
  <dc:subject>参数化 AXI4 Stream 定点 FIR 加速器</dc:subject>
  <dc:title>AXI4 Stream FIR DSP 加速器实现与验证报告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eyJoZGlkIjoiNGYzZDYyMmU1NzZlYWJmNDYzOGE1ODhhYmI4M2M4YjUiLCJ1c2VySWQiOiIxMTcxMzAxMzI4In0=</vt:lpwstr>
  </property>
  <property fmtid="{D5CDD505-2E9C-101B-9397-08002B2CF9AE}" pid="3" name="KSOProductBuildVer">
    <vt:lpwstr>2052-12.1.0.26895</vt:lpwstr>
  </property>
  <property fmtid="{D5CDD505-2E9C-101B-9397-08002B2CF9AE}" pid="4" name="ICV">
    <vt:lpwstr>48BD5016EA9B4E668EC379AF303272F7_12</vt:lpwstr>
  </property>
</Properties>
</file>