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Strategic Intelligence Report</w:t>
      </w:r>
    </w:p>
    <w:p>
      <w:pPr>
        <w:jc w:val="center"/>
      </w:pPr>
      <w:r>
        <w:rPr>
          <w:b/>
          <w:sz w:val="40"/>
        </w:rPr>
        <w:t>The Institutionalization of Green Labels</w:t>
        <w:br/>
        <w:t>in Animal Nutrition and Pet Care</w:t>
      </w:r>
    </w:p>
    <w:p>
      <w:pPr>
        <w:jc w:val="center"/>
      </w:pPr>
      <w:r>
        <w:t>Updated: 21 January 2026</w:t>
      </w:r>
    </w:p>
    <w:p>
      <w:pPr>
        <w:jc w:val="center"/>
      </w:pPr>
      <w:r>
        <w:br/>
      </w:r>
    </w:p>
    <w:p>
      <w:pPr>
        <w:jc w:val="center"/>
      </w:pPr>
      <w:r>
        <w:t>Prepared for: [Client]</w:t>
      </w:r>
    </w:p>
    <w:p>
      <w:pPr>
        <w:jc w:val="center"/>
      </w:pPr>
      <w:r>
        <w:t>Prepared by: [Analyst]</w:t>
      </w:r>
    </w:p>
    <w:p>
      <w:r>
        <w:br w:type="page"/>
      </w:r>
    </w:p>
    <w:p>
      <w:pPr>
        <w:pStyle w:val="Heading1"/>
      </w:pPr>
      <w:r>
        <w:t>Disclaimer</w:t>
      </w:r>
    </w:p>
    <w:p>
      <w:r>
        <w:t>This report is for general informational purposes only. It is not legal advice. Regulatory requirements can differ by jurisdiction, product category, claim wording, and distribution channel. Consult qualified legal and regulatory counsel before making or substantiating environmental, sustainability, health, or performance claims.</w:t>
      </w:r>
    </w:p>
    <w:p>
      <w:r>
        <w:br w:type="page"/>
      </w:r>
    </w:p>
    <w:p>
      <w:pPr>
        <w:pStyle w:val="Heading1"/>
      </w:pPr>
      <w:r>
        <w:t>Table of contents</w:t>
      </w:r>
    </w:p>
    <w:p>
      <w:pPr/>
      <w:r>
        <w:t>1. Executive summary</w:t>
      </w:r>
    </w:p>
    <w:p>
      <w:pPr/>
      <w:r>
        <w:t>2. Scope, definitions, and methodology</w:t>
      </w:r>
    </w:p>
    <w:p>
      <w:pPr/>
      <w:r>
        <w:t>3. Why green labels are being institutionalized</w:t>
      </w:r>
    </w:p>
    <w:p>
      <w:pPr/>
      <w:r>
        <w:t>4. Regulatory and standards landscape</w:t>
      </w:r>
    </w:p>
    <w:p>
      <w:pPr/>
      <w:r>
        <w:t>5. Green label taxonomy for feed and pet care</w:t>
      </w:r>
    </w:p>
    <w:p>
      <w:pPr/>
      <w:r>
        <w:t>6. Auditability, data, and assurance requirements</w:t>
      </w:r>
    </w:p>
    <w:p>
      <w:pPr/>
      <w:r>
        <w:t>7. Segment implications: livestock feed</w:t>
      </w:r>
    </w:p>
    <w:p>
      <w:pPr/>
      <w:r>
        <w:t>8. Segment implications: pet food and pet care</w:t>
      </w:r>
    </w:p>
    <w:p>
      <w:pPr/>
      <w:r>
        <w:t>9. Competitive landscape and illustrative case studies</w:t>
      </w:r>
    </w:p>
    <w:p>
      <w:pPr/>
      <w:r>
        <w:t>10. Implementation playbook for a defensible green label program</w:t>
      </w:r>
    </w:p>
    <w:p>
      <w:pPr/>
      <w:r>
        <w:t>11. Scenarios and early warning indicators</w:t>
      </w:r>
    </w:p>
    <w:p>
      <w:pPr/>
      <w:r>
        <w:t>12. Recommendations</w:t>
      </w:r>
    </w:p>
    <w:p>
      <w:pPr/>
      <w:r>
        <w:t>Appendix A. Evidence hierarchy and claim substantiation checklist</w:t>
      </w:r>
    </w:p>
    <w:p>
      <w:pPr/>
      <w:r>
        <w:t>Appendix B. Reference standards and schemes</w:t>
      </w:r>
    </w:p>
    <w:p>
      <w:pPr/>
      <w:r>
        <w:t>Appendix C. Glossary</w:t>
      </w:r>
    </w:p>
    <w:p>
      <w:pPr/>
      <w:r>
        <w:t>Appendix D. Sources</w:t>
      </w:r>
    </w:p>
    <w:p>
      <w:r>
        <w:br w:type="page"/>
      </w:r>
    </w:p>
    <w:p>
      <w:pPr>
        <w:pStyle w:val="Heading1"/>
      </w:pPr>
      <w:r>
        <w:t>1. Executive summary</w:t>
      </w:r>
    </w:p>
    <w:p>
      <w:r>
        <w:rPr>
          <w:b/>
        </w:rPr>
        <w:t>Draft fixes implemented in this version:</w:t>
      </w:r>
    </w:p>
    <w:p>
      <w:pPr>
        <w:pStyle w:val="ListBullet"/>
      </w:pPr>
      <w:r>
        <w:t>Expanded the report into an implementation-ready playbook with governance, evidence tiers, templates, and a detailed sources appendix.</w:t>
      </w:r>
    </w:p>
    <w:p>
      <w:pPr>
        <w:pStyle w:val="ListBullet"/>
      </w:pPr>
      <w:r>
        <w:t>Added the postponed application dates for the EU Deforestation Regulation and implications for deforestation-risk claims and due diligence.</w:t>
      </w:r>
    </w:p>
    <w:p>
      <w:pPr>
        <w:pStyle w:val="ListBullet"/>
      </w:pPr>
      <w:r>
        <w:t>Aligned the EU feed sector section to the published Copa-Cogeca/FEFAC Code of Good Labelling Practices v1.2 (2024-12) and its linkage to PEFCR Feed and GFLI.</w:t>
      </w:r>
    </w:p>
    <w:p>
      <w:pPr>
        <w:pStyle w:val="ListBullet"/>
      </w:pPr>
      <w:r>
        <w:t>Corrected the status of the US Innovative FEED Act: introduced bills (H.R. 2203 and S. 1906) rather than enacted law.</w:t>
      </w:r>
    </w:p>
    <w:p>
      <w:pPr>
        <w:pStyle w:val="ListBullet"/>
      </w:pPr>
      <w:r>
        <w:t>Updated EU regulatory landscape: EmpCo Directive timing and implications; EU Green Claims directive proposal described as paused rather than actively in trilogue.</w:t>
      </w:r>
    </w:p>
    <w:p>
      <w:r>
        <w:t>Green labels are moving from optional marketing assets to quasi-regulatory instruments. Across animal nutrition and pet care, sustainability claims are increasingly constrained by (1) tighter consumer protection rules, (2) procurement requirements that translate Scope 3 emissions targets into supplier scorecards, and (3) industry codes that standardize how environmental performance must be calculated and communicated.</w:t>
      </w:r>
    </w:p>
    <w:p>
      <w:r>
        <w:t>The practical effect is institutionalization: in the EU, the combination of the Empowering Consumers for the Green Transition Directive (EmpCo) and feed-sector initiatives (for example, the Copa-Cogeca and FEFAC Code of Good Labelling Practices integrating PEFCR Feed and GFLI data) is creating a de facto baseline for what counts as a legitimate environmental claim. In the US, environmental marketing is still primarily enforced through the FTC Act and state consumer protection laws, but sector-specific policy efforts such as the Innovative FEED Act illustrate a push to modernize the regulatory pathway for certain feed ingredients intended to deliver animal performance, food safety, or environmental benefits.</w:t>
      </w:r>
    </w:p>
    <w:p>
      <w:r>
        <w:t>A two-speed market is emerging. In livestock feed, green labels are becoming procurement signals tied to emissions reduction and compliance. In pet care, green labels remain consumer-facing trust signals, but are increasingly bounded by legal restrictions on generic claims, self-made labels, and carbon-neutral style statements.</w:t>
      </w:r>
    </w:p>
    <w:p>
      <w:r>
        <w:t>For manufacturers, the winning strategy is not to add more labels, but to build a claims system: a governed portfolio of claims mapped to evidence tiers, supported by auditable data, aligned with accepted methodologies, and designed for multi-jurisdiction deployment.</w:t>
      </w:r>
    </w:p>
    <w:p>
      <w:r>
        <w:rPr>
          <w:b/>
        </w:rPr>
        <w:t>Key takeaways:</w:t>
      </w:r>
    </w:p>
    <w:p>
      <w:pPr>
        <w:pStyle w:val="ListBullet"/>
      </w:pPr>
      <w:r>
        <w:t>Regulation is increasingly focused on claim substantiation, not just label presence. Claim wording, scope, and proof matter more than the badge itself.</w:t>
      </w:r>
    </w:p>
    <w:p>
      <w:pPr>
        <w:pStyle w:val="ListBullet"/>
      </w:pPr>
      <w:r>
        <w:t>Industry codes and databases (PEFCR Feed and GFLI) are becoming default references for feed environmental footprint communication in Europe.</w:t>
      </w:r>
    </w:p>
    <w:p>
      <w:pPr>
        <w:pStyle w:val="ListBullet"/>
      </w:pPr>
      <w:r>
        <w:t>Offset-based product climate claims are being restricted or banned in the EU consumer context, pushing brands toward lifecycle-based product footprint evidence.</w:t>
      </w:r>
    </w:p>
    <w:p>
      <w:pPr>
        <w:pStyle w:val="ListBullet"/>
      </w:pPr>
      <w:r>
        <w:t>Green labels will increasingly be evaluated in the context of farm-level and value-chain emissions reporting (Scope 3), accelerating demand for ingredient- and feed-level data.</w:t>
      </w:r>
    </w:p>
    <w:p>
      <w:pPr>
        <w:pStyle w:val="ListBullet"/>
      </w:pPr>
      <w:r>
        <w:t>Companies should implement a defensible claims governance process now (inventory, evidence standards, verification, and packaging controls) before enforcement escalates.</w:t>
      </w:r>
    </w:p>
    <w:p>
      <w:r>
        <w:br w:type="page"/>
      </w:r>
    </w:p>
    <w:p>
      <w:pPr>
        <w:pStyle w:val="Heading1"/>
      </w:pPr>
      <w:r>
        <w:t>2. Scope, definitions, and methodology</w:t>
      </w:r>
    </w:p>
    <w:p>
      <w:pPr>
        <w:pStyle w:val="Heading2"/>
      </w:pPr>
      <w:r>
        <w:t>2.1 Scope</w:t>
      </w:r>
    </w:p>
    <w:p>
      <w:r>
        <w:t>This report focuses on the institutionalization of environmental and sustainability labels and claims ("green labels") in two adjacent sectors:</w:t>
        <w:br/>
        <w:t>• Animal nutrition for food-producing animals (compound feed, premixes, and feed additives)</w:t>
        <w:br/>
        <w:t>• Pet food and pet care products (food, treats, supplements, and selected care categories where sustainability claims are common)</w:t>
      </w:r>
    </w:p>
    <w:p>
      <w:pPr>
        <w:pStyle w:val="Heading2"/>
      </w:pPr>
      <w:r>
        <w:t>2.2 Geographic lens</w:t>
      </w:r>
    </w:p>
    <w:p>
      <w:r>
        <w:t>The regulatory deep dive prioritizes the European Union and the United States, because these markets are both large and highly influential in setting labeling expectations. Where useful, the report also references the United Kingdom, Canada, and other jurisdictions to highlight convergence and divergence.</w:t>
      </w:r>
    </w:p>
    <w:p>
      <w:pPr>
        <w:pStyle w:val="Heading2"/>
      </w:pPr>
      <w:r>
        <w:t>2.3 Definitions</w:t>
      </w:r>
    </w:p>
    <w:p>
      <w:r>
        <w:rPr>
          <w:b/>
        </w:rPr>
        <w:t xml:space="preserve">Green label: </w:t>
      </w:r>
      <w:r>
        <w:t>Any symbol, badge, statement, or on-pack/off-pack communication that signals an environmental or sustainability attribute, performance, or commitment.</w:t>
      </w:r>
    </w:p>
    <w:p>
      <w:r>
        <w:rPr>
          <w:b/>
        </w:rPr>
        <w:t xml:space="preserve">Environmental claim: </w:t>
      </w:r>
      <w:r>
        <w:t>A message or representation that states or implies a product, ingredient, brand, or business has a positive, reduced, or neutral environmental impact (for example, low-carbon, recyclable, climate friendly).</w:t>
      </w:r>
    </w:p>
    <w:p>
      <w:r>
        <w:rPr>
          <w:b/>
        </w:rPr>
        <w:t xml:space="preserve">Sustainability label: </w:t>
      </w:r>
      <w:r>
        <w:t>A label that distinguishes or promotes a product, process, or business with reference to environmental or social characteristics, often linked to a certification scheme.</w:t>
      </w:r>
    </w:p>
    <w:p>
      <w:r>
        <w:rPr>
          <w:b/>
        </w:rPr>
        <w:t xml:space="preserve">Certification scheme: </w:t>
      </w:r>
      <w:r>
        <w:t>A structured program with defined criteria, governance, and independent verification leading to the right to use a mark or make a verified claim.</w:t>
      </w:r>
    </w:p>
    <w:p>
      <w:r>
        <w:rPr>
          <w:b/>
        </w:rPr>
        <w:t xml:space="preserve">Institutionalization: </w:t>
      </w:r>
      <w:r>
        <w:t>The shift from voluntary, marketing-led use of green labels to a system where labels are governed by regulation, industry codes, procurement requirements, and audit expectations.</w:t>
      </w:r>
    </w:p>
    <w:p>
      <w:pPr>
        <w:pStyle w:val="Heading2"/>
      </w:pPr>
      <w:r>
        <w:t>2.4 Methodology</w:t>
      </w:r>
    </w:p>
    <w:p>
      <w:r>
        <w:t>The analysis combines:</w:t>
        <w:br/>
        <w:t>• Review of applicable or proposed regulatory instruments and guidance</w:t>
        <w:br/>
        <w:t>• Review of sector-specific codes and methodologies used for environmental footprint communication</w:t>
        <w:br/>
        <w:t>• Market signal analysis (procurement expectations, certification programs, and innovation themes)</w:t>
        <w:br/>
        <w:t>• Synthesis into an implementation playbook suitable for manufacturers, ingredient suppliers, and brand owners</w:t>
      </w:r>
    </w:p>
    <w:p>
      <w:r>
        <w:br w:type="page"/>
      </w:r>
    </w:p>
    <w:p>
      <w:pPr>
        <w:pStyle w:val="Heading1"/>
      </w:pPr>
      <w:r>
        <w:t>3. Why green labels are being institutionalized</w:t>
      </w:r>
    </w:p>
    <w:p>
      <w:pPr>
        <w:pStyle w:val="Heading2"/>
      </w:pPr>
      <w:r>
        <w:t>3.1 Converging forces</w:t>
      </w:r>
    </w:p>
    <w:p>
      <w:r>
        <w:t>Green labels used to be driven primarily by consumer preference and brand differentiation. They are now being shaped by four converging forces:</w:t>
      </w:r>
    </w:p>
    <w:p>
      <w:r>
        <w:rPr>
          <w:b/>
        </w:rPr>
        <w:t xml:space="preserve">Consumer protection enforcement: </w:t>
      </w:r>
      <w:r>
        <w:t>Regulators and courts are increasingly challenging vague or unsubstantiated sustainability claims. The standard is shifting from "can you say it" to "can you prove it".</w:t>
      </w:r>
    </w:p>
    <w:p>
      <w:r>
        <w:rPr>
          <w:b/>
        </w:rPr>
        <w:t xml:space="preserve">Supply chain and Scope 3 pressure: </w:t>
      </w:r>
      <w:r>
        <w:t>Large food and consumer goods companies increasingly require suppliers to provide emissions and sustainability data to support their own reporting and reduction targets.</w:t>
      </w:r>
    </w:p>
    <w:p>
      <w:r>
        <w:rPr>
          <w:b/>
        </w:rPr>
        <w:t xml:space="preserve">Standardization of LCA methods: </w:t>
      </w:r>
      <w:r>
        <w:t>Life cycle assessment methodologies, product footprint standards, and sector databases are reducing the room for bespoke calculation approaches.</w:t>
      </w:r>
    </w:p>
    <w:p>
      <w:r>
        <w:rPr>
          <w:b/>
        </w:rPr>
        <w:t xml:space="preserve">Digitization of product information: </w:t>
      </w:r>
      <w:r>
        <w:t>QR codes, product passports, and retailer data requirements are increasing the amount and granularity of sustainability information associated with products.</w:t>
      </w:r>
    </w:p>
    <w:p>
      <w:pPr>
        <w:pStyle w:val="Heading2"/>
      </w:pPr>
      <w:r>
        <w:t>3.2 A two-speed market</w:t>
      </w:r>
    </w:p>
    <w:p>
      <w:r>
        <w:t>The same label can serve very different functions depending on the segment:</w:t>
        <w:br/>
        <w:t>• Livestock feed: labels are increasingly compliance and procurement instruments tied to measurable outcomes (emissions, nutrient efficiency, deforestation risk).</w:t>
        <w:br/>
        <w:t>• Pet care: labels remain consumer trust and premiumization signals, but are increasingly constrained by rules against generic claims, self-created labels, and offset-based climate claims.</w:t>
      </w:r>
    </w:p>
    <w:p>
      <w:r>
        <w:br w:type="page"/>
      </w:r>
    </w:p>
    <w:p>
      <w:pPr>
        <w:pStyle w:val="Heading1"/>
      </w:pPr>
      <w:r>
        <w:t>4. Regulatory and standards landscape</w:t>
      </w:r>
    </w:p>
    <w:p>
      <w:pPr>
        <w:pStyle w:val="Heading2"/>
      </w:pPr>
      <w:r>
        <w:t>4.1 European Union cross-cutting rules affecting green labels</w:t>
      </w:r>
    </w:p>
    <w:p>
      <w:pPr>
        <w:pStyle w:val="Heading3"/>
      </w:pPr>
      <w:r>
        <w:t>4.1.1 Empowering Consumers for the Green Transition Directive</w:t>
      </w:r>
    </w:p>
    <w:p>
      <w:r>
        <w:t>The EU has adopted a directive aimed at reducing greenwashing and improving consumer information on durability and reparability. For green labels, its most consequential elements are the new restrictions on generic environmental claims, self-created labels, and certain offset-based product climate claims. Member states must transpose the directive into national law by March 27, 2026, and the requirements are expected to apply from September 27, 2026. [Source 1]</w:t>
      </w:r>
    </w:p>
    <w:p>
      <w:r>
        <w:rPr>
          <w:b/>
        </w:rPr>
        <w:t>Practical implications for animal nutrition and pet care include:</w:t>
      </w:r>
    </w:p>
    <w:p>
      <w:pPr>
        <w:pStyle w:val="ListBullet"/>
      </w:pPr>
      <w:r>
        <w:t>Avoid broad, undefined terms (for example, "eco-friendly" or "green") unless the claim can be linked to recognized excellent environmental performance and is not misleading.</w:t>
      </w:r>
    </w:p>
    <w:p>
      <w:pPr>
        <w:pStyle w:val="ListBullet"/>
      </w:pPr>
      <w:r>
        <w:t>Treat sustainability labels as regulated assets. Labels should be either established by a public authority or grounded in a credible certification scheme with independent verification.</w:t>
      </w:r>
    </w:p>
    <w:p>
      <w:pPr>
        <w:pStyle w:val="ListBullet"/>
      </w:pPr>
      <w:r>
        <w:t>Reassess any product-level climate neutrality or climate-positive claims that rely on offsetting outside the product value chain, which face heightened restrictions in an EU consumer context.</w:t>
      </w:r>
    </w:p>
    <w:p>
      <w:pPr>
        <w:pStyle w:val="Heading3"/>
      </w:pPr>
      <w:r>
        <w:t>4.1.2 Green Claims Directive proposal</w:t>
      </w:r>
    </w:p>
    <w:p>
      <w:r>
        <w:t>The EU also proposed a separate directive to set detailed, harmonized rules for substantiating and communicating explicit environmental claims and labels. However, negotiations on the proposal were paused in June 2025 after political disagreement on scope, including concerns about expanding obligations to very small companies. As of early 2026, the proposal has not been finalized into EU law. [Sources 2-4]</w:t>
      </w:r>
    </w:p>
    <w:p>
      <w:r>
        <w:t>Implication: companies should plan for a stricter evidence regime even if a single EU-wide Green Claims directive is delayed, because EmpCo and existing consumer protection enforcement already increase the risk of weak or vague claims.</w:t>
      </w:r>
    </w:p>
    <w:p>
      <w:pPr>
        <w:pStyle w:val="Heading3"/>
      </w:pPr>
      <w:r>
        <w:t>4.1.3 Corporate reporting and value chain data demand</w:t>
      </w:r>
    </w:p>
    <w:p>
      <w:r>
        <w:t>Corporate sustainability reporting obligations in the EU are a structural driver of green labels becoming data-backed. The European Commission indicates that the first companies subject to the Corporate Sustainability Reporting Directive have to apply the new rules for the 2024 financial year, with reports published in 2025. These reporting expectations, including value-chain information, are a major reason buyers increasingly ask suppliers for product and ingredient emissions data. [Source 5]</w:t>
      </w:r>
    </w:p>
    <w:p>
      <w:pPr>
        <w:pStyle w:val="Heading3"/>
      </w:pPr>
      <w:r>
        <w:t>4.1.4 Digital Product Passports and data disclosure</w:t>
      </w:r>
    </w:p>
    <w:p>
      <w:r>
        <w:t>The EU's Ecodesign for Sustainable Products Regulation establishes a framework that includes a Digital Product Passport, designed to store product sustainability and compliance information. While implementation varies by product group, the direction of travel is toward more standardized, machine-readable sustainability data across supply chains. [Source 6]</w:t>
      </w:r>
    </w:p>
    <w:p>
      <w:pPr>
        <w:pStyle w:val="Heading2"/>
      </w:pPr>
      <w:r>
        <w:t>4.2 EU feed-specific institutionalization</w:t>
      </w:r>
    </w:p>
    <w:p>
      <w:pPr>
        <w:pStyle w:val="Heading3"/>
      </w:pPr>
      <w:r>
        <w:t>4.2.1 Baseline feed marketing rules</w:t>
      </w:r>
    </w:p>
    <w:p>
      <w:r>
        <w:t>Environmental labeling in feed operates on top of existing feed marketing and labeling requirements. In practice, feed environmental claims must be consistent with general principles against misleading marketing and must be substantiated.</w:t>
      </w:r>
    </w:p>
    <w:p>
      <w:pPr>
        <w:pStyle w:val="Heading3"/>
      </w:pPr>
      <w:r>
        <w:t>4.2.2 Copa-Cogeca and FEFAC Code of Good Labelling Practices</w:t>
      </w:r>
    </w:p>
    <w:p>
      <w:r>
        <w:t>A major institutional signal in Europe is the endorsement of the upgraded Copa-Cogeca and FEFAC Code of Good Labelling Practices for compound feed by the European Commission's Standing Committee on Plants, Animals, Food and Feed (SCoPAFF) at its meeting of 2-3 December (the code is published in the 2024-12 version). The updated code provides a harmonized approach to communicating environmental performance, integrates the PEFCR Feed for Food-Producing Animals methodology and the Global Feed LCA Institute (GFLI) database, and references communication across multiple environmental impact categories. [Source 7]</w:t>
      </w:r>
    </w:p>
    <w:p>
      <w:r>
        <w:t>Why this matters: even though the code is not an EU regulation, it functions as a sector-wide playbook. For manufacturers, it effectively defines what "good practice" looks like for environmental footprint communication in B2B feed markets.</w:t>
      </w:r>
    </w:p>
    <w:p>
      <w:pPr>
        <w:pStyle w:val="Heading2"/>
      </w:pPr>
      <w:r>
        <w:t>4.3 United States cross-cutting rules affecting green labels</w:t>
      </w:r>
    </w:p>
    <w:p>
      <w:pPr>
        <w:pStyle w:val="Heading3"/>
      </w:pPr>
      <w:r>
        <w:t>4.3.1 FTC guidance and consumer protection enforcement</w:t>
      </w:r>
    </w:p>
    <w:p>
      <w:r>
        <w:t>In the US, the Federal Trade Commission's Green Guides remain a key reference point for environmental marketing claims. The Guides are designed to help marketers avoid making environmental claims that mislead consumers and are widely used as a yardstick for substantiation and clarity. As of early 2025, reporting indicates that an updated version had not yet been released. [Sources 8-9]</w:t>
      </w:r>
    </w:p>
    <w:p>
      <w:pPr>
        <w:pStyle w:val="Heading3"/>
      </w:pPr>
      <w:r>
        <w:t>4.3.2 Industry self-regulation and litigation risk</w:t>
      </w:r>
    </w:p>
    <w:p>
      <w:r>
        <w:t>In addition to regulator action, US green claims face scrutiny through state consumer protection laws, class-action litigation, and advertising self-regulation. This creates a risk landscape where even technically accurate claims can be challenged if they are perceived as overbroad or inadequately qualified.</w:t>
      </w:r>
    </w:p>
    <w:p>
      <w:pPr>
        <w:pStyle w:val="Heading2"/>
      </w:pPr>
      <w:r>
        <w:t>4.4 US feed and pet-specific pathways</w:t>
      </w:r>
    </w:p>
    <w:p>
      <w:pPr>
        <w:pStyle w:val="Heading3"/>
      </w:pPr>
      <w:r>
        <w:t>4.4.1 FDA claim boundaries for animal food substances</w:t>
      </w:r>
    </w:p>
    <w:p>
      <w:r>
        <w:t>The FDA Center for Veterinary Medicine regulates animal food and animal drugs. Claim wording can determine which pathway applies. In a May 21, 2024 letter, FDA noted industry interest in animal food substances that act solely within the gut with claims related to animal production, animal well-being, food safety, and environmental benefits, and encouraged firms to contact FDA early in product development. [Source 10]</w:t>
      </w:r>
    </w:p>
    <w:p>
      <w:pPr>
        <w:pStyle w:val="Heading3"/>
      </w:pPr>
      <w:r>
        <w:t>4.4.2 The Innovative FEED Act and zootechnical animal food substances</w:t>
      </w:r>
    </w:p>
    <w:p>
      <w:r>
        <w:t>Bipartisan legislation has been introduced to create a defined regulatory pathway for a new category termed "zootechnical animal food substances". The House bill (H.R. 2203) was introduced March 18, 2025, and the Senate bill (S. 1906) was introduced May 22, 2025. These bills define the category and would regulate such substances as food additives rather than as animal drugs under specified conditions. As of early 2026, the bills are introduced but not enacted. [Sources 11-13]</w:t>
      </w:r>
    </w:p>
    <w:p>
      <w:r>
        <w:rPr>
          <w:b/>
        </w:rPr>
        <w:t>Strategic relevance:</w:t>
      </w:r>
    </w:p>
    <w:p>
      <w:r>
        <w:t>If enacted, the Innovative FEED Act could accelerate the commercial pathway for certain feed ingredients that deliver measurable environmental outcomes (for example, methane reduction or nutrient efficiency) while remaining within a food additive framework. Even before enactment, the policy debate signals that regulators and industry are grappling with how to handle substantiated environmental benefit claims.</w:t>
      </w:r>
    </w:p>
    <w:p>
      <w:pPr>
        <w:pStyle w:val="Heading3"/>
      </w:pPr>
      <w:r>
        <w:t>4.4.3 Pet care categories with unique regulatory triggers</w:t>
      </w:r>
    </w:p>
    <w:p>
      <w:r>
        <w:t>In pet care, some product categories have claim triggers outside food law. For example, flea and tick products are often regulated as pesticides, and claim substantiation may fall under pesticide rules. Brands should treat such categories as high-risk for both safety and greenwashing claims because the combination of health-related and environmental language can create regulatory exposure.</w:t>
      </w:r>
    </w:p>
    <w:p>
      <w:r>
        <w:br w:type="page"/>
      </w:r>
    </w:p>
    <w:p>
      <w:pPr>
        <w:pStyle w:val="Heading2"/>
      </w:pPr>
      <w:r>
        <w:t>4.5 Summary table: key instruments and what they mean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Instrument</w:t>
            </w:r>
          </w:p>
        </w:tc>
        <w:tc>
          <w:tcPr>
            <w:tcW w:type="dxa" w:w="2340"/>
          </w:tcPr>
          <w:p>
            <w:r>
              <w:t>Jurisdiction</w:t>
            </w:r>
          </w:p>
        </w:tc>
        <w:tc>
          <w:tcPr>
            <w:tcW w:type="dxa" w:w="2340"/>
          </w:tcPr>
          <w:p>
            <w:r>
              <w:t>Status and timing</w:t>
            </w:r>
          </w:p>
        </w:tc>
        <w:tc>
          <w:tcPr>
            <w:tcW w:type="dxa" w:w="2340"/>
          </w:tcPr>
          <w:p>
            <w:r>
              <w:t>Implications for green labels</w:t>
            </w:r>
          </w:p>
        </w:tc>
      </w:tr>
      <w:tr>
        <w:tc>
          <w:tcPr>
            <w:tcW w:type="dxa" w:w="2340"/>
          </w:tcPr>
          <w:p>
            <w:r>
              <w:t>EmpCo Directive (EU 2024/825)</w:t>
            </w:r>
          </w:p>
        </w:tc>
        <w:tc>
          <w:tcPr>
            <w:tcW w:type="dxa" w:w="2340"/>
          </w:tcPr>
          <w:p>
            <w:r>
              <w:t>EU</w:t>
            </w:r>
          </w:p>
        </w:tc>
        <w:tc>
          <w:tcPr>
            <w:tcW w:type="dxa" w:w="2340"/>
          </w:tcPr>
          <w:p>
            <w:r>
              <w:t>In force since March 2024. Transposition by March 27, 2026. Applies from September 27, 2026.</w:t>
            </w:r>
          </w:p>
        </w:tc>
        <w:tc>
          <w:tcPr>
            <w:tcW w:type="dxa" w:w="2340"/>
          </w:tcPr>
          <w:p>
            <w:r>
              <w:t>Restricts generic claims, self-made sustainability labels, and offset-based product climate claims in B2C contexts.</w:t>
            </w:r>
          </w:p>
        </w:tc>
      </w:tr>
      <w:tr>
        <w:tc>
          <w:tcPr>
            <w:tcW w:type="dxa" w:w="2340"/>
          </w:tcPr>
          <w:p>
            <w:r>
              <w:t>Green Claims Directive proposal (COM(2023) 166)</w:t>
            </w:r>
          </w:p>
        </w:tc>
        <w:tc>
          <w:tcPr>
            <w:tcW w:type="dxa" w:w="2340"/>
          </w:tcPr>
          <w:p>
            <w:r>
              <w:t>EU</w:t>
            </w:r>
          </w:p>
        </w:tc>
        <w:tc>
          <w:tcPr>
            <w:tcW w:type="dxa" w:w="2340"/>
          </w:tcPr>
          <w:p>
            <w:r>
              <w:t>Proposal advanced in Parliament (first reading March 2024). Negotiations paused June 2025; not finalized.</w:t>
            </w:r>
          </w:p>
        </w:tc>
        <w:tc>
          <w:tcPr>
            <w:tcW w:type="dxa" w:w="2340"/>
          </w:tcPr>
          <w:p>
            <w:r>
              <w:t>High likelihood of stricter substantiation expectations. Companies should build pre-approval ready evidence dossiers.</w:t>
            </w:r>
          </w:p>
        </w:tc>
      </w:tr>
      <w:tr>
        <w:tc>
          <w:tcPr>
            <w:tcW w:type="dxa" w:w="2340"/>
          </w:tcPr>
          <w:p>
            <w:r>
              <w:t>Copa-Cogeca and FEFAC Code of Good Labelling Practices v1.2</w:t>
            </w:r>
          </w:p>
        </w:tc>
        <w:tc>
          <w:tcPr>
            <w:tcW w:type="dxa" w:w="2340"/>
          </w:tcPr>
          <w:p>
            <w:r>
              <w:t>EU feed sector</w:t>
            </w:r>
          </w:p>
        </w:tc>
        <w:tc>
          <w:tcPr>
            <w:tcW w:type="dxa" w:w="2340"/>
          </w:tcPr>
          <w:p>
            <w:r>
              <w:t>Endorsed by SCoPAFF at 2-3 December meeting; published version dated 2024-12.</w:t>
            </w:r>
          </w:p>
        </w:tc>
        <w:tc>
          <w:tcPr>
            <w:tcW w:type="dxa" w:w="2340"/>
          </w:tcPr>
          <w:p>
            <w:r>
              <w:t>De facto standard for feed environmental footprint communication using PEFCR Feed and GFLI.</w:t>
            </w:r>
          </w:p>
        </w:tc>
      </w:tr>
      <w:tr>
        <w:tc>
          <w:tcPr>
            <w:tcW w:type="dxa" w:w="2340"/>
          </w:tcPr>
          <w:p>
            <w:r>
              <w:t>FTC Green Guides</w:t>
            </w:r>
          </w:p>
        </w:tc>
        <w:tc>
          <w:tcPr>
            <w:tcW w:type="dxa" w:w="2340"/>
          </w:tcPr>
          <w:p>
            <w:r>
              <w:t>US</w:t>
            </w:r>
          </w:p>
        </w:tc>
        <w:tc>
          <w:tcPr>
            <w:tcW w:type="dxa" w:w="2340"/>
          </w:tcPr>
          <w:p>
            <w:r>
              <w:t>Guidance framework; update process discussed publicly, but updates still pending as of early 2025.</w:t>
            </w:r>
          </w:p>
        </w:tc>
        <w:tc>
          <w:tcPr>
            <w:tcW w:type="dxa" w:w="2340"/>
          </w:tcPr>
          <w:p>
            <w:r>
              <w:t>Primary reference for substantiation, clarity, and qualifications for environmental marketing claims.</w:t>
            </w:r>
          </w:p>
        </w:tc>
      </w:tr>
      <w:tr>
        <w:tc>
          <w:tcPr>
            <w:tcW w:type="dxa" w:w="2340"/>
          </w:tcPr>
          <w:p>
            <w:r>
              <w:t>Innovative FEED Act (H.R. 2203 / S. 1906)</w:t>
            </w:r>
          </w:p>
        </w:tc>
        <w:tc>
          <w:tcPr>
            <w:tcW w:type="dxa" w:w="2340"/>
          </w:tcPr>
          <w:p>
            <w:r>
              <w:t>US</w:t>
            </w:r>
          </w:p>
        </w:tc>
        <w:tc>
          <w:tcPr>
            <w:tcW w:type="dxa" w:w="2340"/>
          </w:tcPr>
          <w:p>
            <w:r>
              <w:t>Introduced in 2025; not enacted as of early 2026.</w:t>
            </w:r>
          </w:p>
        </w:tc>
        <w:tc>
          <w:tcPr>
            <w:tcW w:type="dxa" w:w="2340"/>
          </w:tcPr>
          <w:p>
            <w:r>
              <w:t>Potential pathway for substantiated environmental-benefit feed substances under food additive regulation.</w:t>
            </w:r>
          </w:p>
        </w:tc>
      </w:tr>
    </w:tbl>
    <w:p>
      <w:r>
        <w:br w:type="page"/>
      </w:r>
    </w:p>
    <w:p>
      <w:pPr>
        <w:pStyle w:val="Heading1"/>
      </w:pPr>
      <w:r>
        <w:t>5. Green label taxonomy for feed and pet care</w:t>
      </w:r>
    </w:p>
    <w:p>
      <w:pPr>
        <w:pStyle w:val="Heading2"/>
      </w:pPr>
      <w:r>
        <w:t>5.1 A practical hierarchy of green labels</w:t>
      </w:r>
    </w:p>
    <w:p>
      <w:r>
        <w:t>For implementation, it is useful to treat green labels as a hierarchy with increasing evidentiary burden:</w:t>
      </w:r>
    </w:p>
    <w:p>
      <w:r>
        <w:rPr>
          <w:b/>
        </w:rPr>
        <w:t xml:space="preserve">Tier 0: Silent sustainability features: </w:t>
      </w:r>
      <w:r>
        <w:t>Internal sustainability improvements with no external claim. Lowest legal risk, but no market signaling.</w:t>
      </w:r>
    </w:p>
    <w:p>
      <w:r>
        <w:rPr>
          <w:b/>
        </w:rPr>
        <w:t xml:space="preserve">Tier 1: Specific attribute claims: </w:t>
      </w:r>
      <w:r>
        <w:t>Narrow, verifiable statements about a defined attribute (for example, "made with 30% recycled plastic"), supported by documentation.</w:t>
      </w:r>
    </w:p>
    <w:p>
      <w:r>
        <w:rPr>
          <w:b/>
        </w:rPr>
        <w:t xml:space="preserve">Tier 2: Comparative claims: </w:t>
      </w:r>
      <w:r>
        <w:t>Claims that compare to a baseline or competitor (for example, "20% lower carbon footprint vs 2023 recipe"). Requires strict methodological controls.</w:t>
      </w:r>
    </w:p>
    <w:p>
      <w:r>
        <w:rPr>
          <w:b/>
        </w:rPr>
        <w:t xml:space="preserve">Tier 3: Aggregated footprint claims: </w:t>
      </w:r>
      <w:r>
        <w:t>Product footprint, lifecycle, or environmental score claims (for example, PEF-based metrics). Requires LCA competence, data quality controls, and often third-party review.</w:t>
      </w:r>
    </w:p>
    <w:p>
      <w:r>
        <w:rPr>
          <w:b/>
        </w:rPr>
        <w:t xml:space="preserve">Tier 4: Certified labels and seals: </w:t>
      </w:r>
      <w:r>
        <w:t>Use of a certification mark (for example, a third-party sustainability label). Requires compliance with scheme rules and audit readiness.</w:t>
      </w:r>
    </w:p>
    <w:p>
      <w:r>
        <w:rPr>
          <w:b/>
        </w:rPr>
        <w:t xml:space="preserve">Tier 5: Multi-attribute sustainability labels: </w:t>
      </w:r>
      <w:r>
        <w:t>Labels implying broad sustainability leadership (for example, "sustainable product"), which are high-risk unless backed by recognized excellent performance across relevant categories.</w:t>
      </w:r>
    </w:p>
    <w:p>
      <w:pPr>
        <w:pStyle w:val="Heading2"/>
      </w:pPr>
      <w:r>
        <w:t>5.2 Core claim and label categories</w:t>
      </w:r>
    </w:p>
    <w:p>
      <w:r>
        <w:t>Across both livestock feed and pet care, most green labels cluster into recurring categories. Understanding these categories helps brands standardize evidence, avoid overreach, and design a portfolio that can be scaled.</w:t>
      </w:r>
    </w:p>
    <w:p>
      <w:r>
        <w:rPr>
          <w:b/>
        </w:rPr>
        <w:t xml:space="preserve">Carbon and climate: </w:t>
      </w:r>
      <w:r>
        <w:t>Product carbon footprint, low-carbon, climate impact reduction, methane reduction related messaging.</w:t>
      </w:r>
    </w:p>
    <w:p>
      <w:r>
        <w:rPr>
          <w:b/>
        </w:rPr>
        <w:t xml:space="preserve">Circularity and waste reduction: </w:t>
      </w:r>
      <w:r>
        <w:t>Upcycled ingredients, by-product utilization, circular feed, food waste diversion.</w:t>
      </w:r>
    </w:p>
    <w:p>
      <w:r>
        <w:rPr>
          <w:b/>
        </w:rPr>
        <w:t xml:space="preserve">Deforestation and land use: </w:t>
      </w:r>
      <w:r>
        <w:t>Deforestation-free sourcing, certified soy, land-use change risk management.</w:t>
      </w:r>
    </w:p>
    <w:p>
      <w:r>
        <w:rPr>
          <w:b/>
        </w:rPr>
        <w:t xml:space="preserve">Biodiversity and regenerative practices: </w:t>
      </w:r>
      <w:r>
        <w:t>Regenerative agriculture inputs, biodiversity-friendly sourcing, soil health claims.</w:t>
      </w:r>
    </w:p>
    <w:p>
      <w:r>
        <w:rPr>
          <w:b/>
        </w:rPr>
        <w:t xml:space="preserve">Water and eutrophication: </w:t>
      </w:r>
      <w:r>
        <w:t>Water use, nutrient runoff, eutrophication footprint, nitrogen efficiency.</w:t>
      </w:r>
    </w:p>
    <w:p>
      <w:r>
        <w:rPr>
          <w:b/>
        </w:rPr>
        <w:t xml:space="preserve">Packaging sustainability: </w:t>
      </w:r>
      <w:r>
        <w:t>Recyclability, recycled content, refill, compostability, lightweighting.</w:t>
      </w:r>
    </w:p>
    <w:p>
      <w:r>
        <w:rPr>
          <w:b/>
        </w:rPr>
        <w:t xml:space="preserve">Chemical and toxicity positioning: </w:t>
      </w:r>
      <w:r>
        <w:t>Claims about reduced hazardous substances, "no neurotoxin" style language in care categories, and clean label positioning.</w:t>
      </w:r>
    </w:p>
    <w:p>
      <w:r>
        <w:rPr>
          <w:b/>
        </w:rPr>
        <w:t xml:space="preserve">Animal welfare and social attributes: </w:t>
      </w:r>
      <w:r>
        <w:t>Welfare-related claims and farm assurance programs that intersect with sustainability perceptions.</w:t>
      </w:r>
    </w:p>
    <w:p>
      <w:pPr>
        <w:pStyle w:val="Heading2"/>
      </w:pPr>
      <w:r>
        <w:t>5.3 Livestock feed: green label archetypes</w:t>
      </w:r>
    </w:p>
    <w:p>
      <w:r>
        <w:t>In livestock systems, green labels are increasingly tied to measurable outcomes and procurement scorecards. The most common archetypes include:</w:t>
      </w:r>
    </w:p>
    <w:p>
      <w:r>
        <w:rPr>
          <w:b/>
        </w:rPr>
        <w:t xml:space="preserve">Low-carbon feed: </w:t>
      </w:r>
      <w:r>
        <w:t>A footprint claim tied to ingredient sourcing, formulation, and processing energy; often expressed per kg feed or per functional unit.</w:t>
      </w:r>
    </w:p>
    <w:p>
      <w:r>
        <w:rPr>
          <w:b/>
        </w:rPr>
        <w:t xml:space="preserve">Methane-reducing feed or additive: </w:t>
      </w:r>
      <w:r>
        <w:t>A performance claim requiring robust evidence of enteric methane reduction and clear definition of conditions and expected results.</w:t>
      </w:r>
    </w:p>
    <w:p>
      <w:r>
        <w:rPr>
          <w:b/>
        </w:rPr>
        <w:t xml:space="preserve">Nutrient efficiency and eutrophication reduction: </w:t>
      </w:r>
      <w:r>
        <w:t>Claims about improved digestibility, reduced nitrogen or phosphorus excretion, or lower eutrophication impact.</w:t>
      </w:r>
    </w:p>
    <w:p>
      <w:r>
        <w:rPr>
          <w:b/>
        </w:rPr>
        <w:t xml:space="preserve">Deforestation-risk managed feed: </w:t>
      </w:r>
      <w:r>
        <w:t>Sourcing claims for soy or other high-risk commodities backed by certification and traceability.</w:t>
      </w:r>
    </w:p>
    <w:p>
      <w:r>
        <w:rPr>
          <w:b/>
        </w:rPr>
        <w:t xml:space="preserve">Circular feed: </w:t>
      </w:r>
      <w:r>
        <w:t>Use of co-products and former foodstuffs positioned as waste reduction; requires careful messaging to avoid safety concerns.</w:t>
      </w:r>
    </w:p>
    <w:p>
      <w:pPr>
        <w:pStyle w:val="Heading2"/>
      </w:pPr>
      <w:r>
        <w:t>5.4 Pet food and pet care: green label archetypes</w:t>
      </w:r>
    </w:p>
    <w:p>
      <w:r>
        <w:t>In pet markets, sustainability claims are often bundled with health, safety, and ethics. Common archetypes include:</w:t>
      </w:r>
    </w:p>
    <w:p>
      <w:r>
        <w:rPr>
          <w:b/>
        </w:rPr>
        <w:t xml:space="preserve">Upcycled ingredients: </w:t>
      </w:r>
      <w:r>
        <w:t>Positioning that ingredients would otherwise be wasted. Increasingly supported by formal certification (for example, Upcycled Certified). [Source 14]</w:t>
      </w:r>
    </w:p>
    <w:p>
      <w:r>
        <w:rPr>
          <w:b/>
        </w:rPr>
        <w:t xml:space="preserve">Alternative proteins: </w:t>
      </w:r>
      <w:r>
        <w:t>Insect protein, fermentation-derived ingredients, plant-based proteins, positioned as lower-impact alternatives.</w:t>
      </w:r>
    </w:p>
    <w:p>
      <w:r>
        <w:rPr>
          <w:b/>
        </w:rPr>
        <w:t xml:space="preserve">Sustainable seafood: </w:t>
      </w:r>
      <w:r>
        <w:t>Marine sustainability certification for fish-based diets (for example, MSC/ASC) and fishery improvement narratives.</w:t>
      </w:r>
    </w:p>
    <w:p>
      <w:r>
        <w:rPr>
          <w:b/>
        </w:rPr>
        <w:t xml:space="preserve">Sustainable packaging: </w:t>
      </w:r>
      <w:r>
        <w:t>Recyclable or recycled-content packaging claims, often subject to evolving recyclability standards and FTC guidance.</w:t>
      </w:r>
    </w:p>
    <w:p>
      <w:r>
        <w:rPr>
          <w:b/>
        </w:rPr>
        <w:t xml:space="preserve">Clean chemistry positioning: </w:t>
      </w:r>
      <w:r>
        <w:t>Claims in care products (shampoos, flea and tick, grooming) that avoid certain active ingredients, sometimes framed as environmental or health safer.</w:t>
      </w:r>
    </w:p>
    <w:p>
      <w:r>
        <w:br w:type="page"/>
      </w:r>
    </w:p>
    <w:p>
      <w:pPr>
        <w:pStyle w:val="Heading2"/>
      </w:pPr>
      <w:r>
        <w:t>5.5 Matrix: which categories dominate by segment</w:t>
      </w:r>
    </w:p>
    <w:tbl>
      <w:tblPr>
        <w:tblStyle w:val="TableGrid"/>
        <w:tblW w:type="auto" w:w="0"/>
        <w:tblLook w:firstColumn="1" w:firstRow="1" w:lastColumn="0" w:lastRow="0" w:noHBand="0" w:noVBand="1" w:val="04A0"/>
      </w:tblPr>
      <w:tblGrid>
        <w:gridCol w:w="3120"/>
        <w:gridCol w:w="3120"/>
        <w:gridCol w:w="3120"/>
      </w:tblGrid>
      <w:tr>
        <w:tc>
          <w:tcPr>
            <w:tcW w:type="dxa" w:w="3120"/>
          </w:tcPr>
          <w:p>
            <w:r>
              <w:t>Category</w:t>
            </w:r>
          </w:p>
        </w:tc>
        <w:tc>
          <w:tcPr>
            <w:tcW w:type="dxa" w:w="3120"/>
          </w:tcPr>
          <w:p>
            <w:r>
              <w:t>Livestock feed emphasis</w:t>
            </w:r>
          </w:p>
        </w:tc>
        <w:tc>
          <w:tcPr>
            <w:tcW w:type="dxa" w:w="3120"/>
          </w:tcPr>
          <w:p>
            <w:r>
              <w:t>Pet food and pet care emphasis</w:t>
            </w:r>
          </w:p>
        </w:tc>
      </w:tr>
      <w:tr>
        <w:tc>
          <w:tcPr>
            <w:tcW w:type="dxa" w:w="3120"/>
          </w:tcPr>
          <w:p>
            <w:r>
              <w:t>Carbon and climate</w:t>
            </w:r>
          </w:p>
        </w:tc>
        <w:tc>
          <w:tcPr>
            <w:tcW w:type="dxa" w:w="3120"/>
          </w:tcPr>
          <w:p>
            <w:r>
              <w:t>High. Often linked to Scope 3 reporting, emissions reduction targets, and farm-level outcomes.</w:t>
            </w:r>
          </w:p>
        </w:tc>
        <w:tc>
          <w:tcPr>
            <w:tcW w:type="dxa" w:w="3120"/>
          </w:tcPr>
          <w:p>
            <w:r>
              <w:t>Medium to high. Increasing interest, but consumer-facing restrictions on offset-based neutrality language are rising.</w:t>
            </w:r>
          </w:p>
        </w:tc>
      </w:tr>
      <w:tr>
        <w:tc>
          <w:tcPr>
            <w:tcW w:type="dxa" w:w="3120"/>
          </w:tcPr>
          <w:p>
            <w:r>
              <w:t>Circularity and waste reduction</w:t>
            </w:r>
          </w:p>
        </w:tc>
        <w:tc>
          <w:tcPr>
            <w:tcW w:type="dxa" w:w="3120"/>
          </w:tcPr>
          <w:p>
            <w:r>
              <w:t>Medium. Co-products and former foodstuffs are established but require careful messaging.</w:t>
            </w:r>
          </w:p>
        </w:tc>
        <w:tc>
          <w:tcPr>
            <w:tcW w:type="dxa" w:w="3120"/>
          </w:tcPr>
          <w:p>
            <w:r>
              <w:t>High. Upcycled and zero-waste narratives are prominent in premium brands and innovation showcases.</w:t>
            </w:r>
          </w:p>
        </w:tc>
      </w:tr>
      <w:tr>
        <w:tc>
          <w:tcPr>
            <w:tcW w:type="dxa" w:w="3120"/>
          </w:tcPr>
          <w:p>
            <w:r>
              <w:t>Deforestation and land use</w:t>
            </w:r>
          </w:p>
        </w:tc>
        <w:tc>
          <w:tcPr>
            <w:tcW w:type="dxa" w:w="3120"/>
          </w:tcPr>
          <w:p>
            <w:r>
              <w:t>High for soy and high-risk commodities.</w:t>
            </w:r>
          </w:p>
        </w:tc>
        <w:tc>
          <w:tcPr>
            <w:tcW w:type="dxa" w:w="3120"/>
          </w:tcPr>
          <w:p>
            <w:r>
              <w:t>Medium. Present in premium sourcing stories, especially for animal proteins.</w:t>
            </w:r>
          </w:p>
        </w:tc>
      </w:tr>
      <w:tr>
        <w:tc>
          <w:tcPr>
            <w:tcW w:type="dxa" w:w="3120"/>
          </w:tcPr>
          <w:p>
            <w:r>
              <w:t>Packaging sustainability</w:t>
            </w:r>
          </w:p>
        </w:tc>
        <w:tc>
          <w:tcPr>
            <w:tcW w:type="dxa" w:w="3120"/>
          </w:tcPr>
          <w:p>
            <w:r>
              <w:t>Medium. More B2B than consumer-facing for feed.</w:t>
            </w:r>
          </w:p>
        </w:tc>
        <w:tc>
          <w:tcPr>
            <w:tcW w:type="dxa" w:w="3120"/>
          </w:tcPr>
          <w:p>
            <w:r>
              <w:t>High. One of the most visible consumer cues in pet aisles.</w:t>
            </w:r>
          </w:p>
        </w:tc>
      </w:tr>
      <w:tr>
        <w:tc>
          <w:tcPr>
            <w:tcW w:type="dxa" w:w="3120"/>
          </w:tcPr>
          <w:p>
            <w:r>
              <w:t>Chemical and toxicity positioning</w:t>
            </w:r>
          </w:p>
        </w:tc>
        <w:tc>
          <w:tcPr>
            <w:tcW w:type="dxa" w:w="3120"/>
          </w:tcPr>
          <w:p>
            <w:r>
              <w:t>Low to medium. More relevant for additives and processing aids.</w:t>
            </w:r>
          </w:p>
        </w:tc>
        <w:tc>
          <w:tcPr>
            <w:tcW w:type="dxa" w:w="3120"/>
          </w:tcPr>
          <w:p>
            <w:r>
              <w:t>High in care products and some food "clean label" narratives.</w:t>
            </w:r>
          </w:p>
        </w:tc>
      </w:tr>
    </w:tbl>
    <w:p>
      <w:r>
        <w:br w:type="page"/>
      </w:r>
    </w:p>
    <w:p>
      <w:pPr>
        <w:pStyle w:val="Heading1"/>
      </w:pPr>
      <w:r>
        <w:t>6. Auditability, data, and assurance requirements</w:t>
      </w:r>
    </w:p>
    <w:p>
      <w:pPr>
        <w:pStyle w:val="Heading2"/>
      </w:pPr>
      <w:r>
        <w:t>6.1 The new expectation: substantiation as a product</w:t>
      </w:r>
    </w:p>
    <w:p>
      <w:r>
        <w:t>As green labels become institutionalized, the substantiation package becomes as important as the product. Across jurisdictions, regulators and customers increasingly expect claims to be:</w:t>
      </w:r>
    </w:p>
    <w:p>
      <w:pPr>
        <w:pStyle w:val="ListBullet"/>
      </w:pPr>
      <w:r>
        <w:t>Specific (clear about what is being claimed and what is not).</w:t>
      </w:r>
    </w:p>
    <w:p>
      <w:pPr>
        <w:pStyle w:val="ListBullet"/>
      </w:pPr>
      <w:r>
        <w:t>Quantified where possible (especially for footprint, reduction, or comparative statements).</w:t>
      </w:r>
    </w:p>
    <w:p>
      <w:pPr>
        <w:pStyle w:val="ListBullet"/>
      </w:pPr>
      <w:r>
        <w:t>Methodologically grounded (using accepted standards and sector rules).</w:t>
      </w:r>
    </w:p>
    <w:p>
      <w:pPr>
        <w:pStyle w:val="ListBullet"/>
      </w:pPr>
      <w:r>
        <w:t>Documented (traceable evidence that can be produced during an audit or challenge).</w:t>
      </w:r>
    </w:p>
    <w:p>
      <w:pPr>
        <w:pStyle w:val="ListBullet"/>
      </w:pPr>
      <w:r>
        <w:t>Kept current (updated when formulations, suppliers, processes, or markets change).</w:t>
      </w:r>
    </w:p>
    <w:p>
      <w:pPr>
        <w:pStyle w:val="Heading2"/>
      </w:pPr>
      <w:r>
        <w:t>6.2 Life cycle assessment frameworks relevant to green labels</w:t>
      </w:r>
    </w:p>
    <w:p>
      <w:r>
        <w:t>Most robust green label programs are built on life cycle assessment (LCA). Depending on geography and buyer expectations, the dominant frameworks include:</w:t>
      </w:r>
    </w:p>
    <w:p>
      <w:r>
        <w:rPr>
          <w:b/>
        </w:rPr>
        <w:t xml:space="preserve">EU Product Environmental Footprint (PEF): </w:t>
      </w:r>
      <w:r>
        <w:t>The EU recommends LCA-based methods to quantify environmental impacts of products and organizations. PEF typically evaluates multiple impact categories and relies on Product Environmental Footprint Category Rules (PEFCRs) for product-specific rules. [Sources 15-16]</w:t>
      </w:r>
    </w:p>
    <w:p>
      <w:r>
        <w:rPr>
          <w:b/>
        </w:rPr>
        <w:t xml:space="preserve">PEFCR Feed for Food-Producing Animals: </w:t>
      </w:r>
      <w:r>
        <w:t>The feed sector has a dedicated PEFCR that sets rules for calculating the environmental footprint of compound feed for food-producing animals. [Source 17]</w:t>
      </w:r>
    </w:p>
    <w:p>
      <w:r>
        <w:rPr>
          <w:b/>
        </w:rPr>
        <w:t xml:space="preserve">GFLI feed ingredient datasets: </w:t>
      </w:r>
      <w:r>
        <w:t>The Global Feed LCA Institute maintains a feed LCA database of ingredient datasets built using LCA methodology, supporting more consistent feed footprint calculations. [Source 18]</w:t>
      </w:r>
    </w:p>
    <w:p>
      <w:r>
        <w:rPr>
          <w:b/>
        </w:rPr>
        <w:t xml:space="preserve">ISO 14067: </w:t>
      </w:r>
      <w:r>
        <w:t>An international standard specifying principles, requirements, and guidelines for quantification and reporting of the carbon footprint of a product. [Source 19]</w:t>
      </w:r>
    </w:p>
    <w:p>
      <w:r>
        <w:rPr>
          <w:b/>
        </w:rPr>
        <w:t xml:space="preserve">GHG Protocol Product Standard: </w:t>
      </w:r>
      <w:r>
        <w:t>A global standard for product life cycle greenhouse gas accounting and reporting used to understand full life cycle emissions and identify reduction opportunities. [Source 20]</w:t>
      </w:r>
    </w:p>
    <w:p>
      <w:pPr>
        <w:pStyle w:val="Heading2"/>
      </w:pPr>
      <w:r>
        <w:t>6.3 Data architecture for defensible claims</w:t>
      </w:r>
    </w:p>
    <w:p>
      <w:r>
        <w:t>A scalable green label system requires a data architecture that links claims to underlying datasets. At minimum, companies should expect to manage:</w:t>
      </w:r>
    </w:p>
    <w:p>
      <w:pPr>
        <w:pStyle w:val="ListBullet"/>
      </w:pPr>
      <w:r>
        <w:t>Ingredient identity, sourcing geography, and chain-of-custody documentation.</w:t>
      </w:r>
    </w:p>
    <w:p>
      <w:pPr>
        <w:pStyle w:val="ListBullet"/>
      </w:pPr>
      <w:r>
        <w:t>Supplier certifications and audit documents (for example, deforestation-risk programs, recycled content attestations).</w:t>
      </w:r>
    </w:p>
    <w:p>
      <w:pPr>
        <w:pStyle w:val="ListBullet"/>
      </w:pPr>
      <w:r>
        <w:t>Recipe and formulation version control (so claims can be tied to a specific BOM and time period).</w:t>
      </w:r>
    </w:p>
    <w:p>
      <w:pPr>
        <w:pStyle w:val="ListBullet"/>
      </w:pPr>
      <w:r>
        <w:t>Energy, transport, and manufacturing data used in LCA models.</w:t>
      </w:r>
    </w:p>
    <w:p>
      <w:pPr>
        <w:pStyle w:val="ListBullet"/>
      </w:pPr>
      <w:r>
        <w:t>Allocation rules and functional units (especially for co-products and by-products).</w:t>
      </w:r>
    </w:p>
    <w:p>
      <w:pPr>
        <w:pStyle w:val="ListBullet"/>
      </w:pPr>
      <w:r>
        <w:t>Assurance artifacts (internal review sign-off, third-party verification statements, and versioned calculation files).</w:t>
      </w:r>
    </w:p>
    <w:p>
      <w:pPr>
        <w:pStyle w:val="Heading2"/>
      </w:pPr>
      <w:r>
        <w:t>6.4 Assurance and verification models</w:t>
      </w:r>
    </w:p>
    <w:p>
      <w:r>
        <w:t>Verification can range from internal review to full third-party certification. The right model depends on claim risk, customer expectations, and jurisdiction.</w:t>
      </w:r>
    </w:p>
    <w:p>
      <w:r>
        <w:rPr>
          <w:b/>
        </w:rPr>
        <w:t xml:space="preserve">Internal controls: </w:t>
      </w:r>
      <w:r>
        <w:t>Appropriate for narrow, low-risk attribute claims when evidence is clear and retrievable.</w:t>
      </w:r>
    </w:p>
    <w:p>
      <w:r>
        <w:rPr>
          <w:b/>
        </w:rPr>
        <w:t xml:space="preserve">Independent expert review: </w:t>
      </w:r>
      <w:r>
        <w:t>Useful for footprint and comparative claims, especially when methodologies are complex.</w:t>
      </w:r>
    </w:p>
    <w:p>
      <w:r>
        <w:rPr>
          <w:b/>
        </w:rPr>
        <w:t xml:space="preserve">Third-party verification to a standard: </w:t>
      </w:r>
      <w:r>
        <w:t>Common for product carbon footprint and for certification labels; can increase credibility and reduce litigation risk.</w:t>
      </w:r>
    </w:p>
    <w:p>
      <w:r>
        <w:rPr>
          <w:b/>
        </w:rPr>
        <w:t xml:space="preserve">Full certification schemes: </w:t>
      </w:r>
      <w:r>
        <w:t>Necessary when using a program's label or seal. Requires audit readiness and adherence to governance rules.</w:t>
      </w:r>
    </w:p>
    <w:p>
      <w:r>
        <w:br w:type="page"/>
      </w:r>
    </w:p>
    <w:p>
      <w:pPr>
        <w:pStyle w:val="Heading2"/>
      </w:pPr>
      <w:r>
        <w:t>6.5 Evidence table: minimum substantiation by claim type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Claim type</w:t>
            </w:r>
          </w:p>
        </w:tc>
        <w:tc>
          <w:tcPr>
            <w:tcW w:type="dxa" w:w="2340"/>
          </w:tcPr>
          <w:p>
            <w:r>
              <w:t>Typical example</w:t>
            </w:r>
          </w:p>
        </w:tc>
        <w:tc>
          <w:tcPr>
            <w:tcW w:type="dxa" w:w="2340"/>
          </w:tcPr>
          <w:p>
            <w:r>
              <w:t>Minimum evidence</w:t>
            </w:r>
          </w:p>
        </w:tc>
        <w:tc>
          <w:tcPr>
            <w:tcW w:type="dxa" w:w="2340"/>
          </w:tcPr>
          <w:p>
            <w:r>
              <w:t>Common failure modes</w:t>
            </w:r>
          </w:p>
        </w:tc>
      </w:tr>
      <w:tr>
        <w:tc>
          <w:tcPr>
            <w:tcW w:type="dxa" w:w="2340"/>
          </w:tcPr>
          <w:p>
            <w:r>
              <w:t>Specific attribute</w:t>
            </w:r>
          </w:p>
        </w:tc>
        <w:tc>
          <w:tcPr>
            <w:tcW w:type="dxa" w:w="2340"/>
          </w:tcPr>
          <w:p>
            <w:r>
              <w:t>“Made with 30% recycled plastic”</w:t>
            </w:r>
          </w:p>
        </w:tc>
        <w:tc>
          <w:tcPr>
            <w:tcW w:type="dxa" w:w="2340"/>
          </w:tcPr>
          <w:p>
            <w:r>
              <w:t>Supplier declaration + test method or certification; spec sheet; batch-level traceability</w:t>
            </w:r>
          </w:p>
        </w:tc>
        <w:tc>
          <w:tcPr>
            <w:tcW w:type="dxa" w:w="2340"/>
          </w:tcPr>
          <w:p>
            <w:r>
              <w:t>Unclear scope (packaging vs product); outdated supplier statements</w:t>
            </w:r>
          </w:p>
        </w:tc>
      </w:tr>
      <w:tr>
        <w:tc>
          <w:tcPr>
            <w:tcW w:type="dxa" w:w="2340"/>
          </w:tcPr>
          <w:p>
            <w:r>
              <w:t>Upcycled ingredient</w:t>
            </w:r>
          </w:p>
        </w:tc>
        <w:tc>
          <w:tcPr>
            <w:tcW w:type="dxa" w:w="2340"/>
          </w:tcPr>
          <w:p>
            <w:r>
              <w:t>“Contains upcycled ingredients”</w:t>
            </w:r>
          </w:p>
        </w:tc>
        <w:tc>
          <w:tcPr>
            <w:tcW w:type="dxa" w:w="2340"/>
          </w:tcPr>
          <w:p>
            <w:r>
              <w:t>Supplier chain-of-custody; certification (if used); definition of “upcycled” and mass balance</w:t>
            </w:r>
          </w:p>
        </w:tc>
        <w:tc>
          <w:tcPr>
            <w:tcW w:type="dxa" w:w="2340"/>
          </w:tcPr>
          <w:p>
            <w:r>
              <w:t>Treating normal co-products as “waste”; lack of documented diversion from waste</w:t>
            </w:r>
          </w:p>
        </w:tc>
      </w:tr>
      <w:tr>
        <w:tc>
          <w:tcPr>
            <w:tcW w:type="dxa" w:w="2340"/>
          </w:tcPr>
          <w:p>
            <w:r>
              <w:t>Footprint claim</w:t>
            </w:r>
          </w:p>
        </w:tc>
        <w:tc>
          <w:tcPr>
            <w:tcW w:type="dxa" w:w="2340"/>
          </w:tcPr>
          <w:p>
            <w:r>
              <w:t>“Product carbon footprint: X kg CO2e”</w:t>
            </w:r>
          </w:p>
        </w:tc>
        <w:tc>
          <w:tcPr>
            <w:tcW w:type="dxa" w:w="2340"/>
          </w:tcPr>
          <w:p>
            <w:r>
              <w:t>LCA model with defined boundary + functional unit; emission factors; QA review; update triggers</w:t>
            </w:r>
          </w:p>
        </w:tc>
        <w:tc>
          <w:tcPr>
            <w:tcW w:type="dxa" w:w="2340"/>
          </w:tcPr>
          <w:p>
            <w:r>
              <w:t>Opaque boundaries; inconsistent allocation; mixing primary and secondary data without controls</w:t>
            </w:r>
          </w:p>
        </w:tc>
      </w:tr>
      <w:tr>
        <w:tc>
          <w:tcPr>
            <w:tcW w:type="dxa" w:w="2340"/>
          </w:tcPr>
          <w:p>
            <w:r>
              <w:t>Reduction claim</w:t>
            </w:r>
          </w:p>
        </w:tc>
        <w:tc>
          <w:tcPr>
            <w:tcW w:type="dxa" w:w="2340"/>
          </w:tcPr>
          <w:p>
            <w:r>
              <w:t>“20% lower carbon vs 2023 recipe”</w:t>
            </w:r>
          </w:p>
        </w:tc>
        <w:tc>
          <w:tcPr>
            <w:tcW w:type="dxa" w:w="2340"/>
          </w:tcPr>
          <w:p>
            <w:r>
              <w:t>Baseline definition; like-for-like comparison; consistent method; change log; verification</w:t>
            </w:r>
          </w:p>
        </w:tc>
        <w:tc>
          <w:tcPr>
            <w:tcW w:type="dxa" w:w="2340"/>
          </w:tcPr>
          <w:p>
            <w:r>
              <w:t>Changing functional unit; cherry-picked baseline; ignoring rebound effects</w:t>
            </w:r>
          </w:p>
        </w:tc>
      </w:tr>
      <w:tr>
        <w:tc>
          <w:tcPr>
            <w:tcW w:type="dxa" w:w="2340"/>
          </w:tcPr>
          <w:p>
            <w:r>
              <w:t>Certification label</w:t>
            </w:r>
          </w:p>
        </w:tc>
        <w:tc>
          <w:tcPr>
            <w:tcW w:type="dxa" w:w="2340"/>
          </w:tcPr>
          <w:p>
            <w:r>
              <w:t>Third-party seal on pack</w:t>
            </w:r>
          </w:p>
        </w:tc>
        <w:tc>
          <w:tcPr>
            <w:tcW w:type="dxa" w:w="2340"/>
          </w:tcPr>
          <w:p>
            <w:r>
              <w:t>Valid certificate, scope statement, audit record, and correct usage rights</w:t>
            </w:r>
          </w:p>
        </w:tc>
        <w:tc>
          <w:tcPr>
            <w:tcW w:type="dxa" w:w="2340"/>
          </w:tcPr>
          <w:p>
            <w:r>
              <w:t>Misuse outside scope; expired certificates; altered logo or wording</w:t>
            </w:r>
          </w:p>
        </w:tc>
      </w:tr>
    </w:tbl>
    <w:p>
      <w:r>
        <w:br w:type="page"/>
      </w:r>
    </w:p>
    <w:p>
      <w:pPr>
        <w:pStyle w:val="Heading1"/>
      </w:pPr>
      <w:r>
        <w:t>7. Segment implications: livestock feed</w:t>
      </w:r>
    </w:p>
    <w:p>
      <w:pPr>
        <w:pStyle w:val="Heading2"/>
      </w:pPr>
      <w:r>
        <w:t>7.1 The role of feed in agricultural footprint accounting</w:t>
      </w:r>
    </w:p>
    <w:p>
      <w:r>
        <w:t>In most livestock systems, feed production is a major contributor to the environmental footprint of animal products. This makes feed a primary lever for processors, retailers, and brands seeking to reduce Scope 3 emissions. As a result, green labels in feed are increasingly less about consumer marketing and more about measurable inputs into downstream product footprints.</w:t>
      </w:r>
    </w:p>
    <w:p>
      <w:pPr>
        <w:pStyle w:val="Heading2"/>
      </w:pPr>
      <w:r>
        <w:t>7.2 How procurement turns sustainability targets into feed requirements</w:t>
      </w:r>
    </w:p>
    <w:p>
      <w:r>
        <w:t>Procurement teams increasingly translate sustainability targets into supplier requirements. In practice, this looks like:</w:t>
      </w:r>
    </w:p>
    <w:p>
      <w:pPr>
        <w:pStyle w:val="ListBullet"/>
      </w:pPr>
      <w:r>
        <w:t>Supplier scorecards requiring product carbon footprint data per ingredient and per finished feed.</w:t>
      </w:r>
    </w:p>
    <w:p>
      <w:pPr>
        <w:pStyle w:val="ListBullet"/>
      </w:pPr>
      <w:r>
        <w:t>Requirements for deforestation-risk mitigation for commodities such as soy and palm-derived ingredients.</w:t>
      </w:r>
    </w:p>
    <w:p>
      <w:pPr>
        <w:pStyle w:val="ListBullet"/>
      </w:pPr>
      <w:r>
        <w:t>Documentation of co-product use, circular feed ingredients, and waste diversion metrics.</w:t>
      </w:r>
    </w:p>
    <w:p>
      <w:pPr>
        <w:pStyle w:val="ListBullet"/>
      </w:pPr>
      <w:r>
        <w:t>Evidence of animal performance improvements that reduce emissions intensity (for example, improved feed conversion ratios).</w:t>
      </w:r>
    </w:p>
    <w:p>
      <w:pPr>
        <w:pStyle w:val="Heading2"/>
      </w:pPr>
      <w:r>
        <w:t>7.3 Deforestation risk and soy: a label that becomes a license to operate</w:t>
      </w:r>
    </w:p>
    <w:p>
      <w:r>
        <w:t>Deforestation-related sourcing is likely to remain a high-stakes dimension of green labeling, especially for soy. The EU Deforestation Regulation has been amended and its entry into application is now set for large and medium operators on December 30, 2026, and for micro and small operators on June 30, 2027. This timeline increases the urgency for traceability systems and credible sourcing programs that can support both due diligence and claims. [Sources 21-22]</w:t>
      </w:r>
    </w:p>
    <w:p>
      <w:r>
        <w:t>For feed companies, deforestation-free sourcing claims should be treated as compliance-adjacent. Even when a claim is made in B2B contexts, it may be audited through customer due diligence or challenged under misleading marketing standards.</w:t>
      </w:r>
    </w:p>
    <w:p>
      <w:pPr>
        <w:pStyle w:val="Heading2"/>
      </w:pPr>
      <w:r>
        <w:t>7.4 Product innovation pathways that can support defensible labels</w:t>
      </w:r>
    </w:p>
    <w:p>
      <w:r>
        <w:t>The following innovation pathways are most likely to produce labels that matter in procurement and can be substantiated:</w:t>
      </w:r>
    </w:p>
    <w:p>
      <w:r>
        <w:rPr>
          <w:b/>
        </w:rPr>
        <w:t xml:space="preserve">Reformulation and sourcing shifts: </w:t>
      </w:r>
      <w:r>
        <w:t>Lower-impact ingredients, improved sourcing geographies, renewable energy in manufacturing, and optimized logistics.</w:t>
      </w:r>
    </w:p>
    <w:p>
      <w:r>
        <w:rPr>
          <w:b/>
        </w:rPr>
        <w:t xml:space="preserve">Additives with measurable outcomes: </w:t>
      </w:r>
      <w:r>
        <w:t>Substances that improve feed efficiency, reduce enteric methane, or reduce nutrient excretion, provided evidence and regulatory positioning are aligned.</w:t>
      </w:r>
    </w:p>
    <w:p>
      <w:r>
        <w:rPr>
          <w:b/>
        </w:rPr>
        <w:t xml:space="preserve">Circular feed inputs: </w:t>
      </w:r>
      <w:r>
        <w:t>Former foodstuffs and co-products that demonstrably divert waste and maintain safety, supported by traceability and clear scope limitations.</w:t>
      </w:r>
    </w:p>
    <w:p>
      <w:r>
        <w:rPr>
          <w:b/>
        </w:rPr>
        <w:t xml:space="preserve">Data-enabled services: </w:t>
      </w:r>
      <w:r>
        <w:t>Footprint calculators, formulation tools, and reporting services that package sustainability data for customers, increasing switching costs and loyalty.</w:t>
      </w:r>
    </w:p>
    <w:p>
      <w:pPr>
        <w:pStyle w:val="Heading2"/>
      </w:pPr>
      <w:r>
        <w:t>7.5 Commercial implications and pricing models</w:t>
      </w:r>
    </w:p>
    <w:p>
      <w:r>
        <w:t>As labels become tied to measurable outcomes, commercial models can evolve beyond simple price premiums:</w:t>
      </w:r>
    </w:p>
    <w:p>
      <w:pPr>
        <w:pStyle w:val="ListBullet"/>
      </w:pPr>
      <w:r>
        <w:t>Pay-for-performance models linked to verified outcomes (for example, emissions reduction per ton of output).</w:t>
      </w:r>
    </w:p>
    <w:p>
      <w:pPr>
        <w:pStyle w:val="ListBullet"/>
      </w:pPr>
      <w:r>
        <w:t>Shared value contracts where a portion of downstream emissions-value is shared with feed suppliers.</w:t>
      </w:r>
    </w:p>
    <w:p>
      <w:pPr>
        <w:pStyle w:val="ListBullet"/>
      </w:pPr>
      <w:r>
        <w:t>Bundling of product plus data, where the sustainability data package becomes part of the SKU value.</w:t>
      </w:r>
    </w:p>
    <w:p>
      <w:r>
        <w:br w:type="page"/>
      </w:r>
    </w:p>
    <w:p>
      <w:pPr>
        <w:pStyle w:val="Heading1"/>
      </w:pPr>
      <w:r>
        <w:t>8. Segment implications: pet food and pet care</w:t>
      </w:r>
    </w:p>
    <w:p>
      <w:pPr>
        <w:pStyle w:val="Heading2"/>
      </w:pPr>
      <w:r>
        <w:t>8.1 Consumer sustainability is real, but trust is fragile</w:t>
      </w:r>
    </w:p>
    <w:p>
      <w:r>
        <w:t>In pet categories, sustainability is often expressed through packaging cues, ingredient stories, and brand purpose narratives. Innovation trend coverage from industry analysts highlights themes such as sustainable packaging and upcycled ingredients in pet retail showcases. [Sources 23-24]</w:t>
      </w:r>
    </w:p>
    <w:p>
      <w:r>
        <w:t>However, consumer trust is fragile. Generic green terms and self-created labels can backfire as enforcement against greenwashing increases. Brands need to shift from aspirational language to specific, verifiable statements and credible third-party programs.</w:t>
      </w:r>
    </w:p>
    <w:p>
      <w:pPr>
        <w:pStyle w:val="Heading2"/>
      </w:pPr>
      <w:r>
        <w:t>8.2 Upcycled ingredients and circularity: from niche to mainstream signal</w:t>
      </w:r>
    </w:p>
    <w:p>
      <w:r>
        <w:t>Upcycled claims are particularly prominent in pet treats and specialty diets because they combine sustainability with "ingredient story" appeal. The Upcycled Certified program, created by the Upcycled Food Association and now operated within the Where Food Comes From family of standards, is a notable institutional mechanism that can help substantiate upcycled claims and reduce greenwashing risk. [Sources 14, 25-27]</w:t>
      </w:r>
    </w:p>
    <w:p>
      <w:r>
        <w:t>Implementation caution: a credible upcycled claim should establish that the input stream would have gone to waste in a relevant market context, and should avoid implying that all co-products are automatically waste.</w:t>
      </w:r>
    </w:p>
    <w:p>
      <w:pPr>
        <w:pStyle w:val="Heading2"/>
      </w:pPr>
      <w:r>
        <w:t>8.3 Alternative proteins: insect and novel inputs</w:t>
      </w:r>
    </w:p>
    <w:p>
      <w:r>
        <w:t>Insect protein and other alternative proteins are used as sustainability narratives in pet food. A 2022 Reuters report describes efforts to scale insect protein for pet diets, noting both footprint advantages and evolving regulatory acceptance. [Source 28]</w:t>
      </w:r>
    </w:p>
    <w:p>
      <w:r>
        <w:t>For green labels, alternative proteins create a double requirement: the sustainability case must be evidence-based, and the ingredient must be compliant with animal food rules (ingredient definitions, safety, and permissible claims).</w:t>
      </w:r>
    </w:p>
    <w:p>
      <w:pPr>
        <w:pStyle w:val="Heading2"/>
      </w:pPr>
      <w:r>
        <w:t>8.4 Product footprint approaches for pet food in Europe</w:t>
      </w:r>
    </w:p>
    <w:p>
      <w:r>
        <w:t>Europe is also moving toward standardized footprinting approaches in pet food. The European pet food industry has published information on a PEFCR for pet food that establishes a standardized framework for assessing environmental impacts of prepared pet food sold in the EU market. [Source 29]</w:t>
      </w:r>
    </w:p>
    <w:p>
      <w:pPr>
        <w:pStyle w:val="Heading2"/>
      </w:pPr>
      <w:r>
        <w:t>8.5 Packaging: the most visible sustainability cue</w:t>
      </w:r>
    </w:p>
    <w:p>
      <w:r>
        <w:t>Packaging remains the most visible sustainability cue in pet aisles. However, recyclability and recycled content claims are high-risk when local recycling infrastructure does not match claim language. Brands should align packaging claims with accepted guidance (for example, FTC Green Guides in the US and national packaging rules in Europe) and avoid overpromising.</w:t>
      </w:r>
    </w:p>
    <w:p>
      <w:pPr>
        <w:pStyle w:val="Heading2"/>
      </w:pPr>
      <w:r>
        <w:t>8.6 Care products: beware of overlapping health and green claims</w:t>
      </w:r>
    </w:p>
    <w:p>
      <w:r>
        <w:t>Pet care categories such as flea and tick, grooming, and household products often intersect with pesticide, biocide, or chemical safety regimes. When a brand combines "natural" or "non-toxic" messaging with environmental benefit claims, the claim burden increases and regulatory triggers can change. These categories should be treated as high-risk for both compliance and reputation.</w:t>
      </w:r>
    </w:p>
    <w:p>
      <w:r>
        <w:br w:type="page"/>
      </w:r>
    </w:p>
    <w:p>
      <w:pPr>
        <w:pStyle w:val="Heading1"/>
      </w:pPr>
      <w:r>
        <w:t>9. Competitive landscape and illustrative case studies</w:t>
      </w:r>
    </w:p>
    <w:p>
      <w:pPr>
        <w:pStyle w:val="Heading2"/>
      </w:pPr>
      <w:r>
        <w:t>9.1 What “competitive landscape” means for green labels</w:t>
      </w:r>
    </w:p>
    <w:p>
      <w:r>
        <w:t>The competitive landscape for green labels is less about who has the most badges, and more about who can operationalize defensible claims at scale. Three differentiators are increasingly decisive:</w:t>
        <w:br/>
        <w:t>• Evidence strength: ability to produce an auditable substantiation dossier</w:t>
        <w:br/>
        <w:t>• Method alignment: use of accepted standards and sector rules, enabling comparability</w:t>
        <w:br/>
        <w:t>• Deployment capability: integration into product development, procurement, labeling, and customer reporting</w:t>
      </w:r>
    </w:p>
    <w:p>
      <w:pPr>
        <w:pStyle w:val="Heading2"/>
      </w:pPr>
      <w:r>
        <w:t>9.2 Case study: methane-reducing feed additives as a new claim frontier</w:t>
      </w:r>
    </w:p>
    <w:p>
      <w:r>
        <w:t>Methane-reducing additives illustrate how environmental benefit claims can move from R&amp;D to regulated authorization and then into market labeling. For example, the EU has authorized a preparation of 3-nitrooxypropanol as a feed additive for dairy cows and cows for reproduction under Commission Implementing Regulation (EU) 2022/565. This authorization is frequently cited in public discussion of environmental-benefit feed additives. [Sources 30-32]</w:t>
      </w:r>
    </w:p>
    <w:p>
      <w:r>
        <w:t>Implementation lessons:</w:t>
        <w:br/>
        <w:t>• Evidence must cover efficacy under defined use conditions and safety for animals, users, and consumers.</w:t>
        <w:br/>
        <w:t>• Claims should be tightly scoped (species, diet, dose, expected performance range).</w:t>
        <w:br/>
        <w:t>• Downstream labeling (for example, "lower methane milk") usually requires additional value-chain accounting and governance.</w:t>
      </w:r>
    </w:p>
    <w:p>
      <w:pPr>
        <w:pStyle w:val="Heading2"/>
      </w:pPr>
      <w:r>
        <w:t>9.3 Case study: Upcycled Certified as an institutional mechanism in pet markets</w:t>
      </w:r>
    </w:p>
    <w:p>
      <w:r>
        <w:t>Upcycled certification demonstrates how a voluntary concept becomes institutionalized through standards and governance. The Upcycled Certified program provides a definition and certification mechanism for upcycled claims, and is promoted as a way to bring consistency to a category that otherwise risks vague marketing. [Sources 14, 25-27]</w:t>
      </w:r>
    </w:p>
    <w:p>
      <w:r>
        <w:t>Implementation lessons:</w:t>
        <w:br/>
        <w:t>• Define what qualifies as "upcycled" in the relevant context.</w:t>
        <w:br/>
        <w:t>• Maintain chain-of-custody evidence and recipe-level mass balance.</w:t>
        <w:br/>
        <w:t>• Avoid broad claims that imply an entire product is upcycled unless this is true.</w:t>
      </w:r>
    </w:p>
    <w:p>
      <w:pPr>
        <w:pStyle w:val="Heading2"/>
      </w:pPr>
      <w:r>
        <w:t>9.4 Case study: carbon-neutral product messaging under rising scrutiny</w:t>
      </w:r>
    </w:p>
    <w:p>
      <w:r>
        <w:t>Carbon neutrality claims for consumer products face rising scrutiny in Europe, especially when they rely on offsetting. Coverage of European developments highlights that the Empowering Consumers directive framework is expected to restrict certain offset-based product climate claims, pushing brands toward lifecycle-based substantiation and away from simple offset narratives. [Sources 1, 33]</w:t>
      </w:r>
    </w:p>
    <w:p>
      <w:r>
        <w:br w:type="page"/>
      </w:r>
    </w:p>
    <w:p>
      <w:pPr>
        <w:pStyle w:val="Heading1"/>
      </w:pPr>
      <w:r>
        <w:t>10. Implementation playbook for a defensible green label program</w:t>
      </w:r>
    </w:p>
    <w:p>
      <w:pPr>
        <w:pStyle w:val="Heading2"/>
      </w:pPr>
      <w:r>
        <w:t>10.1 Design principle: treat claims like regulated products</w:t>
      </w:r>
    </w:p>
    <w:p>
      <w:r>
        <w:t>A green label program should be managed like a regulated product portfolio. Each claim should have an owner, a defined scope, an evidence package, a review cadence, and clear rules for use across channels.</w:t>
      </w:r>
    </w:p>
    <w:p>
      <w:pPr>
        <w:pStyle w:val="Heading2"/>
      </w:pPr>
      <w:r>
        <w:t>10.2 Governance model</w:t>
      </w:r>
    </w:p>
    <w:p>
      <w:r>
        <w:t>Recommended governance structure:</w:t>
      </w:r>
    </w:p>
    <w:p>
      <w:r>
        <w:rPr>
          <w:b/>
        </w:rPr>
        <w:t xml:space="preserve">Green Claims Steering Committee: </w:t>
      </w:r>
      <w:r>
        <w:t>Sets policy, approves high-risk claims, and arbitrates trade-offs between marketing and compliance.</w:t>
      </w:r>
    </w:p>
    <w:p>
      <w:r>
        <w:rPr>
          <w:b/>
        </w:rPr>
        <w:t xml:space="preserve">Claims Owner: </w:t>
      </w:r>
      <w:r>
        <w:t>Accountable for each claim's definition, scope, and evidence package; typically product management or sustainability.</w:t>
      </w:r>
    </w:p>
    <w:p>
      <w:r>
        <w:rPr>
          <w:b/>
        </w:rPr>
        <w:t xml:space="preserve">Regulatory and Legal: </w:t>
      </w:r>
      <w:r>
        <w:t>Defines claim risk, ensures compliance by jurisdiction, and approves final language.</w:t>
      </w:r>
    </w:p>
    <w:p>
      <w:r>
        <w:rPr>
          <w:b/>
        </w:rPr>
        <w:t xml:space="preserve">Science and LCA: </w:t>
      </w:r>
      <w:r>
        <w:t>Owns calculation methodologies, data quality controls, and update triggers.</w:t>
      </w:r>
    </w:p>
    <w:p>
      <w:r>
        <w:rPr>
          <w:b/>
        </w:rPr>
        <w:t xml:space="preserve">Quality and Procurement: </w:t>
      </w:r>
      <w:r>
        <w:t>Maintains supplier documentation, audits, and traceability evidence.</w:t>
      </w:r>
    </w:p>
    <w:p>
      <w:r>
        <w:rPr>
          <w:b/>
        </w:rPr>
        <w:t xml:space="preserve">Commercial and Marketing: </w:t>
      </w:r>
      <w:r>
        <w:t>Deploys claims in packaging, sales materials, and digital channels within approved guardrails.</w:t>
      </w:r>
    </w:p>
    <w:p>
      <w:pPr>
        <w:pStyle w:val="Heading2"/>
      </w:pPr>
      <w:r>
        <w:t>10.3 Step-by-step implementation process</w:t>
      </w:r>
    </w:p>
    <w:p>
      <w:r>
        <w:rPr>
          <w:b/>
        </w:rPr>
        <w:t xml:space="preserve">Step 1. Build a claims inventory: </w:t>
      </w:r>
      <w:r>
        <w:t>Collect every sustainability-related statement used across packaging, websites, sales decks, tender responses, and retailer content. Include implied claims embedded in imagery and icons.</w:t>
      </w:r>
    </w:p>
    <w:p>
      <w:r>
        <w:rPr>
          <w:b/>
        </w:rPr>
        <w:t xml:space="preserve">Step 2. Classify claims by risk and jurisdiction: </w:t>
      </w:r>
      <w:r>
        <w:t>Assign each claim a risk rating based on breadth, quantification, comparative nature, reliance on offsets, and whether it triggers a regulated category (for example, pesticides, drugs).</w:t>
      </w:r>
    </w:p>
    <w:p>
      <w:r>
        <w:rPr>
          <w:b/>
        </w:rPr>
        <w:t xml:space="preserve">Step 3. Define evidence requirements per claim type: </w:t>
      </w:r>
      <w:r>
        <w:t>Use an evidence hierarchy (Appendix A) to define what documentation is mandatory, optional, and unacceptable.</w:t>
      </w:r>
    </w:p>
    <w:p>
      <w:r>
        <w:rPr>
          <w:b/>
        </w:rPr>
        <w:t xml:space="preserve">Step 4. Build the data backbone: </w:t>
      </w:r>
      <w:r>
        <w:t>Implement recipe version control, supplier documentation management, and an LCA workflow aligned to PEF/ISO/GHG Protocol expectations as required.</w:t>
      </w:r>
    </w:p>
    <w:p>
      <w:r>
        <w:rPr>
          <w:b/>
        </w:rPr>
        <w:t xml:space="preserve">Step 5. Select verification and certification strategy: </w:t>
      </w:r>
      <w:r>
        <w:t>Decide where independent verification is required (for example, footprint claims, reduction claims, and high-visibility consumer claims).</w:t>
      </w:r>
    </w:p>
    <w:p>
      <w:r>
        <w:rPr>
          <w:b/>
        </w:rPr>
        <w:t xml:space="preserve">Step 6. Establish packaging and content controls: </w:t>
      </w:r>
      <w:r>
        <w:t>Implement an approval workflow that prevents unapproved claims from appearing on pack or online. Maintain a single source of truth for approved claim language.</w:t>
      </w:r>
    </w:p>
    <w:p>
      <w:r>
        <w:rPr>
          <w:b/>
        </w:rPr>
        <w:t xml:space="preserve">Step 7. Engage suppliers with contractual data requirements: </w:t>
      </w:r>
      <w:r>
        <w:t>Embed data and documentation obligations into supplier contracts, including update triggers when suppliers change processes or sourcing.</w:t>
      </w:r>
    </w:p>
    <w:p>
      <w:r>
        <w:rPr>
          <w:b/>
        </w:rPr>
        <w:t xml:space="preserve">Step 8. Implement monitoring and refresh cadence: </w:t>
      </w:r>
      <w:r>
        <w:t>Set a review cycle (for example, quarterly for high-risk claims, annually for footprint models) and define triggers that require immediate review.</w:t>
      </w:r>
    </w:p>
    <w:p>
      <w:pPr>
        <w:pStyle w:val="Heading2"/>
      </w:pPr>
      <w:r>
        <w:t>10.4 Timeline: what to do in 0-24 months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Time horizon</w:t>
            </w:r>
          </w:p>
        </w:tc>
        <w:tc>
          <w:tcPr>
            <w:tcW w:type="dxa" w:w="2340"/>
          </w:tcPr>
          <w:p>
            <w:r>
              <w:t>Primary objective</w:t>
            </w:r>
          </w:p>
        </w:tc>
        <w:tc>
          <w:tcPr>
            <w:tcW w:type="dxa" w:w="2340"/>
          </w:tcPr>
          <w:p>
            <w:r>
              <w:t>Key deliverables</w:t>
            </w:r>
          </w:p>
        </w:tc>
        <w:tc>
          <w:tcPr>
            <w:tcW w:type="dxa" w:w="2340"/>
          </w:tcPr>
          <w:p>
            <w:r>
              <w:t>Common pitfalls</w:t>
            </w:r>
          </w:p>
        </w:tc>
      </w:tr>
      <w:tr>
        <w:tc>
          <w:tcPr>
            <w:tcW w:type="dxa" w:w="2340"/>
          </w:tcPr>
          <w:p>
            <w:r>
              <w:t>0-90 days</w:t>
            </w:r>
          </w:p>
        </w:tc>
        <w:tc>
          <w:tcPr>
            <w:tcW w:type="dxa" w:w="2340"/>
          </w:tcPr>
          <w:p>
            <w:r>
              <w:t>Control risk and create visibility</w:t>
            </w:r>
          </w:p>
        </w:tc>
        <w:tc>
          <w:tcPr>
            <w:tcW w:type="dxa" w:w="2340"/>
          </w:tcPr>
          <w:p>
            <w:r>
              <w:t>Claims inventory; risk rating; temporary moratorium on high-risk claims; first governance meeting</w:t>
            </w:r>
          </w:p>
        </w:tc>
        <w:tc>
          <w:tcPr>
            <w:tcW w:type="dxa" w:w="2340"/>
          </w:tcPr>
          <w:p>
            <w:r>
              <w:t>Ignoring off-pack claims; letting marketing continue without controls</w:t>
            </w:r>
          </w:p>
        </w:tc>
      </w:tr>
      <w:tr>
        <w:tc>
          <w:tcPr>
            <w:tcW w:type="dxa" w:w="2340"/>
          </w:tcPr>
          <w:p>
            <w:r>
              <w:t>3-6 months</w:t>
            </w:r>
          </w:p>
        </w:tc>
        <w:tc>
          <w:tcPr>
            <w:tcW w:type="dxa" w:w="2340"/>
          </w:tcPr>
          <w:p>
            <w:r>
              <w:t>Build core evidence and data processes</w:t>
            </w:r>
          </w:p>
        </w:tc>
        <w:tc>
          <w:tcPr>
            <w:tcW w:type="dxa" w:w="2340"/>
          </w:tcPr>
          <w:p>
            <w:r>
              <w:t>Evidence templates; supplier documentation plan; pilot LCA model for 1-2 products; verification partner shortlist</w:t>
            </w:r>
          </w:p>
        </w:tc>
        <w:tc>
          <w:tcPr>
            <w:tcW w:type="dxa" w:w="2340"/>
          </w:tcPr>
          <w:p>
            <w:r>
              <w:t>Overbuilding a perfect model; failing to define functional units and boundaries</w:t>
            </w:r>
          </w:p>
        </w:tc>
      </w:tr>
      <w:tr>
        <w:tc>
          <w:tcPr>
            <w:tcW w:type="dxa" w:w="2340"/>
          </w:tcPr>
          <w:p>
            <w:r>
              <w:t>6-12 months</w:t>
            </w:r>
          </w:p>
        </w:tc>
        <w:tc>
          <w:tcPr>
            <w:tcW w:type="dxa" w:w="2340"/>
          </w:tcPr>
          <w:p>
            <w:r>
              <w:t>Scale defensible claims</w:t>
            </w:r>
          </w:p>
        </w:tc>
        <w:tc>
          <w:tcPr>
            <w:tcW w:type="dxa" w:w="2340"/>
          </w:tcPr>
          <w:p>
            <w:r>
              <w:t>Standardized claim library; LCA coverage across priority SKUs; third-party verification for flagship claims; customer reporting packages</w:t>
            </w:r>
          </w:p>
        </w:tc>
        <w:tc>
          <w:tcPr>
            <w:tcW w:type="dxa" w:w="2340"/>
          </w:tcPr>
          <w:p>
            <w:r>
              <w:t>Inconsistent claims across regions; missing update triggers when formulation changes</w:t>
            </w:r>
          </w:p>
        </w:tc>
      </w:tr>
      <w:tr>
        <w:tc>
          <w:tcPr>
            <w:tcW w:type="dxa" w:w="2340"/>
          </w:tcPr>
          <w:p>
            <w:r>
              <w:t>12-24 months</w:t>
            </w:r>
          </w:p>
        </w:tc>
        <w:tc>
          <w:tcPr>
            <w:tcW w:type="dxa" w:w="2340"/>
          </w:tcPr>
          <w:p>
            <w:r>
              <w:t>Institutionalize and optimize</w:t>
            </w:r>
          </w:p>
        </w:tc>
        <w:tc>
          <w:tcPr>
            <w:tcW w:type="dxa" w:w="2340"/>
          </w:tcPr>
          <w:p>
            <w:r>
              <w:t>Audit-ready claim dossiers; automated data pipelines; integration into product development stage gates; KPI dashboard</w:t>
            </w:r>
          </w:p>
        </w:tc>
        <w:tc>
          <w:tcPr>
            <w:tcW w:type="dxa" w:w="2340"/>
          </w:tcPr>
          <w:p>
            <w:r>
              <w:t>Treating compliance as a one-time project rather than an operating system</w:t>
            </w:r>
          </w:p>
        </w:tc>
      </w:tr>
    </w:tbl>
    <w:p>
      <w:r>
        <w:br w:type="page"/>
      </w:r>
    </w:p>
    <w:p>
      <w:pPr>
        <w:pStyle w:val="Heading1"/>
      </w:pPr>
      <w:r>
        <w:t>11. Scenarios and early warning indicators</w:t>
      </w:r>
    </w:p>
    <w:p>
      <w:pPr>
        <w:pStyle w:val="Heading2"/>
      </w:pPr>
      <w:r>
        <w:t>11.1 Scenario planning logic</w:t>
      </w:r>
    </w:p>
    <w:p>
      <w:r>
        <w:t>Because green label institutionalization depends on political, regulatory, and market dynamics, scenario planning helps avoid overfitting to a single path. The scenarios below are not predictions. They are structured possibilities that can be monitored through early warning indicators.</w:t>
      </w:r>
    </w:p>
    <w:p>
      <w:pPr>
        <w:pStyle w:val="Heading2"/>
      </w:pPr>
      <w:r>
        <w:t>11.2 Scenario A: Harmonized EU substantiation returns</w:t>
      </w:r>
    </w:p>
    <w:p>
      <w:r>
        <w:t>The EU revives or replaces the paused Green Claims directive proposal with a harmonized substantiation regime. Pre-approval or formal verification requirements become more explicit, and national enforcement becomes more consistent.</w:t>
      </w:r>
    </w:p>
    <w:p>
      <w:r>
        <w:rPr>
          <w:b/>
        </w:rPr>
        <w:t>What it would mean:</w:t>
      </w:r>
    </w:p>
    <w:p>
      <w:pPr>
        <w:pStyle w:val="ListBullet"/>
      </w:pPr>
      <w:r>
        <w:t>Higher upfront compliance costs for consumer-facing claims.</w:t>
      </w:r>
    </w:p>
    <w:p>
      <w:pPr>
        <w:pStyle w:val="ListBullet"/>
      </w:pPr>
      <w:r>
        <w:t>Greater comparability across products, increasing competitive pressure.</w:t>
      </w:r>
    </w:p>
    <w:p>
      <w:pPr>
        <w:pStyle w:val="ListBullet"/>
      </w:pPr>
      <w:r>
        <w:t>Advantages for companies with mature LCA and verification systems.</w:t>
      </w:r>
    </w:p>
    <w:p>
      <w:pPr>
        <w:pStyle w:val="Heading2"/>
      </w:pPr>
      <w:r>
        <w:t>11.3 Scenario B: Fragmentation plus enforcement</w:t>
      </w:r>
    </w:p>
    <w:p>
      <w:r>
        <w:t>The EU Green Claims proposal remains stalled, but EmpCo is transposed and enforced aggressively. Member states and courts apply consumer protection law more actively, and national guidance diverges.</w:t>
      </w:r>
    </w:p>
    <w:p>
      <w:r>
        <w:rPr>
          <w:b/>
        </w:rPr>
        <w:t>What it would mean:</w:t>
      </w:r>
    </w:p>
    <w:p>
      <w:pPr>
        <w:pStyle w:val="ListBullet"/>
      </w:pPr>
      <w:r>
        <w:t>Need for country-specific claim playbooks and legal review.</w:t>
      </w:r>
    </w:p>
    <w:p>
      <w:pPr>
        <w:pStyle w:val="ListBullet"/>
      </w:pPr>
      <w:r>
        <w:t>Higher risk for generic and aspirational claims, even without an EU-wide Green Claims directive.</w:t>
      </w:r>
    </w:p>
    <w:p>
      <w:pPr>
        <w:pStyle w:val="ListBullet"/>
      </w:pPr>
      <w:r>
        <w:t>Value of robust evidence remains high, but claims must be tailored by jurisdiction.</w:t>
      </w:r>
    </w:p>
    <w:p>
      <w:pPr>
        <w:pStyle w:val="Heading2"/>
      </w:pPr>
      <w:r>
        <w:t>11.4 Scenario C: US pathway modernization and tougher marketing scrutiny</w:t>
      </w:r>
    </w:p>
    <w:p>
      <w:r>
        <w:t>US policy evolves in two directions: (1) a clearer pathway for certain feed substances that deliver environmental benefits, and (2) increased scrutiny of consumer-facing environmental marketing through FTC, state actions, and litigation.</w:t>
      </w:r>
    </w:p>
    <w:p>
      <w:r>
        <w:rPr>
          <w:b/>
        </w:rPr>
        <w:t>What it would mean:</w:t>
      </w:r>
    </w:p>
    <w:p>
      <w:pPr>
        <w:pStyle w:val="ListBullet"/>
      </w:pPr>
      <w:r>
        <w:t>Faster commercialization for substantiated feed performance solutions if legislation advances.</w:t>
      </w:r>
    </w:p>
    <w:p>
      <w:pPr>
        <w:pStyle w:val="ListBullet"/>
      </w:pPr>
      <w:r>
        <w:t>Greater need to harmonize claim substantiation across digital commerce and packaging.</w:t>
      </w:r>
    </w:p>
    <w:p>
      <w:pPr>
        <w:pStyle w:val="ListBullet"/>
      </w:pPr>
      <w:r>
        <w:t>Potential for large financial exposure from class actions if claims are ambiguous.</w:t>
      </w:r>
    </w:p>
    <w:p>
      <w:pPr>
        <w:pStyle w:val="Heading2"/>
      </w:pPr>
      <w:r>
        <w:t>11.5 Early warning indicators</w:t>
      </w:r>
    </w:p>
    <w:tbl>
      <w:tblPr>
        <w:tblStyle w:val="TableGrid"/>
        <w:tblW w:type="auto" w:w="0"/>
        <w:tblLook w:firstColumn="1" w:firstRow="1" w:lastColumn="0" w:lastRow="0" w:noHBand="0" w:noVBand="1" w:val="04A0"/>
      </w:tblPr>
      <w:tblGrid>
        <w:gridCol w:w="3120"/>
        <w:gridCol w:w="3120"/>
        <w:gridCol w:w="3120"/>
      </w:tblGrid>
      <w:tr>
        <w:tc>
          <w:tcPr>
            <w:tcW w:type="dxa" w:w="3120"/>
          </w:tcPr>
          <w:p>
            <w:r>
              <w:t>Indicator</w:t>
            </w:r>
          </w:p>
        </w:tc>
        <w:tc>
          <w:tcPr>
            <w:tcW w:type="dxa" w:w="3120"/>
          </w:tcPr>
          <w:p>
            <w:r>
              <w:t>Why it matters</w:t>
            </w:r>
          </w:p>
        </w:tc>
        <w:tc>
          <w:tcPr>
            <w:tcW w:type="dxa" w:w="3120"/>
          </w:tcPr>
          <w:p>
            <w:r>
              <w:t>What to watch</w:t>
            </w:r>
          </w:p>
        </w:tc>
      </w:tr>
      <w:tr>
        <w:tc>
          <w:tcPr>
            <w:tcW w:type="dxa" w:w="3120"/>
          </w:tcPr>
          <w:p>
            <w:r>
              <w:t>EU transposition guidance and enforcement actions on EmpCo</w:t>
            </w:r>
          </w:p>
        </w:tc>
        <w:tc>
          <w:tcPr>
            <w:tcW w:type="dxa" w:w="3120"/>
          </w:tcPr>
          <w:p>
            <w:r>
              <w:t>Shows how strict the EU consumer-claims regime becomes in practice</w:t>
            </w:r>
          </w:p>
        </w:tc>
        <w:tc>
          <w:tcPr>
            <w:tcW w:type="dxa" w:w="3120"/>
          </w:tcPr>
          <w:p>
            <w:r>
              <w:t>National authority guidance, early court cases, and actions against generic claims</w:t>
            </w:r>
          </w:p>
        </w:tc>
      </w:tr>
      <w:tr>
        <w:tc>
          <w:tcPr>
            <w:tcW w:type="dxa" w:w="3120"/>
          </w:tcPr>
          <w:p>
            <w:r>
              <w:t>Status signals on the EU Green Claims directive proposal</w:t>
            </w:r>
          </w:p>
        </w:tc>
        <w:tc>
          <w:tcPr>
            <w:tcW w:type="dxa" w:w="3120"/>
          </w:tcPr>
          <w:p>
            <w:r>
              <w:t>Determines whether an EU-wide pre-approval regime emerges</w:t>
            </w:r>
          </w:p>
        </w:tc>
        <w:tc>
          <w:tcPr>
            <w:tcW w:type="dxa" w:w="3120"/>
          </w:tcPr>
          <w:p>
            <w:r>
              <w:t>Council position, Commission actions, trilogue restart or formal withdrawal</w:t>
            </w:r>
          </w:p>
        </w:tc>
      </w:tr>
      <w:tr>
        <w:tc>
          <w:tcPr>
            <w:tcW w:type="dxa" w:w="3120"/>
          </w:tcPr>
          <w:p>
            <w:r>
              <w:t>Buyer procurement scorecards requiring PEF or GFLI-aligned footprints</w:t>
            </w:r>
          </w:p>
        </w:tc>
        <w:tc>
          <w:tcPr>
            <w:tcW w:type="dxa" w:w="3120"/>
          </w:tcPr>
          <w:p>
            <w:r>
              <w:t>Accelerates B2B institutionalization independent of regulation</w:t>
            </w:r>
          </w:p>
        </w:tc>
        <w:tc>
          <w:tcPr>
            <w:tcW w:type="dxa" w:w="3120"/>
          </w:tcPr>
          <w:p>
            <w:r>
              <w:t>Tender requirements, supplier portals, and audit demands</w:t>
            </w:r>
          </w:p>
        </w:tc>
      </w:tr>
      <w:tr>
        <w:tc>
          <w:tcPr>
            <w:tcW w:type="dxa" w:w="3120"/>
          </w:tcPr>
          <w:p>
            <w:r>
              <w:t>US FTC Green Guides revision progress</w:t>
            </w:r>
          </w:p>
        </w:tc>
        <w:tc>
          <w:tcPr>
            <w:tcW w:type="dxa" w:w="3120"/>
          </w:tcPr>
          <w:p>
            <w:r>
              <w:t>Affects the baseline for claim substantiation expectations</w:t>
            </w:r>
          </w:p>
        </w:tc>
        <w:tc>
          <w:tcPr>
            <w:tcW w:type="dxa" w:w="3120"/>
          </w:tcPr>
          <w:p>
            <w:r>
              <w:t>FTC workshops, draft revisions, enforcement priorities</w:t>
            </w:r>
          </w:p>
        </w:tc>
      </w:tr>
      <w:tr>
        <w:tc>
          <w:tcPr>
            <w:tcW w:type="dxa" w:w="3120"/>
          </w:tcPr>
          <w:p>
            <w:r>
              <w:t>Retail and e-commerce platform claim policies</w:t>
            </w:r>
          </w:p>
        </w:tc>
        <w:tc>
          <w:tcPr>
            <w:tcW w:type="dxa" w:w="3120"/>
          </w:tcPr>
          <w:p>
            <w:r>
              <w:t>Platforms can enforce stricter standards than law</w:t>
            </w:r>
          </w:p>
        </w:tc>
        <w:tc>
          <w:tcPr>
            <w:tcW w:type="dxa" w:w="3120"/>
          </w:tcPr>
          <w:p>
            <w:r>
              <w:t>Marketplace listing requirements, claim audits, and prohibited terms lists</w:t>
            </w:r>
          </w:p>
        </w:tc>
      </w:tr>
    </w:tbl>
    <w:p>
      <w:r>
        <w:br w:type="page"/>
      </w:r>
    </w:p>
    <w:p>
      <w:pPr>
        <w:pStyle w:val="Heading1"/>
      </w:pPr>
      <w:r>
        <w:t>12. Recommendations</w:t>
      </w:r>
    </w:p>
    <w:p>
      <w:pPr>
        <w:pStyle w:val="Heading2"/>
      </w:pPr>
      <w:r>
        <w:t>12.1 Immediate priorities</w:t>
      </w:r>
    </w:p>
    <w:p>
      <w:pPr>
        <w:pStyle w:val="ListBullet"/>
      </w:pPr>
      <w:r>
        <w:t>Freeze high-risk claims until substantiation is reviewed, especially broad or generic terms and any climate-neutral language that relies on offsetting in EU consumer contexts.</w:t>
      </w:r>
    </w:p>
    <w:p>
      <w:pPr>
        <w:pStyle w:val="ListBullet"/>
      </w:pPr>
      <w:r>
        <w:t>Create a single, governed library of approved claim language and prohibited terms by jurisdiction.</w:t>
      </w:r>
    </w:p>
    <w:p>
      <w:pPr>
        <w:pStyle w:val="ListBullet"/>
      </w:pPr>
      <w:r>
        <w:t>Launch a claims inventory and risk assessment across all channels (packaging, web, retailer content, sales materials).</w:t>
      </w:r>
    </w:p>
    <w:p>
      <w:pPr>
        <w:pStyle w:val="ListBullet"/>
      </w:pPr>
      <w:r>
        <w:t>Select a reference methodology for footprint claims (PEF/PEFCR where relevant in Europe, ISO 14067 and GHG Protocol Product Standard as global anchors) and standardize functional units.</w:t>
      </w:r>
    </w:p>
    <w:p>
      <w:pPr>
        <w:pStyle w:val="ListBullet"/>
      </w:pPr>
      <w:r>
        <w:t>Identify 1-2 pilot products or customer accounts to build an end-to-end substantiation dossier and verification workflow.</w:t>
      </w:r>
    </w:p>
    <w:p>
      <w:pPr>
        <w:pStyle w:val="Heading2"/>
      </w:pPr>
      <w:r>
        <w:t>12.2 Medium-term priorities</w:t>
      </w:r>
    </w:p>
    <w:p>
      <w:pPr>
        <w:pStyle w:val="ListBullet"/>
      </w:pPr>
      <w:r>
        <w:t>Scale data collection through supplier contracts, requesting ingredient-level footprints, certification documents, and update triggers.</w:t>
      </w:r>
    </w:p>
    <w:p>
      <w:pPr>
        <w:pStyle w:val="ListBullet"/>
      </w:pPr>
      <w:r>
        <w:t>Implement LCA governance with version control so that claims remain tied to specific formulations and time periods.</w:t>
      </w:r>
    </w:p>
    <w:p>
      <w:pPr>
        <w:pStyle w:val="ListBullet"/>
      </w:pPr>
      <w:r>
        <w:t>Build a verification strategy: decide which claims require independent review and which can remain internal.</w:t>
      </w:r>
    </w:p>
    <w:p>
      <w:pPr>
        <w:pStyle w:val="ListBullet"/>
      </w:pPr>
      <w:r>
        <w:t>Develop a product innovation pipeline aligned to defensible label archetypes, prioritizing measurable outcomes and procurement relevance in livestock feed and trust-building certifications in pet markets.</w:t>
      </w:r>
    </w:p>
    <w:p>
      <w:pPr>
        <w:pStyle w:val="ListBullet"/>
      </w:pPr>
      <w:r>
        <w:t>Prepare for EU enforcement by building documentation that can withstand audits and challenges from regulators, customers, and competitors.</w:t>
      </w:r>
    </w:p>
    <w:p>
      <w:pPr>
        <w:pStyle w:val="Heading2"/>
      </w:pPr>
      <w:r>
        <w:t>12.3 Long-term priorities</w:t>
      </w:r>
    </w:p>
    <w:p>
      <w:pPr>
        <w:pStyle w:val="ListBullet"/>
      </w:pPr>
      <w:r>
        <w:t>Integrate sustainability data and claim review into product development stage gates, so claims are designed in, not retrofitted.</w:t>
      </w:r>
    </w:p>
    <w:p>
      <w:pPr>
        <w:pStyle w:val="ListBullet"/>
      </w:pPr>
      <w:r>
        <w:t>Automate data pipelines for footprint reporting, enabling faster customer responses and reduced manual error.</w:t>
      </w:r>
    </w:p>
    <w:p>
      <w:pPr>
        <w:pStyle w:val="ListBullet"/>
      </w:pPr>
      <w:r>
        <w:t>Use digital channels (QR codes and online product pages) to provide qualified, transparent information that supports on-pack brevity without sacrificing substantiation.</w:t>
      </w:r>
    </w:p>
    <w:p>
      <w:pPr>
        <w:pStyle w:val="ListBullet"/>
      </w:pPr>
      <w:r>
        <w:t>Continuously monitor regulatory changes and enforcement patterns, and refresh claim language accordingly.</w:t>
      </w:r>
    </w:p>
    <w:p>
      <w:r>
        <w:br w:type="page"/>
      </w:r>
    </w:p>
    <w:p>
      <w:pPr>
        <w:pStyle w:val="Heading1"/>
      </w:pPr>
      <w:r>
        <w:t>Appendix A. Evidence hierarchy and claim substantiation checklist</w:t>
      </w:r>
    </w:p>
    <w:p>
      <w:pPr>
        <w:pStyle w:val="Heading2"/>
      </w:pPr>
      <w:r>
        <w:t>A1. Evidence hierarchy</w:t>
      </w:r>
    </w:p>
    <w:p>
      <w:r>
        <w:t>Use this hierarchy to set minimum substantiation requirements. Higher tiers include the requirements of lower tiers.</w:t>
      </w:r>
    </w:p>
    <w:p>
      <w:r>
        <w:rPr>
          <w:b/>
        </w:rPr>
        <w:t xml:space="preserve">Tier 1 evidence: </w:t>
      </w:r>
      <w:r>
        <w:t>Supplier specs, certificates of analysis, recycled content attestations, chain-of-custody documents.</w:t>
      </w:r>
    </w:p>
    <w:p>
      <w:r>
        <w:rPr>
          <w:b/>
        </w:rPr>
        <w:t xml:space="preserve">Tier 2 evidence: </w:t>
      </w:r>
      <w:r>
        <w:t>Structured calculations with documented assumptions, controlled baselines, and internal QA sign-off.</w:t>
      </w:r>
    </w:p>
    <w:p>
      <w:r>
        <w:rPr>
          <w:b/>
        </w:rPr>
        <w:t xml:space="preserve">Tier 3 evidence: </w:t>
      </w:r>
      <w:r>
        <w:t>LCA study or footprint model aligned to a recognized standard (PEF/PEFCR, ISO 14067, GHG Product Standard) with version control.</w:t>
      </w:r>
    </w:p>
    <w:p>
      <w:r>
        <w:rPr>
          <w:b/>
        </w:rPr>
        <w:t xml:space="preserve">Tier 4 evidence: </w:t>
      </w:r>
      <w:r>
        <w:t>Independent verification statement or certification audit record.</w:t>
      </w:r>
    </w:p>
    <w:p>
      <w:r>
        <w:rPr>
          <w:b/>
        </w:rPr>
        <w:t xml:space="preserve">Tier 5 evidence: </w:t>
      </w:r>
      <w:r>
        <w:t>Ongoing surveillance audits, governance documents for label use, and public-facing methodology disclosure where required.</w:t>
      </w:r>
    </w:p>
    <w:p>
      <w:pPr>
        <w:pStyle w:val="Heading2"/>
      </w:pPr>
      <w:r>
        <w:t>A2. Claim substantiation checklist</w:t>
      </w:r>
    </w:p>
    <w:p>
      <w:pPr>
        <w:pStyle w:val="ListBullet"/>
      </w:pPr>
      <w:r>
        <w:t>Claim text and context: exact wording, images, and implied meanings.</w:t>
      </w:r>
    </w:p>
    <w:p>
      <w:pPr>
        <w:pStyle w:val="ListBullet"/>
      </w:pPr>
      <w:r>
        <w:t>Jurisdictions and channels: where the claim will appear (pack, web, retailer listing, B2B tender).</w:t>
      </w:r>
    </w:p>
    <w:p>
      <w:pPr>
        <w:pStyle w:val="ListBullet"/>
      </w:pPr>
      <w:r>
        <w:t>Claim type classification: attribute, comparative, footprint, future commitment, certification label.</w:t>
      </w:r>
    </w:p>
    <w:p>
      <w:pPr>
        <w:pStyle w:val="ListBullet"/>
      </w:pPr>
      <w:r>
        <w:t>Scope and boundary: what is included and excluded; functional unit; geography; time period.</w:t>
      </w:r>
    </w:p>
    <w:p>
      <w:pPr>
        <w:pStyle w:val="ListBullet"/>
      </w:pPr>
      <w:r>
        <w:t>Methodology: standard or program used; key assumptions; allocation rules.</w:t>
      </w:r>
    </w:p>
    <w:p>
      <w:pPr>
        <w:pStyle w:val="ListBullet"/>
      </w:pPr>
      <w:r>
        <w:t>Data sources: primary vs secondary; supplier data quality; update triggers.</w:t>
      </w:r>
    </w:p>
    <w:p>
      <w:pPr>
        <w:pStyle w:val="ListBullet"/>
      </w:pPr>
      <w:r>
        <w:t>Evidence file set: documents, model files, certificates, and approvals stored in a controlled repository.</w:t>
      </w:r>
    </w:p>
    <w:p>
      <w:pPr>
        <w:pStyle w:val="ListBullet"/>
      </w:pPr>
      <w:r>
        <w:t>Review and approval: legal, regulatory, science/LCA, quality, and marketing sign-off recorded.</w:t>
      </w:r>
    </w:p>
    <w:p>
      <w:pPr>
        <w:pStyle w:val="ListBullet"/>
      </w:pPr>
      <w:r>
        <w:t>Monitoring plan: cadence and triggers for review when suppliers, formulations, processes, or regulations change.</w:t>
      </w:r>
    </w:p>
    <w:p>
      <w:pPr>
        <w:pStyle w:val="Heading2"/>
      </w:pPr>
      <w:r>
        <w:t>A3. Template: Green claim substantiation dossier contents</w:t>
      </w:r>
    </w:p>
    <w:p>
      <w:r>
        <w:t>A practical dossier package for each high-visibility claim should include:</w:t>
      </w:r>
    </w:p>
    <w:p>
      <w:pPr>
        <w:pStyle w:val="ListBullet"/>
      </w:pPr>
      <w:r>
        <w:t>One-page claim summary (claim text, products/SKUs covered, jurisdictions, and limitations).</w:t>
      </w:r>
    </w:p>
    <w:p>
      <w:pPr>
        <w:pStyle w:val="ListBullet"/>
      </w:pPr>
      <w:r>
        <w:t>Methodology note (standard used, boundary, functional unit, allocation, and data year).</w:t>
      </w:r>
    </w:p>
    <w:p>
      <w:pPr>
        <w:pStyle w:val="ListBullet"/>
      </w:pPr>
      <w:r>
        <w:t>Calculation workbook or model file with version number and change log.</w:t>
      </w:r>
    </w:p>
    <w:p>
      <w:pPr>
        <w:pStyle w:val="ListBullet"/>
      </w:pPr>
      <w:r>
        <w:t>Supplier evidence (certificates, declarations, chain-of-custody, audit summaries).</w:t>
      </w:r>
    </w:p>
    <w:p>
      <w:pPr>
        <w:pStyle w:val="ListBullet"/>
      </w:pPr>
      <w:r>
        <w:t>Verification or review statement (if applicable).</w:t>
      </w:r>
    </w:p>
    <w:p>
      <w:pPr>
        <w:pStyle w:val="ListBullet"/>
      </w:pPr>
      <w:r>
        <w:t>Packaging and digital copy approvals.</w:t>
      </w:r>
    </w:p>
    <w:p>
      <w:pPr>
        <w:pStyle w:val="ListBullet"/>
      </w:pPr>
      <w:r>
        <w:t>Customer-facing FAQ and qualified disclosure text.</w:t>
      </w:r>
    </w:p>
    <w:p>
      <w:r>
        <w:br w:type="page"/>
      </w:r>
    </w:p>
    <w:p>
      <w:pPr>
        <w:pStyle w:val="Heading1"/>
      </w:pPr>
      <w:r>
        <w:t>Appendix B. Reference standards and schemes</w:t>
      </w:r>
    </w:p>
    <w:p>
      <w:pPr>
        <w:pStyle w:val="Heading2"/>
      </w:pPr>
      <w:r>
        <w:t>B1. Cross-cutting footprinting standards</w:t>
      </w:r>
    </w:p>
    <w:p>
      <w:pPr>
        <w:pStyle w:val="ListBullet"/>
      </w:pPr>
      <w:r>
        <w:t>EU Product Environmental Footprint (PEF) and product-category rules (PEFCR).</w:t>
      </w:r>
    </w:p>
    <w:p>
      <w:pPr>
        <w:pStyle w:val="ListBullet"/>
      </w:pPr>
      <w:r>
        <w:t>PEFCR Feed for Food-Producing Animals.</w:t>
      </w:r>
    </w:p>
    <w:p>
      <w:pPr>
        <w:pStyle w:val="ListBullet"/>
      </w:pPr>
      <w:r>
        <w:t>PEFCR Pet Food (EU market).</w:t>
      </w:r>
    </w:p>
    <w:p>
      <w:pPr>
        <w:pStyle w:val="ListBullet"/>
      </w:pPr>
      <w:r>
        <w:t>ISO 14040 and ISO 14044 (LCA principles and requirements).</w:t>
      </w:r>
    </w:p>
    <w:p>
      <w:pPr>
        <w:pStyle w:val="ListBullet"/>
      </w:pPr>
      <w:r>
        <w:t>ISO 14067 (carbon footprint of products).</w:t>
      </w:r>
    </w:p>
    <w:p>
      <w:pPr>
        <w:pStyle w:val="ListBullet"/>
      </w:pPr>
      <w:r>
        <w:t>GHG Protocol Product Standard.</w:t>
      </w:r>
    </w:p>
    <w:p>
      <w:pPr>
        <w:pStyle w:val="Heading2"/>
      </w:pPr>
      <w:r>
        <w:t>B2. Examples of relevant certification and sourcing schemes</w:t>
      </w:r>
    </w:p>
    <w:p>
      <w:r>
        <w:t>The following list is illustrative, not exhaustive. Applicability depends on ingredient category, geography, and customer expectations.</w:t>
      </w:r>
    </w:p>
    <w:p>
      <w:pPr>
        <w:pStyle w:val="ListBullet"/>
      </w:pPr>
      <w:r>
        <w:t>Upcycled Certified (Upcycled Food Association / Where Food Comes From).</w:t>
      </w:r>
    </w:p>
    <w:p>
      <w:pPr>
        <w:pStyle w:val="ListBullet"/>
      </w:pPr>
      <w:r>
        <w:t>Marine sustainability: MSC and ASC.</w:t>
      </w:r>
    </w:p>
    <w:p>
      <w:pPr>
        <w:pStyle w:val="ListBullet"/>
      </w:pPr>
      <w:r>
        <w:t>Responsible soy and deforestation-risk: RTRS, ProTerra, and other benchmarked schemes; plus company-specific due diligence aligned with EUDR.</w:t>
      </w:r>
    </w:p>
    <w:p>
      <w:pPr>
        <w:pStyle w:val="ListBullet"/>
      </w:pPr>
      <w:r>
        <w:t>Palm oil: RSPO.</w:t>
      </w:r>
    </w:p>
    <w:p>
      <w:pPr>
        <w:pStyle w:val="ListBullet"/>
      </w:pPr>
      <w:r>
        <w:t>Forestry and paper: FSC and PEFC.</w:t>
      </w:r>
    </w:p>
    <w:p>
      <w:pPr>
        <w:pStyle w:val="ListBullet"/>
      </w:pPr>
      <w:r>
        <w:t>Mass balance and circularity systems: ISCC (various scopes) where relevant.</w:t>
      </w:r>
    </w:p>
    <w:p>
      <w:pPr>
        <w:pStyle w:val="ListBullet"/>
      </w:pPr>
      <w:r>
        <w:t>Corporate purpose and ESG signals: B Corp, 1% for the Planet (not product substantiation, but brand positioning).</w:t>
      </w:r>
    </w:p>
    <w:p>
      <w:r>
        <w:br w:type="page"/>
      </w:r>
    </w:p>
    <w:p>
      <w:pPr>
        <w:pStyle w:val="Heading1"/>
      </w:pPr>
      <w:r>
        <w:t>Appendix C. Glossary</w:t>
      </w:r>
    </w:p>
    <w:p>
      <w:r>
        <w:rPr>
          <w:b/>
        </w:rPr>
        <w:t xml:space="preserve">B2B: </w:t>
      </w:r>
      <w:r>
        <w:t>Business-to-business.</w:t>
      </w:r>
    </w:p>
    <w:p>
      <w:r>
        <w:rPr>
          <w:b/>
        </w:rPr>
        <w:t xml:space="preserve">B2C: </w:t>
      </w:r>
      <w:r>
        <w:t>Business-to-consumer.</w:t>
      </w:r>
    </w:p>
    <w:p>
      <w:r>
        <w:rPr>
          <w:b/>
        </w:rPr>
        <w:t xml:space="preserve">BOM: </w:t>
      </w:r>
      <w:r>
        <w:t>Bill of materials, the full ingredient and packaging specification for a SKU.</w:t>
      </w:r>
    </w:p>
    <w:p>
      <w:r>
        <w:rPr>
          <w:b/>
        </w:rPr>
        <w:t xml:space="preserve">EmpCo: </w:t>
      </w:r>
      <w:r>
        <w:t>EU Empowering Consumers for the Green Transition Directive (Directive (EU) 2024/825).</w:t>
      </w:r>
    </w:p>
    <w:p>
      <w:r>
        <w:rPr>
          <w:b/>
        </w:rPr>
        <w:t xml:space="preserve">EUDR: </w:t>
      </w:r>
      <w:r>
        <w:t>EU Deforestation Regulation.</w:t>
      </w:r>
    </w:p>
    <w:p>
      <w:r>
        <w:rPr>
          <w:b/>
        </w:rPr>
        <w:t xml:space="preserve">GFLI: </w:t>
      </w:r>
      <w:r>
        <w:t>Global Feed LCA Institute.</w:t>
      </w:r>
    </w:p>
    <w:p>
      <w:r>
        <w:rPr>
          <w:b/>
        </w:rPr>
        <w:t xml:space="preserve">GHG: </w:t>
      </w:r>
      <w:r>
        <w:t>Greenhouse gas.</w:t>
      </w:r>
    </w:p>
    <w:p>
      <w:r>
        <w:rPr>
          <w:b/>
        </w:rPr>
        <w:t xml:space="preserve">LCA: </w:t>
      </w:r>
      <w:r>
        <w:t>Life cycle assessment.</w:t>
      </w:r>
    </w:p>
    <w:p>
      <w:r>
        <w:rPr>
          <w:b/>
        </w:rPr>
        <w:t xml:space="preserve">MRV: </w:t>
      </w:r>
      <w:r>
        <w:t>Measurement, reporting, and verification.</w:t>
      </w:r>
    </w:p>
    <w:p>
      <w:r>
        <w:rPr>
          <w:b/>
        </w:rPr>
        <w:t xml:space="preserve">PEF: </w:t>
      </w:r>
      <w:r>
        <w:t>Product Environmental Footprint.</w:t>
      </w:r>
    </w:p>
    <w:p>
      <w:r>
        <w:rPr>
          <w:b/>
        </w:rPr>
        <w:t xml:space="preserve">PEFCR: </w:t>
      </w:r>
      <w:r>
        <w:t>Product Environmental Footprint Category Rules.</w:t>
      </w:r>
    </w:p>
    <w:p>
      <w:r>
        <w:rPr>
          <w:b/>
        </w:rPr>
        <w:t xml:space="preserve">Scope 3: </w:t>
      </w:r>
      <w:r>
        <w:t>Indirect emissions across a value chain, as defined in the GHG Protocol.</w:t>
      </w:r>
    </w:p>
    <w:p>
      <w:r>
        <w:br w:type="page"/>
      </w:r>
    </w:p>
    <w:p>
      <w:pPr>
        <w:pStyle w:val="Heading1"/>
      </w:pPr>
      <w:r>
        <w:t>Appendix D. Sources</w:t>
      </w:r>
    </w:p>
    <w:p>
      <w:r>
        <w:t>Source list corresponding to bracketed citations used in the report text.</w:t>
      </w:r>
    </w:p>
    <w:p>
      <w:r>
        <w:rPr>
          <w:b/>
        </w:rPr>
        <w:t xml:space="preserve">Source 1: </w:t>
      </w:r>
      <w:r>
        <w:t>European Commission, "New EU rules to empower consumers for the green transition enter into force", 27 March 2024. https://energy.ec.europa.eu/news/new-eu-rules-empower-consumers-green-transition-enter-force-2024-03-27_en</w:t>
      </w:r>
    </w:p>
    <w:p>
      <w:r>
        <w:rPr>
          <w:b/>
        </w:rPr>
        <w:t xml:space="preserve">Source 2: </w:t>
      </w:r>
      <w:r>
        <w:t>Reuters, "EU halts talks on Green Claims law", 23 June 2025. (News report)</w:t>
      </w:r>
    </w:p>
    <w:p>
      <w:r>
        <w:rPr>
          <w:b/>
        </w:rPr>
        <w:t xml:space="preserve">Source 3: </w:t>
      </w:r>
      <w:r>
        <w:t>European Parliament, press release, "Council must break deadlock after Commission announced withdrawal of Green Claims Directive", 20 June 2025.</w:t>
      </w:r>
    </w:p>
    <w:p>
      <w:r>
        <w:rPr>
          <w:b/>
        </w:rPr>
        <w:t xml:space="preserve">Source 4: </w:t>
      </w:r>
      <w:r>
        <w:t>European Parliament Legislative Observatory, Procedure file 2023/0085(COD) "Substantiation and communication of explicit environmental claims" (status page).</w:t>
      </w:r>
    </w:p>
    <w:p>
      <w:r>
        <w:rPr>
          <w:b/>
        </w:rPr>
        <w:t xml:space="preserve">Source 5: </w:t>
      </w:r>
      <w:r>
        <w:t>European Commission, Corporate sustainability reporting (CSRD overview). https://finance.ec.europa.eu/capital-markets-union-and-financial-markets/company-reporting-and-auditing/company-reporting/corporate-sustainability-reporting_en</w:t>
      </w:r>
    </w:p>
    <w:p>
      <w:r>
        <w:rPr>
          <w:b/>
        </w:rPr>
        <w:t xml:space="preserve">Source 6: </w:t>
      </w:r>
      <w:r>
        <w:t>European Commission, Ecodesign for Sustainable Products Regulation (ESPR) overview. https://commission.europa.eu/energy-climate-change-environment/standards-tools-and-labels/products-labelling-rules-and-requirements/ecodesign-sustainable-products-regulation_en</w:t>
      </w:r>
    </w:p>
    <w:p>
      <w:r>
        <w:rPr>
          <w:b/>
        </w:rPr>
        <w:t xml:space="preserve">Source 7: </w:t>
      </w:r>
      <w:r>
        <w:t>FEFAC, "Endorsement of the upgraded Copa-Cogeca/FEFAC Code of good labelling practices for compound feed", with link to Code v1.2 (2024-12). https://fefac.eu/newsroom/news/endoresement-of-the-upgraded-copa-cogeca-fefac-code-of-good-labelling-practices-for-compound-feed-2/</w:t>
      </w:r>
    </w:p>
    <w:p>
      <w:r>
        <w:rPr>
          <w:b/>
        </w:rPr>
        <w:t xml:space="preserve">Source 8: </w:t>
      </w:r>
      <w:r>
        <w:t>US Federal Trade Commission, "Guides for the Use of Environmental Marketing Claims" (Green Guides). https://www.ftc.gov/business-guidance/resources/green-guides</w:t>
      </w:r>
    </w:p>
    <w:p>
      <w:r>
        <w:rPr>
          <w:b/>
        </w:rPr>
        <w:t xml:space="preserve">Source 9: </w:t>
      </w:r>
      <w:r>
        <w:t>Packaging Dive, "FTC says no timeline for Green Guides update", 21 Feb 2025.</w:t>
      </w:r>
    </w:p>
    <w:p>
      <w:r>
        <w:rPr>
          <w:b/>
        </w:rPr>
        <w:t xml:space="preserve">Source 10: </w:t>
      </w:r>
      <w:r>
        <w:t>US FDA Center for Veterinary Medicine, letter "Approach to Certain Novel Animal Food Substances" (May 21, 2024). https://www.fda.gov/animal-veterinary/product-safety-information/approach-certain-novel-animal-food-substances</w:t>
      </w:r>
    </w:p>
    <w:p>
      <w:r>
        <w:rPr>
          <w:b/>
        </w:rPr>
        <w:t xml:space="preserve">Source 11: </w:t>
      </w:r>
      <w:r>
        <w:t>US Congress, H.R. 2203, Innovative Feed Enhancement and Economic Development Act of 2025 (Congress.gov). https://www.congress.gov/bill/119th-congress/house-bill/2203</w:t>
      </w:r>
    </w:p>
    <w:p>
      <w:r>
        <w:rPr>
          <w:b/>
        </w:rPr>
        <w:t xml:space="preserve">Source 12: </w:t>
      </w:r>
      <w:r>
        <w:t>US Congress, S. 1906, Innovative Feed Enhancement and Economic Development Act of 2025 (Congress.gov). https://www.congress.gov/bill/119th-congress/senate-bill/1906</w:t>
      </w:r>
    </w:p>
    <w:p>
      <w:r>
        <w:rPr>
          <w:b/>
        </w:rPr>
        <w:t xml:space="preserve">Source 13: </w:t>
      </w:r>
      <w:r>
        <w:t>American Feed Industry Association (AFIA), press release or advocacy page on the Innovative FEED Act (2025).</w:t>
      </w:r>
    </w:p>
    <w:p>
      <w:r>
        <w:rPr>
          <w:b/>
        </w:rPr>
        <w:t xml:space="preserve">Source 14: </w:t>
      </w:r>
      <w:r>
        <w:t>Upcycled Food Association, Upcycled Certified program overview. https://upcycledfood.org/certification/</w:t>
      </w:r>
    </w:p>
    <w:p>
      <w:r>
        <w:rPr>
          <w:b/>
        </w:rPr>
        <w:t xml:space="preserve">Source 15: </w:t>
      </w:r>
      <w:r>
        <w:t>European Commission, Environmental Footprint methods. https://environment.ec.europa.eu/topics/circular-economy/environmental-footprint-methods_en</w:t>
      </w:r>
    </w:p>
    <w:p>
      <w:r>
        <w:rPr>
          <w:b/>
        </w:rPr>
        <w:t xml:space="preserve">Source 16: </w:t>
      </w:r>
      <w:r>
        <w:t>European Commission, Product Environmental Footprint resources and methodology references (linked from Environmental Footprint methods).</w:t>
      </w:r>
    </w:p>
    <w:p>
      <w:r>
        <w:rPr>
          <w:b/>
        </w:rPr>
        <w:t xml:space="preserve">Source 17: </w:t>
      </w:r>
      <w:r>
        <w:t>FEFAC, Environmental footprint information and references to PEF and PEFCR Feed. https://fefac.eu/priorities/sustainability/environmental-footprint/</w:t>
      </w:r>
    </w:p>
    <w:p>
      <w:r>
        <w:rPr>
          <w:b/>
        </w:rPr>
        <w:t xml:space="preserve">Source 18: </w:t>
      </w:r>
      <w:r>
        <w:t>Global Feed LCA Institute (GFLI), official downloads/resources (ingredient database). https://globalfeedlca.org/</w:t>
      </w:r>
    </w:p>
    <w:p>
      <w:r>
        <w:rPr>
          <w:b/>
        </w:rPr>
        <w:t xml:space="preserve">Source 19: </w:t>
      </w:r>
      <w:r>
        <w:t>International Organization for Standardization, ISO 14067:2018 Carbon footprint of products. https://www.iso.org/standard/71206.html</w:t>
      </w:r>
    </w:p>
    <w:p>
      <w:r>
        <w:rPr>
          <w:b/>
        </w:rPr>
        <w:t xml:space="preserve">Source 20: </w:t>
      </w:r>
      <w:r>
        <w:t>GHG Protocol, Product Standard. https://ghgprotocol.org/product-standard</w:t>
      </w:r>
    </w:p>
    <w:p>
      <w:r>
        <w:rPr>
          <w:b/>
        </w:rPr>
        <w:t xml:space="preserve">Source 21: </w:t>
      </w:r>
      <w:r>
        <w:t>European Commission, Deforestation Regulation: Parliament and Council agree on new date of application, 4 December 2025. https://environment.ec.europa.eu/news/deforestation-regulation-parliament-and-council-agree-new-date-application-2025-12-04_en</w:t>
      </w:r>
    </w:p>
    <w:p>
      <w:r>
        <w:rPr>
          <w:b/>
        </w:rPr>
        <w:t xml:space="preserve">Source 22: </w:t>
      </w:r>
      <w:r>
        <w:t>Council of the EU, press release, Deforestation regulation: Council and Parliament agree on new date of application, 3 December 2025. https://www.consilium.europa.eu/en/press/press-releases/2025/12/03/deforestation-regulation-council-and-parliament-agree-on-new-date-of-application/</w:t>
      </w:r>
    </w:p>
    <w:p>
      <w:r>
        <w:rPr>
          <w:b/>
        </w:rPr>
        <w:t xml:space="preserve">Source 23: </w:t>
      </w:r>
      <w:r>
        <w:t>NielsenIQ, SuperZoo 2025 Innovation Trends coverage (pet industry trends).</w:t>
      </w:r>
    </w:p>
    <w:p>
      <w:r>
        <w:rPr>
          <w:b/>
        </w:rPr>
        <w:t xml:space="preserve">Source 24: </w:t>
      </w:r>
      <w:r>
        <w:t>Petfood Processing, coverage of sustainability trends in pet food (industry trends).</w:t>
      </w:r>
    </w:p>
    <w:p>
      <w:r>
        <w:rPr>
          <w:b/>
        </w:rPr>
        <w:t xml:space="preserve">Source 25: </w:t>
      </w:r>
      <w:r>
        <w:t>Food Business News, "Where Food Comes From acquires Upcycled Foods", 27 Dec 2023.</w:t>
      </w:r>
    </w:p>
    <w:p>
      <w:r>
        <w:rPr>
          <w:b/>
        </w:rPr>
        <w:t xml:space="preserve">Source 26: </w:t>
      </w:r>
      <w:r>
        <w:t>Where Food Comes From, announcement about acquiring Upcycled Foods/Upcycled Certified program (2023).</w:t>
      </w:r>
    </w:p>
    <w:p>
      <w:r>
        <w:rPr>
          <w:b/>
        </w:rPr>
        <w:t xml:space="preserve">Source 27: </w:t>
      </w:r>
      <w:r>
        <w:t>Specialty Food Association, news about Upcycled Certified acquisition (2023).</w:t>
      </w:r>
    </w:p>
    <w:p>
      <w:r>
        <w:rPr>
          <w:b/>
        </w:rPr>
        <w:t xml:space="preserve">Source 28: </w:t>
      </w:r>
      <w:r>
        <w:t>Reuters, "ADM, InnovaFeed partner to meet demand for insect protein for pet food", 10 Nov 2022.</w:t>
      </w:r>
    </w:p>
    <w:p>
      <w:r>
        <w:rPr>
          <w:b/>
        </w:rPr>
        <w:t xml:space="preserve">Source 29: </w:t>
      </w:r>
      <w:r>
        <w:t>FEDIAF / European Pet Food Industry Federation, PEFCR pet food information page. https://europeanpetfood.org/sustainability/pefcr/</w:t>
      </w:r>
    </w:p>
    <w:p>
      <w:r>
        <w:rPr>
          <w:b/>
        </w:rPr>
        <w:t xml:space="preserve">Source 30: </w:t>
      </w:r>
      <w:r>
        <w:t>Commission Implementing Regulation (EU) 2022/565 (authorisation of 3-nitrooxypropanol as a feed additive). https://eur-lex.europa.eu/eli/reg_impl/2022/565/oj/eng</w:t>
      </w:r>
    </w:p>
    <w:p>
      <w:r>
        <w:rPr>
          <w:b/>
        </w:rPr>
        <w:t xml:space="preserve">Source 31: </w:t>
      </w:r>
      <w:r>
        <w:t>Reuters Fact Check, "Feed additive Bovaer is approved in EU, contrary to online claims", 13 Dec 2024.</w:t>
      </w:r>
    </w:p>
    <w:p>
      <w:r>
        <w:rPr>
          <w:b/>
        </w:rPr>
        <w:t xml:space="preserve">Source 32: </w:t>
      </w:r>
      <w:r>
        <w:t>dsm-firmenich press release, "receives landmark EU market approval for Bovaer", 24 Feb 2022.</w:t>
      </w:r>
    </w:p>
    <w:p>
      <w:r>
        <w:rPr>
          <w:b/>
        </w:rPr>
        <w:t xml:space="preserve">Source 33: </w:t>
      </w:r>
      <w:r>
        <w:t>ESG Dive, coverage of carbon neutral product claim scrutiny in Europe (Sep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