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CF58C" w14:textId="77777777" w:rsidR="0024310F" w:rsidRPr="0024310F" w:rsidRDefault="0024310F" w:rsidP="0024310F">
      <w:pPr>
        <w:spacing w:before="100" w:beforeAutospacing="1" w:after="100" w:afterAutospacing="1"/>
        <w:outlineLvl w:val="0"/>
        <w:rPr>
          <w:rFonts w:ascii="Times New Roman" w:eastAsia="Times New Roman" w:hAnsi="Times New Roman" w:cs="Times New Roman"/>
          <w:b/>
          <w:bCs/>
          <w:kern w:val="36"/>
          <w:sz w:val="48"/>
          <w:szCs w:val="48"/>
          <w:lang w:eastAsia="en-GB"/>
        </w:rPr>
      </w:pPr>
      <w:r w:rsidRPr="0024310F">
        <w:rPr>
          <w:rFonts w:ascii="Times New Roman" w:eastAsia="Times New Roman" w:hAnsi="Times New Roman" w:cs="Times New Roman"/>
          <w:b/>
          <w:bCs/>
          <w:kern w:val="36"/>
          <w:sz w:val="48"/>
          <w:szCs w:val="48"/>
          <w:lang w:eastAsia="en-GB"/>
        </w:rPr>
        <w:t>Animal Nutraceuticals Regulatory Playbook (2026 update)</w:t>
      </w:r>
    </w:p>
    <w:p w14:paraId="0094C345" w14:textId="77777777" w:rsidR="0024310F" w:rsidRPr="0024310F" w:rsidRDefault="0024310F" w:rsidP="0024310F">
      <w:pPr>
        <w:spacing w:before="100" w:beforeAutospacing="1" w:after="100" w:afterAutospacing="1"/>
        <w:outlineLvl w:val="1"/>
        <w:rPr>
          <w:rFonts w:ascii="Times New Roman" w:eastAsia="Times New Roman" w:hAnsi="Times New Roman" w:cs="Times New Roman"/>
          <w:b/>
          <w:bCs/>
          <w:sz w:val="36"/>
          <w:szCs w:val="36"/>
          <w:lang w:eastAsia="en-GB"/>
        </w:rPr>
      </w:pPr>
      <w:r w:rsidRPr="0024310F">
        <w:rPr>
          <w:rFonts w:ascii="Times New Roman" w:eastAsia="Times New Roman" w:hAnsi="Times New Roman" w:cs="Times New Roman"/>
          <w:b/>
          <w:bCs/>
          <w:sz w:val="36"/>
          <w:szCs w:val="36"/>
          <w:lang w:eastAsia="en-GB"/>
        </w:rPr>
        <w:t>Pharmaceuticalization, zootechnical pathways, and how to build a defensible regulatory moat (2025 to 2030 outlook)</w:t>
      </w:r>
    </w:p>
    <w:p w14:paraId="6613E583" w14:textId="77777777" w:rsidR="0024310F" w:rsidRPr="0024310F" w:rsidRDefault="0024310F" w:rsidP="0024310F">
      <w:pPr>
        <w:spacing w:before="100" w:beforeAutospacing="1" w:after="100" w:afterAutospacing="1"/>
        <w:outlineLvl w:val="2"/>
        <w:rPr>
          <w:rFonts w:ascii="Times New Roman" w:eastAsia="Times New Roman" w:hAnsi="Times New Roman" w:cs="Times New Roman"/>
          <w:b/>
          <w:bCs/>
          <w:sz w:val="27"/>
          <w:szCs w:val="27"/>
          <w:lang w:eastAsia="en-GB"/>
        </w:rPr>
      </w:pPr>
      <w:r w:rsidRPr="0024310F">
        <w:rPr>
          <w:rFonts w:ascii="Times New Roman" w:eastAsia="Times New Roman" w:hAnsi="Times New Roman" w:cs="Times New Roman"/>
          <w:b/>
          <w:bCs/>
          <w:sz w:val="27"/>
          <w:szCs w:val="27"/>
          <w:lang w:eastAsia="en-GB"/>
        </w:rPr>
        <w:t>Important note</w:t>
      </w:r>
    </w:p>
    <w:p w14:paraId="2458BC51" w14:textId="77777777" w:rsidR="0024310F" w:rsidRPr="0024310F" w:rsidRDefault="0024310F" w:rsidP="0024310F">
      <w:p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This document is business and regulatory strategy guidance, not legal advice. Always validate final positions and claims with specialized regulatory counsel for each target jurisdiction and species.</w:t>
      </w:r>
    </w:p>
    <w:p w14:paraId="7B3D39AD" w14:textId="77777777" w:rsidR="0024310F" w:rsidRPr="0024310F" w:rsidRDefault="00D737E8" w:rsidP="0024310F">
      <w:pPr>
        <w:rPr>
          <w:rFonts w:ascii="Times New Roman" w:eastAsia="Times New Roman" w:hAnsi="Times New Roman" w:cs="Times New Roman"/>
          <w:lang w:eastAsia="en-GB"/>
        </w:rPr>
      </w:pPr>
      <w:r>
        <w:rPr>
          <w:rFonts w:ascii="Times New Roman" w:eastAsia="Times New Roman" w:hAnsi="Times New Roman" w:cs="Times New Roman"/>
          <w:noProof/>
          <w:lang w:eastAsia="en-GB"/>
        </w:rPr>
        <w:pict w14:anchorId="09A3DD47">
          <v:rect id="_x0000_i1046" alt="" style="width:451.3pt;height:.05pt;mso-width-percent:0;mso-height-percent:0;mso-width-percent:0;mso-height-percent:0" o:hralign="center" o:hrstd="t" o:hr="t" fillcolor="#a0a0a0" stroked="f"/>
        </w:pict>
      </w:r>
    </w:p>
    <w:p w14:paraId="76DAA246" w14:textId="77777777" w:rsidR="0024310F" w:rsidRPr="0024310F" w:rsidRDefault="0024310F" w:rsidP="0024310F">
      <w:pPr>
        <w:spacing w:before="100" w:beforeAutospacing="1" w:after="100" w:afterAutospacing="1"/>
        <w:outlineLvl w:val="1"/>
        <w:rPr>
          <w:rFonts w:ascii="Times New Roman" w:eastAsia="Times New Roman" w:hAnsi="Times New Roman" w:cs="Times New Roman"/>
          <w:b/>
          <w:bCs/>
          <w:sz w:val="36"/>
          <w:szCs w:val="36"/>
          <w:lang w:eastAsia="en-GB"/>
        </w:rPr>
      </w:pPr>
      <w:r w:rsidRPr="0024310F">
        <w:rPr>
          <w:rFonts w:ascii="Times New Roman" w:eastAsia="Times New Roman" w:hAnsi="Times New Roman" w:cs="Times New Roman"/>
          <w:b/>
          <w:bCs/>
          <w:sz w:val="36"/>
          <w:szCs w:val="36"/>
          <w:lang w:eastAsia="en-GB"/>
        </w:rPr>
        <w:t>Table of contents</w:t>
      </w:r>
    </w:p>
    <w:p w14:paraId="3C903E02" w14:textId="77777777" w:rsidR="0024310F" w:rsidRPr="0024310F" w:rsidRDefault="0024310F" w:rsidP="0024310F">
      <w:pPr>
        <w:numPr>
          <w:ilvl w:val="0"/>
          <w:numId w:val="1"/>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Executive summary</w:t>
      </w:r>
    </w:p>
    <w:p w14:paraId="04A79FD5" w14:textId="77777777" w:rsidR="0024310F" w:rsidRPr="0024310F" w:rsidRDefault="0024310F" w:rsidP="0024310F">
      <w:pPr>
        <w:numPr>
          <w:ilvl w:val="0"/>
          <w:numId w:val="1"/>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What “pharmaceuticalization” means in animal nutrition and why it is accelerating</w:t>
      </w:r>
    </w:p>
    <w:p w14:paraId="2DAB5E56" w14:textId="77777777" w:rsidR="0024310F" w:rsidRPr="0024310F" w:rsidRDefault="0024310F" w:rsidP="0024310F">
      <w:pPr>
        <w:numPr>
          <w:ilvl w:val="0"/>
          <w:numId w:val="1"/>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Definitions: nutraceutical vs animal food vs feed additive vs veterinary drug vs biologic</w:t>
      </w:r>
    </w:p>
    <w:p w14:paraId="224EC650" w14:textId="77777777" w:rsidR="0024310F" w:rsidRPr="0024310F" w:rsidRDefault="0024310F" w:rsidP="0024310F">
      <w:pPr>
        <w:numPr>
          <w:ilvl w:val="0"/>
          <w:numId w:val="1"/>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How regulators decide classification (the “intended use engine”)</w:t>
      </w:r>
    </w:p>
    <w:p w14:paraId="431A9FF6" w14:textId="77777777" w:rsidR="0024310F" w:rsidRPr="0024310F" w:rsidRDefault="0024310F" w:rsidP="0024310F">
      <w:pPr>
        <w:numPr>
          <w:ilvl w:val="0"/>
          <w:numId w:val="1"/>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United States: today’s reality plus what is changing (2024 to 2026)</w:t>
      </w:r>
    </w:p>
    <w:p w14:paraId="6F778358" w14:textId="77777777" w:rsidR="0024310F" w:rsidRPr="0024310F" w:rsidRDefault="0024310F" w:rsidP="0024310F">
      <w:pPr>
        <w:numPr>
          <w:ilvl w:val="0"/>
          <w:numId w:val="1"/>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European Union: feed additive authorizations and zootechnical claims</w:t>
      </w:r>
    </w:p>
    <w:p w14:paraId="56F6C526" w14:textId="77777777" w:rsidR="0024310F" w:rsidRPr="0024310F" w:rsidRDefault="0024310F" w:rsidP="0024310F">
      <w:pPr>
        <w:numPr>
          <w:ilvl w:val="0"/>
          <w:numId w:val="1"/>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UK, Canada, and other major markets: practical notes</w:t>
      </w:r>
    </w:p>
    <w:p w14:paraId="53F61826" w14:textId="77777777" w:rsidR="0024310F" w:rsidRPr="0024310F" w:rsidRDefault="0024310F" w:rsidP="0024310F">
      <w:pPr>
        <w:numPr>
          <w:ilvl w:val="0"/>
          <w:numId w:val="1"/>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Case study 1: Multimin 90 (trace minerals) moving from supplement positioning to FDA-approved Rx drug</w:t>
      </w:r>
    </w:p>
    <w:p w14:paraId="23093F60" w14:textId="77777777" w:rsidR="0024310F" w:rsidRPr="0024310F" w:rsidRDefault="0024310F" w:rsidP="0024310F">
      <w:pPr>
        <w:numPr>
          <w:ilvl w:val="0"/>
          <w:numId w:val="1"/>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Case study 2: environmental claims as the catalyst (Experior and Bovaer)</w:t>
      </w:r>
    </w:p>
    <w:p w14:paraId="34D109FC" w14:textId="77777777" w:rsidR="0024310F" w:rsidRPr="0024310F" w:rsidRDefault="0024310F" w:rsidP="0024310F">
      <w:pPr>
        <w:numPr>
          <w:ilvl w:val="0"/>
          <w:numId w:val="1"/>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Case study 3: bacteriophages as authorized zootechnical additives (EU Bafasal)</w:t>
      </w:r>
    </w:p>
    <w:p w14:paraId="5278E6A8" w14:textId="77777777" w:rsidR="0024310F" w:rsidRPr="0024310F" w:rsidRDefault="0024310F" w:rsidP="0024310F">
      <w:pPr>
        <w:numPr>
          <w:ilvl w:val="0"/>
          <w:numId w:val="1"/>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Claim-to-pathway decision matrix (with red flags and safer alternatives)</w:t>
      </w:r>
    </w:p>
    <w:p w14:paraId="03359A45" w14:textId="77777777" w:rsidR="0024310F" w:rsidRPr="0024310F" w:rsidRDefault="0024310F" w:rsidP="0024310F">
      <w:pPr>
        <w:numPr>
          <w:ilvl w:val="0"/>
          <w:numId w:val="1"/>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Evidence and dossier strategy by pathway</w:t>
      </w:r>
    </w:p>
    <w:p w14:paraId="3A6BF75F" w14:textId="77777777" w:rsidR="0024310F" w:rsidRPr="0024310F" w:rsidRDefault="0024310F" w:rsidP="0024310F">
      <w:pPr>
        <w:numPr>
          <w:ilvl w:val="0"/>
          <w:numId w:val="1"/>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Manufacturing, quality, and supply chain requirements (what investors will probe)</w:t>
      </w:r>
    </w:p>
    <w:p w14:paraId="5AFDDB18" w14:textId="77777777" w:rsidR="0024310F" w:rsidRPr="0024310F" w:rsidRDefault="0024310F" w:rsidP="0024310F">
      <w:pPr>
        <w:numPr>
          <w:ilvl w:val="0"/>
          <w:numId w:val="1"/>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Go-to-market and compliance operations (labeling, digital marketing, post-market)</w:t>
      </w:r>
    </w:p>
    <w:p w14:paraId="57CB018F" w14:textId="77777777" w:rsidR="0024310F" w:rsidRPr="0024310F" w:rsidRDefault="0024310F" w:rsidP="0024310F">
      <w:pPr>
        <w:numPr>
          <w:ilvl w:val="0"/>
          <w:numId w:val="1"/>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Investment implications: diligence questions, deal structures, and “regulatory moat” valuation logic</w:t>
      </w:r>
    </w:p>
    <w:p w14:paraId="22079CA0" w14:textId="77777777" w:rsidR="0024310F" w:rsidRPr="0024310F" w:rsidRDefault="0024310F" w:rsidP="0024310F">
      <w:pPr>
        <w:numPr>
          <w:ilvl w:val="0"/>
          <w:numId w:val="1"/>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2025 to 2030 outlook: scenarios, triggers, and how to stay ahead</w:t>
      </w:r>
      <w:r w:rsidRPr="0024310F">
        <w:rPr>
          <w:rFonts w:ascii="Times New Roman" w:eastAsia="Times New Roman" w:hAnsi="Times New Roman" w:cs="Times New Roman"/>
          <w:lang w:eastAsia="en-GB"/>
        </w:rPr>
        <w:br/>
        <w:t>Appendix A: Regulatory strategy one-pager template</w:t>
      </w:r>
      <w:r w:rsidRPr="0024310F">
        <w:rPr>
          <w:rFonts w:ascii="Times New Roman" w:eastAsia="Times New Roman" w:hAnsi="Times New Roman" w:cs="Times New Roman"/>
          <w:lang w:eastAsia="en-GB"/>
        </w:rPr>
        <w:br/>
        <w:t>Appendix B: Claim review checklist (website, label, sales scripts)</w:t>
      </w:r>
      <w:r w:rsidRPr="0024310F">
        <w:rPr>
          <w:rFonts w:ascii="Times New Roman" w:eastAsia="Times New Roman" w:hAnsi="Times New Roman" w:cs="Times New Roman"/>
          <w:lang w:eastAsia="en-GB"/>
        </w:rPr>
        <w:br/>
        <w:t>Appendix C: Dossier checklists (US food additive/GRAS, US NADA, EU feed additive)</w:t>
      </w:r>
      <w:r w:rsidRPr="0024310F">
        <w:rPr>
          <w:rFonts w:ascii="Times New Roman" w:eastAsia="Times New Roman" w:hAnsi="Times New Roman" w:cs="Times New Roman"/>
          <w:lang w:eastAsia="en-GB"/>
        </w:rPr>
        <w:br/>
        <w:t>Appendix D: Due diligence questionnaire for investors/acquirers</w:t>
      </w:r>
      <w:r w:rsidRPr="0024310F">
        <w:rPr>
          <w:rFonts w:ascii="Times New Roman" w:eastAsia="Times New Roman" w:hAnsi="Times New Roman" w:cs="Times New Roman"/>
          <w:lang w:eastAsia="en-GB"/>
        </w:rPr>
        <w:br/>
        <w:t>Appendix E: Glossary</w:t>
      </w:r>
    </w:p>
    <w:p w14:paraId="19105927" w14:textId="77777777" w:rsidR="0024310F" w:rsidRPr="0024310F" w:rsidRDefault="00D737E8" w:rsidP="0024310F">
      <w:pPr>
        <w:rPr>
          <w:rFonts w:ascii="Times New Roman" w:eastAsia="Times New Roman" w:hAnsi="Times New Roman" w:cs="Times New Roman"/>
          <w:lang w:eastAsia="en-GB"/>
        </w:rPr>
      </w:pPr>
      <w:r>
        <w:rPr>
          <w:rFonts w:ascii="Times New Roman" w:eastAsia="Times New Roman" w:hAnsi="Times New Roman" w:cs="Times New Roman"/>
          <w:noProof/>
          <w:lang w:eastAsia="en-GB"/>
        </w:rPr>
        <w:pict w14:anchorId="41032227">
          <v:rect id="_x0000_i1045" alt="" style="width:451.3pt;height:.05pt;mso-width-percent:0;mso-height-percent:0;mso-width-percent:0;mso-height-percent:0" o:hralign="center" o:hrstd="t" o:hr="t" fillcolor="#a0a0a0" stroked="f"/>
        </w:pict>
      </w:r>
    </w:p>
    <w:p w14:paraId="2338FB65" w14:textId="77777777" w:rsidR="0024310F" w:rsidRPr="0024310F" w:rsidRDefault="0024310F" w:rsidP="0024310F">
      <w:pPr>
        <w:spacing w:before="100" w:beforeAutospacing="1" w:after="100" w:afterAutospacing="1"/>
        <w:outlineLvl w:val="1"/>
        <w:rPr>
          <w:rFonts w:ascii="Times New Roman" w:eastAsia="Times New Roman" w:hAnsi="Times New Roman" w:cs="Times New Roman"/>
          <w:b/>
          <w:bCs/>
          <w:sz w:val="36"/>
          <w:szCs w:val="36"/>
          <w:lang w:eastAsia="en-GB"/>
        </w:rPr>
      </w:pPr>
      <w:r w:rsidRPr="0024310F">
        <w:rPr>
          <w:rFonts w:ascii="Times New Roman" w:eastAsia="Times New Roman" w:hAnsi="Times New Roman" w:cs="Times New Roman"/>
          <w:b/>
          <w:bCs/>
          <w:sz w:val="36"/>
          <w:szCs w:val="36"/>
          <w:lang w:eastAsia="en-GB"/>
        </w:rPr>
        <w:t>1. Executive summary</w:t>
      </w:r>
    </w:p>
    <w:p w14:paraId="5C111D71" w14:textId="77777777" w:rsidR="0024310F" w:rsidRPr="0024310F" w:rsidRDefault="0024310F" w:rsidP="0024310F">
      <w:pPr>
        <w:spacing w:before="100" w:beforeAutospacing="1" w:after="100" w:afterAutospacing="1"/>
        <w:outlineLvl w:val="2"/>
        <w:rPr>
          <w:rFonts w:ascii="Times New Roman" w:eastAsia="Times New Roman" w:hAnsi="Times New Roman" w:cs="Times New Roman"/>
          <w:b/>
          <w:bCs/>
          <w:sz w:val="27"/>
          <w:szCs w:val="27"/>
          <w:lang w:eastAsia="en-GB"/>
        </w:rPr>
      </w:pPr>
      <w:r w:rsidRPr="0024310F">
        <w:rPr>
          <w:rFonts w:ascii="Times New Roman" w:eastAsia="Times New Roman" w:hAnsi="Times New Roman" w:cs="Times New Roman"/>
          <w:b/>
          <w:bCs/>
          <w:sz w:val="27"/>
          <w:szCs w:val="27"/>
          <w:lang w:eastAsia="en-GB"/>
        </w:rPr>
        <w:lastRenderedPageBreak/>
        <w:t>The core shift</w:t>
      </w:r>
    </w:p>
    <w:p w14:paraId="17A36A65" w14:textId="77777777" w:rsidR="0024310F" w:rsidRPr="0024310F" w:rsidRDefault="0024310F" w:rsidP="0024310F">
      <w:p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Animal nutraceuticals and functional feed products are moving from “marketing-claims-first” to “authorization-first.” This is driven by:</w:t>
      </w:r>
    </w:p>
    <w:p w14:paraId="73355F35" w14:textId="77777777" w:rsidR="0024310F" w:rsidRPr="0024310F" w:rsidRDefault="0024310F" w:rsidP="0024310F">
      <w:pPr>
        <w:numPr>
          <w:ilvl w:val="0"/>
          <w:numId w:val="2"/>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tighter enforcement against drug claims (especially online marketing and testimonials),</w:t>
      </w:r>
    </w:p>
    <w:p w14:paraId="61926F22" w14:textId="77777777" w:rsidR="0024310F" w:rsidRPr="0024310F" w:rsidRDefault="0024310F" w:rsidP="0024310F">
      <w:pPr>
        <w:numPr>
          <w:ilvl w:val="0"/>
          <w:numId w:val="2"/>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growing demand for measurable outcomes (food safety, performance, environment),</w:t>
      </w:r>
    </w:p>
    <w:p w14:paraId="49BE675C" w14:textId="77777777" w:rsidR="0024310F" w:rsidRPr="0024310F" w:rsidRDefault="0024310F" w:rsidP="0024310F">
      <w:pPr>
        <w:numPr>
          <w:ilvl w:val="0"/>
          <w:numId w:val="2"/>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and the rise of novel modalities (microbiome, phage, enzymes, methane inhibitors) that do not fit legacy “nutrition only” buckets.</w:t>
      </w:r>
    </w:p>
    <w:p w14:paraId="288FFF80" w14:textId="77777777" w:rsidR="0024310F" w:rsidRPr="0024310F" w:rsidRDefault="0024310F" w:rsidP="0024310F">
      <w:p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A clear signal is the FDA approval pathway being used by products historically positioned as “supplements,” plus the expansion of feed additive approvals for explicit environmental outcomes (methane, ammonia).</w:t>
      </w:r>
    </w:p>
    <w:p w14:paraId="3749AB7D" w14:textId="77777777" w:rsidR="0024310F" w:rsidRPr="0024310F" w:rsidRDefault="0024310F" w:rsidP="0024310F">
      <w:pPr>
        <w:spacing w:before="100" w:beforeAutospacing="1" w:after="100" w:afterAutospacing="1"/>
        <w:outlineLvl w:val="2"/>
        <w:rPr>
          <w:rFonts w:ascii="Times New Roman" w:eastAsia="Times New Roman" w:hAnsi="Times New Roman" w:cs="Times New Roman"/>
          <w:b/>
          <w:bCs/>
          <w:sz w:val="27"/>
          <w:szCs w:val="27"/>
          <w:lang w:eastAsia="en-GB"/>
        </w:rPr>
      </w:pPr>
      <w:r w:rsidRPr="0024310F">
        <w:rPr>
          <w:rFonts w:ascii="Times New Roman" w:eastAsia="Times New Roman" w:hAnsi="Times New Roman" w:cs="Times New Roman"/>
          <w:b/>
          <w:bCs/>
          <w:sz w:val="27"/>
          <w:szCs w:val="27"/>
          <w:lang w:eastAsia="en-GB"/>
        </w:rPr>
        <w:t>The practical implication</w:t>
      </w:r>
    </w:p>
    <w:p w14:paraId="2044BA05" w14:textId="77777777" w:rsidR="0024310F" w:rsidRPr="0024310F" w:rsidRDefault="0024310F" w:rsidP="0024310F">
      <w:p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If you are building, investing in, or acquiring an animal nutraceutical company, you need to decide early:</w:t>
      </w:r>
    </w:p>
    <w:p w14:paraId="07A122F8" w14:textId="77777777" w:rsidR="0024310F" w:rsidRPr="0024310F" w:rsidRDefault="0024310F" w:rsidP="0024310F">
      <w:pPr>
        <w:numPr>
          <w:ilvl w:val="0"/>
          <w:numId w:val="3"/>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Are we a commodity ingredient with limited claims and limited pricing power?</w:t>
      </w:r>
    </w:p>
    <w:p w14:paraId="4BC72CB4" w14:textId="77777777" w:rsidR="0024310F" w:rsidRPr="0024310F" w:rsidRDefault="0024310F" w:rsidP="0024310F">
      <w:pPr>
        <w:numPr>
          <w:ilvl w:val="0"/>
          <w:numId w:val="3"/>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Or are we building a regulated, claim-backed product with defensible differentiation (data, authorization, exclusivity, distribution restrictions, and quality systems)?</w:t>
      </w:r>
    </w:p>
    <w:p w14:paraId="330AE077" w14:textId="77777777" w:rsidR="0024310F" w:rsidRPr="0024310F" w:rsidRDefault="0024310F" w:rsidP="0024310F">
      <w:p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Trying to sit in the middle often creates the worst risk profile: drug-claim exposure without the protection of approval.</w:t>
      </w:r>
    </w:p>
    <w:p w14:paraId="4351FE5C" w14:textId="77777777" w:rsidR="0024310F" w:rsidRPr="0024310F" w:rsidRDefault="0024310F" w:rsidP="0024310F">
      <w:pPr>
        <w:spacing w:before="100" w:beforeAutospacing="1" w:after="100" w:afterAutospacing="1"/>
        <w:outlineLvl w:val="2"/>
        <w:rPr>
          <w:rFonts w:ascii="Times New Roman" w:eastAsia="Times New Roman" w:hAnsi="Times New Roman" w:cs="Times New Roman"/>
          <w:b/>
          <w:bCs/>
          <w:sz w:val="27"/>
          <w:szCs w:val="27"/>
          <w:lang w:eastAsia="en-GB"/>
        </w:rPr>
      </w:pPr>
      <w:r w:rsidRPr="0024310F">
        <w:rPr>
          <w:rFonts w:ascii="Times New Roman" w:eastAsia="Times New Roman" w:hAnsi="Times New Roman" w:cs="Times New Roman"/>
          <w:b/>
          <w:bCs/>
          <w:sz w:val="27"/>
          <w:szCs w:val="27"/>
          <w:lang w:eastAsia="en-GB"/>
        </w:rPr>
        <w:t>The “missing middle” is evolving in the US</w:t>
      </w:r>
    </w:p>
    <w:p w14:paraId="3B97F40D" w14:textId="77777777" w:rsidR="0024310F" w:rsidRPr="0024310F" w:rsidRDefault="0024310F" w:rsidP="0024310F">
      <w:p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Historically, FDA CVM treated many structure/function or production claims in animal food as drug claims. In May 2024, FDA withdrew the old internal policy manual (PPM 1240.3605) and has been signaling new guidance and a possible new pathway for “zootechnical substances.”</w:t>
      </w:r>
    </w:p>
    <w:p w14:paraId="4F7A6E63" w14:textId="77777777" w:rsidR="0024310F" w:rsidRPr="0024310F" w:rsidRDefault="0024310F" w:rsidP="0024310F">
      <w:p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Congress has repeatedly introduced the Innovative FEED Act concept to create “zootechnical animal food substances” as a food additive category. As of January 2026:</w:t>
      </w:r>
    </w:p>
    <w:p w14:paraId="26E9B9BD" w14:textId="77777777" w:rsidR="0024310F" w:rsidRPr="0024310F" w:rsidRDefault="0024310F" w:rsidP="0024310F">
      <w:pPr>
        <w:numPr>
          <w:ilvl w:val="0"/>
          <w:numId w:val="4"/>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H.R. 2203 (introduced March 18, 2025) is still in “Introduced” status.</w:t>
      </w:r>
    </w:p>
    <w:p w14:paraId="6F873F1B" w14:textId="77777777" w:rsidR="0024310F" w:rsidRPr="0024310F" w:rsidRDefault="0024310F" w:rsidP="0024310F">
      <w:pPr>
        <w:numPr>
          <w:ilvl w:val="0"/>
          <w:numId w:val="4"/>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S. 1906 (introduced May 22, 2025) is still in “Introduced” status.</w:t>
      </w:r>
    </w:p>
    <w:p w14:paraId="328CD889" w14:textId="77777777" w:rsidR="0024310F" w:rsidRPr="0024310F" w:rsidRDefault="0024310F" w:rsidP="0024310F">
      <w:pPr>
        <w:spacing w:before="100" w:beforeAutospacing="1" w:after="100" w:afterAutospacing="1"/>
        <w:outlineLvl w:val="2"/>
        <w:rPr>
          <w:rFonts w:ascii="Times New Roman" w:eastAsia="Times New Roman" w:hAnsi="Times New Roman" w:cs="Times New Roman"/>
          <w:b/>
          <w:bCs/>
          <w:sz w:val="27"/>
          <w:szCs w:val="27"/>
          <w:lang w:eastAsia="en-GB"/>
        </w:rPr>
      </w:pPr>
      <w:r w:rsidRPr="0024310F">
        <w:rPr>
          <w:rFonts w:ascii="Times New Roman" w:eastAsia="Times New Roman" w:hAnsi="Times New Roman" w:cs="Times New Roman"/>
          <w:b/>
          <w:bCs/>
          <w:sz w:val="27"/>
          <w:szCs w:val="27"/>
          <w:lang w:eastAsia="en-GB"/>
        </w:rPr>
        <w:t>Why the Multimin 90 precedent matters (and what it does not mean)</w:t>
      </w:r>
    </w:p>
    <w:p w14:paraId="605BBEA2" w14:textId="77777777" w:rsidR="0024310F" w:rsidRPr="0024310F" w:rsidRDefault="0024310F" w:rsidP="0024310F">
      <w:p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Multimin 90 is FDA-approved as a new animal drug with a defined indication: “to provide a supplemental source of zinc, copper, manganese, and selenium in cattle,” plus significant labeling restrictions (pregnancy first trimester restriction, age restrictions) and a withdrawal period.</w:t>
      </w:r>
    </w:p>
    <w:p w14:paraId="3AAD35E7" w14:textId="77777777" w:rsidR="0024310F" w:rsidRPr="0024310F" w:rsidRDefault="0024310F" w:rsidP="0024310F">
      <w:p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 xml:space="preserve">This is powerful commercially (regulated status, labeling clarity, quality expectations, potential exclusivity and patent positioning), but it does not automatically permit broad </w:t>
      </w:r>
      <w:r w:rsidRPr="0024310F">
        <w:rPr>
          <w:rFonts w:ascii="Times New Roman" w:eastAsia="Times New Roman" w:hAnsi="Times New Roman" w:cs="Times New Roman"/>
          <w:lang w:eastAsia="en-GB"/>
        </w:rPr>
        <w:lastRenderedPageBreak/>
        <w:t>“immune optimization” or “reproductive efficiency” promotional claims unless they are supported and included within approved labeling or are otherwise compliant communications. The moat is the approval and its legal boundaries, not marketing creativity.</w:t>
      </w:r>
    </w:p>
    <w:p w14:paraId="21F9ABB9" w14:textId="77777777" w:rsidR="0024310F" w:rsidRPr="0024310F" w:rsidRDefault="00D737E8" w:rsidP="0024310F">
      <w:pPr>
        <w:rPr>
          <w:rFonts w:ascii="Times New Roman" w:eastAsia="Times New Roman" w:hAnsi="Times New Roman" w:cs="Times New Roman"/>
          <w:lang w:eastAsia="en-GB"/>
        </w:rPr>
      </w:pPr>
      <w:r>
        <w:rPr>
          <w:rFonts w:ascii="Times New Roman" w:eastAsia="Times New Roman" w:hAnsi="Times New Roman" w:cs="Times New Roman"/>
          <w:noProof/>
          <w:lang w:eastAsia="en-GB"/>
        </w:rPr>
        <w:pict w14:anchorId="4F6033BF">
          <v:rect id="_x0000_i1044" alt="" style="width:451.3pt;height:.05pt;mso-width-percent:0;mso-height-percent:0;mso-width-percent:0;mso-height-percent:0" o:hralign="center" o:hrstd="t" o:hr="t" fillcolor="#a0a0a0" stroked="f"/>
        </w:pict>
      </w:r>
    </w:p>
    <w:p w14:paraId="023D92A8" w14:textId="77777777" w:rsidR="0024310F" w:rsidRPr="0024310F" w:rsidRDefault="0024310F" w:rsidP="0024310F">
      <w:pPr>
        <w:spacing w:before="100" w:beforeAutospacing="1" w:after="100" w:afterAutospacing="1"/>
        <w:outlineLvl w:val="1"/>
        <w:rPr>
          <w:rFonts w:ascii="Times New Roman" w:eastAsia="Times New Roman" w:hAnsi="Times New Roman" w:cs="Times New Roman"/>
          <w:b/>
          <w:bCs/>
          <w:sz w:val="36"/>
          <w:szCs w:val="36"/>
          <w:lang w:eastAsia="en-GB"/>
        </w:rPr>
      </w:pPr>
      <w:r w:rsidRPr="0024310F">
        <w:rPr>
          <w:rFonts w:ascii="Times New Roman" w:eastAsia="Times New Roman" w:hAnsi="Times New Roman" w:cs="Times New Roman"/>
          <w:b/>
          <w:bCs/>
          <w:sz w:val="36"/>
          <w:szCs w:val="36"/>
          <w:lang w:eastAsia="en-GB"/>
        </w:rPr>
        <w:t>2. What “pharmaceuticalization” means in animal nutrition and why it is accelerating</w:t>
      </w:r>
    </w:p>
    <w:p w14:paraId="0F2FDE39" w14:textId="77777777" w:rsidR="0024310F" w:rsidRPr="0024310F" w:rsidRDefault="0024310F" w:rsidP="0024310F">
      <w:pPr>
        <w:spacing w:before="100" w:beforeAutospacing="1" w:after="100" w:afterAutospacing="1"/>
        <w:outlineLvl w:val="2"/>
        <w:rPr>
          <w:rFonts w:ascii="Times New Roman" w:eastAsia="Times New Roman" w:hAnsi="Times New Roman" w:cs="Times New Roman"/>
          <w:b/>
          <w:bCs/>
          <w:sz w:val="27"/>
          <w:szCs w:val="27"/>
          <w:lang w:eastAsia="en-GB"/>
        </w:rPr>
      </w:pPr>
      <w:r w:rsidRPr="0024310F">
        <w:rPr>
          <w:rFonts w:ascii="Times New Roman" w:eastAsia="Times New Roman" w:hAnsi="Times New Roman" w:cs="Times New Roman"/>
          <w:b/>
          <w:bCs/>
          <w:sz w:val="27"/>
          <w:szCs w:val="27"/>
          <w:lang w:eastAsia="en-GB"/>
        </w:rPr>
        <w:t>Working definition</w:t>
      </w:r>
    </w:p>
    <w:p w14:paraId="3A6CE41C" w14:textId="77777777" w:rsidR="0024310F" w:rsidRPr="0024310F" w:rsidRDefault="0024310F" w:rsidP="0024310F">
      <w:p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“Pharmaceuticalization” in animal nutraceuticals is the shift from:</w:t>
      </w:r>
    </w:p>
    <w:p w14:paraId="7E77E7E0" w14:textId="77777777" w:rsidR="0024310F" w:rsidRPr="0024310F" w:rsidRDefault="0024310F" w:rsidP="0024310F">
      <w:pPr>
        <w:numPr>
          <w:ilvl w:val="0"/>
          <w:numId w:val="5"/>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broad, loosely substantiated wellness claims and commodity-like selling</w:t>
      </w:r>
      <w:r w:rsidRPr="0024310F">
        <w:rPr>
          <w:rFonts w:ascii="Times New Roman" w:eastAsia="Times New Roman" w:hAnsi="Times New Roman" w:cs="Times New Roman"/>
          <w:lang w:eastAsia="en-GB"/>
        </w:rPr>
        <w:br/>
        <w:t>to</w:t>
      </w:r>
    </w:p>
    <w:p w14:paraId="5907772E" w14:textId="77777777" w:rsidR="0024310F" w:rsidRPr="0024310F" w:rsidRDefault="0024310F" w:rsidP="0024310F">
      <w:pPr>
        <w:numPr>
          <w:ilvl w:val="0"/>
          <w:numId w:val="5"/>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products that look and behave more like regulated animal health interventions: defined indication, validated outcomes, controlled dosing, quality-controlled manufacturing, and increasingly formal premarket authorization.</w:t>
      </w:r>
    </w:p>
    <w:p w14:paraId="0E7414D4" w14:textId="77777777" w:rsidR="0024310F" w:rsidRPr="0024310F" w:rsidRDefault="0024310F" w:rsidP="0024310F">
      <w:pPr>
        <w:spacing w:before="100" w:beforeAutospacing="1" w:after="100" w:afterAutospacing="1"/>
        <w:outlineLvl w:val="2"/>
        <w:rPr>
          <w:rFonts w:ascii="Times New Roman" w:eastAsia="Times New Roman" w:hAnsi="Times New Roman" w:cs="Times New Roman"/>
          <w:b/>
          <w:bCs/>
          <w:sz w:val="27"/>
          <w:szCs w:val="27"/>
          <w:lang w:eastAsia="en-GB"/>
        </w:rPr>
      </w:pPr>
      <w:r w:rsidRPr="0024310F">
        <w:rPr>
          <w:rFonts w:ascii="Times New Roman" w:eastAsia="Times New Roman" w:hAnsi="Times New Roman" w:cs="Times New Roman"/>
          <w:b/>
          <w:bCs/>
          <w:sz w:val="27"/>
          <w:szCs w:val="27"/>
          <w:lang w:eastAsia="en-GB"/>
        </w:rPr>
        <w:t>Why now</w:t>
      </w:r>
    </w:p>
    <w:p w14:paraId="164FB8D3" w14:textId="77777777" w:rsidR="0024310F" w:rsidRPr="0024310F" w:rsidRDefault="0024310F" w:rsidP="0024310F">
      <w:pPr>
        <w:numPr>
          <w:ilvl w:val="0"/>
          <w:numId w:val="6"/>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b/>
          <w:bCs/>
          <w:lang w:eastAsia="en-GB"/>
        </w:rPr>
        <w:t>Enforcement risk has moved to the front office</w:t>
      </w:r>
      <w:r w:rsidRPr="0024310F">
        <w:rPr>
          <w:rFonts w:ascii="Times New Roman" w:eastAsia="Times New Roman" w:hAnsi="Times New Roman" w:cs="Times New Roman"/>
          <w:lang w:eastAsia="en-GB"/>
        </w:rPr>
        <w:br/>
        <w:t>Online claims (your site, distributor pages, reseller listings, social posts, PDFs, testimonials, “protocol charts,” and even customer service scripts) create “intended use.” FDA enforcement letters show that “we are not FDA approved so we cannot make claims” does not immunize you if your marketing still communicates disease treatment or structure/function drug intent.</w:t>
      </w:r>
    </w:p>
    <w:p w14:paraId="0B7225C9" w14:textId="77777777" w:rsidR="0024310F" w:rsidRPr="0024310F" w:rsidRDefault="0024310F" w:rsidP="0024310F">
      <w:pPr>
        <w:numPr>
          <w:ilvl w:val="0"/>
          <w:numId w:val="6"/>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b/>
          <w:bCs/>
          <w:lang w:eastAsia="en-GB"/>
        </w:rPr>
        <w:t>Outcome-driven value creation</w:t>
      </w:r>
      <w:r w:rsidRPr="0024310F">
        <w:rPr>
          <w:rFonts w:ascii="Times New Roman" w:eastAsia="Times New Roman" w:hAnsi="Times New Roman" w:cs="Times New Roman"/>
          <w:lang w:eastAsia="en-GB"/>
        </w:rPr>
        <w:br/>
        <w:t>Environmental claims and food safety claims (methane reduction, ammonia reduction, pathogen reduction) are increasingly monetizable through procurement standards, carbon programs, and retailer pressure, but they require measurable endpoints that regulators can evaluate.</w:t>
      </w:r>
    </w:p>
    <w:p w14:paraId="35204D29" w14:textId="77777777" w:rsidR="0024310F" w:rsidRPr="0024310F" w:rsidRDefault="0024310F" w:rsidP="0024310F">
      <w:pPr>
        <w:numPr>
          <w:ilvl w:val="0"/>
          <w:numId w:val="6"/>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b/>
          <w:bCs/>
          <w:lang w:eastAsia="en-GB"/>
        </w:rPr>
        <w:t>Novel modalities do not map cleanly to “nutrition”</w:t>
      </w:r>
      <w:r w:rsidRPr="0024310F">
        <w:rPr>
          <w:rFonts w:ascii="Times New Roman" w:eastAsia="Times New Roman" w:hAnsi="Times New Roman" w:cs="Times New Roman"/>
          <w:lang w:eastAsia="en-GB"/>
        </w:rPr>
        <w:br/>
        <w:t>Microbiome modulators, bacteriophages, and methane inhibitors are functional by design. Jurisdictions that provide an explicit feed additive authorization channel (EU) are ahead, and the US is trying to define clearer routes.</w:t>
      </w:r>
    </w:p>
    <w:p w14:paraId="333D0020" w14:textId="77777777" w:rsidR="0024310F" w:rsidRPr="0024310F" w:rsidRDefault="00D737E8" w:rsidP="0024310F">
      <w:pPr>
        <w:rPr>
          <w:rFonts w:ascii="Times New Roman" w:eastAsia="Times New Roman" w:hAnsi="Times New Roman" w:cs="Times New Roman"/>
          <w:lang w:eastAsia="en-GB"/>
        </w:rPr>
      </w:pPr>
      <w:r>
        <w:rPr>
          <w:rFonts w:ascii="Times New Roman" w:eastAsia="Times New Roman" w:hAnsi="Times New Roman" w:cs="Times New Roman"/>
          <w:noProof/>
          <w:lang w:eastAsia="en-GB"/>
        </w:rPr>
        <w:pict w14:anchorId="2091CFF2">
          <v:rect id="_x0000_i1043" alt="" style="width:451.3pt;height:.05pt;mso-width-percent:0;mso-height-percent:0;mso-width-percent:0;mso-height-percent:0" o:hralign="center" o:hrstd="t" o:hr="t" fillcolor="#a0a0a0" stroked="f"/>
        </w:pict>
      </w:r>
    </w:p>
    <w:p w14:paraId="463AAA7C" w14:textId="77777777" w:rsidR="0024310F" w:rsidRPr="0024310F" w:rsidRDefault="0024310F" w:rsidP="0024310F">
      <w:pPr>
        <w:spacing w:before="100" w:beforeAutospacing="1" w:after="100" w:afterAutospacing="1"/>
        <w:outlineLvl w:val="1"/>
        <w:rPr>
          <w:rFonts w:ascii="Times New Roman" w:eastAsia="Times New Roman" w:hAnsi="Times New Roman" w:cs="Times New Roman"/>
          <w:b/>
          <w:bCs/>
          <w:sz w:val="36"/>
          <w:szCs w:val="36"/>
          <w:lang w:eastAsia="en-GB"/>
        </w:rPr>
      </w:pPr>
      <w:r w:rsidRPr="0024310F">
        <w:rPr>
          <w:rFonts w:ascii="Times New Roman" w:eastAsia="Times New Roman" w:hAnsi="Times New Roman" w:cs="Times New Roman"/>
          <w:b/>
          <w:bCs/>
          <w:sz w:val="36"/>
          <w:szCs w:val="36"/>
          <w:lang w:eastAsia="en-GB"/>
        </w:rPr>
        <w:t>3. Definitions: nutraceutical vs animal food vs feed additive vs veterinary drug vs biologic</w:t>
      </w:r>
    </w:p>
    <w:p w14:paraId="53AB2F3D" w14:textId="77777777" w:rsidR="0024310F" w:rsidRPr="0024310F" w:rsidRDefault="0024310F" w:rsidP="0024310F">
      <w:pPr>
        <w:spacing w:before="100" w:beforeAutospacing="1" w:after="100" w:afterAutospacing="1"/>
        <w:outlineLvl w:val="2"/>
        <w:rPr>
          <w:rFonts w:ascii="Times New Roman" w:eastAsia="Times New Roman" w:hAnsi="Times New Roman" w:cs="Times New Roman"/>
          <w:b/>
          <w:bCs/>
          <w:sz w:val="27"/>
          <w:szCs w:val="27"/>
          <w:lang w:eastAsia="en-GB"/>
        </w:rPr>
      </w:pPr>
      <w:r w:rsidRPr="0024310F">
        <w:rPr>
          <w:rFonts w:ascii="Times New Roman" w:eastAsia="Times New Roman" w:hAnsi="Times New Roman" w:cs="Times New Roman"/>
          <w:b/>
          <w:bCs/>
          <w:sz w:val="27"/>
          <w:szCs w:val="27"/>
          <w:lang w:eastAsia="en-GB"/>
        </w:rPr>
        <w:t>A. Animal nutraceutical (industry term)</w:t>
      </w:r>
    </w:p>
    <w:p w14:paraId="694008FB" w14:textId="77777777" w:rsidR="0024310F" w:rsidRPr="0024310F" w:rsidRDefault="0024310F" w:rsidP="0024310F">
      <w:p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Not a universally consistent legal category. Often means:</w:t>
      </w:r>
    </w:p>
    <w:p w14:paraId="58A56C82" w14:textId="77777777" w:rsidR="0024310F" w:rsidRPr="0024310F" w:rsidRDefault="0024310F" w:rsidP="0024310F">
      <w:pPr>
        <w:numPr>
          <w:ilvl w:val="0"/>
          <w:numId w:val="7"/>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supplements, functional feed ingredients, additives, and wellness products positioned between “feed” and “drug.”</w:t>
      </w:r>
    </w:p>
    <w:p w14:paraId="5D40A392" w14:textId="77777777" w:rsidR="0024310F" w:rsidRPr="0024310F" w:rsidRDefault="0024310F" w:rsidP="0024310F">
      <w:pPr>
        <w:spacing w:before="100" w:beforeAutospacing="1" w:after="100" w:afterAutospacing="1"/>
        <w:outlineLvl w:val="2"/>
        <w:rPr>
          <w:rFonts w:ascii="Times New Roman" w:eastAsia="Times New Roman" w:hAnsi="Times New Roman" w:cs="Times New Roman"/>
          <w:b/>
          <w:bCs/>
          <w:sz w:val="27"/>
          <w:szCs w:val="27"/>
          <w:lang w:eastAsia="en-GB"/>
        </w:rPr>
      </w:pPr>
      <w:r w:rsidRPr="0024310F">
        <w:rPr>
          <w:rFonts w:ascii="Times New Roman" w:eastAsia="Times New Roman" w:hAnsi="Times New Roman" w:cs="Times New Roman"/>
          <w:b/>
          <w:bCs/>
          <w:sz w:val="27"/>
          <w:szCs w:val="27"/>
          <w:lang w:eastAsia="en-GB"/>
        </w:rPr>
        <w:lastRenderedPageBreak/>
        <w:t>B. Animal food / feed (legal concept in many jurisdictions)</w:t>
      </w:r>
    </w:p>
    <w:p w14:paraId="13D00AE8" w14:textId="77777777" w:rsidR="0024310F" w:rsidRPr="0024310F" w:rsidRDefault="0024310F" w:rsidP="0024310F">
      <w:p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Generally: products intended to provide nutrition. Claims must remain within what the jurisdiction considers permissible for food.</w:t>
      </w:r>
    </w:p>
    <w:p w14:paraId="2F3F2B37" w14:textId="77777777" w:rsidR="0024310F" w:rsidRPr="0024310F" w:rsidRDefault="0024310F" w:rsidP="0024310F">
      <w:pPr>
        <w:spacing w:before="100" w:beforeAutospacing="1" w:after="100" w:afterAutospacing="1"/>
        <w:outlineLvl w:val="2"/>
        <w:rPr>
          <w:rFonts w:ascii="Times New Roman" w:eastAsia="Times New Roman" w:hAnsi="Times New Roman" w:cs="Times New Roman"/>
          <w:b/>
          <w:bCs/>
          <w:sz w:val="27"/>
          <w:szCs w:val="27"/>
          <w:lang w:eastAsia="en-GB"/>
        </w:rPr>
      </w:pPr>
      <w:r w:rsidRPr="0024310F">
        <w:rPr>
          <w:rFonts w:ascii="Times New Roman" w:eastAsia="Times New Roman" w:hAnsi="Times New Roman" w:cs="Times New Roman"/>
          <w:b/>
          <w:bCs/>
          <w:sz w:val="27"/>
          <w:szCs w:val="27"/>
          <w:lang w:eastAsia="en-GB"/>
        </w:rPr>
        <w:t>C. Feed additive (EU formal concept; US concept via food additive approval)</w:t>
      </w:r>
    </w:p>
    <w:p w14:paraId="2569BB04" w14:textId="77777777" w:rsidR="0024310F" w:rsidRPr="0024310F" w:rsidRDefault="0024310F" w:rsidP="0024310F">
      <w:p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A substance added to animal feed to achieve a function (on the feed, the animal, the environment, or the resulting food product), often requiring premarket authorization depending on the jurisdiction.</w:t>
      </w:r>
    </w:p>
    <w:p w14:paraId="643860B7" w14:textId="77777777" w:rsidR="0024310F" w:rsidRPr="0024310F" w:rsidRDefault="0024310F" w:rsidP="0024310F">
      <w:pPr>
        <w:spacing w:before="100" w:beforeAutospacing="1" w:after="100" w:afterAutospacing="1"/>
        <w:outlineLvl w:val="2"/>
        <w:rPr>
          <w:rFonts w:ascii="Times New Roman" w:eastAsia="Times New Roman" w:hAnsi="Times New Roman" w:cs="Times New Roman"/>
          <w:b/>
          <w:bCs/>
          <w:sz w:val="27"/>
          <w:szCs w:val="27"/>
          <w:lang w:eastAsia="en-GB"/>
        </w:rPr>
      </w:pPr>
      <w:r w:rsidRPr="0024310F">
        <w:rPr>
          <w:rFonts w:ascii="Times New Roman" w:eastAsia="Times New Roman" w:hAnsi="Times New Roman" w:cs="Times New Roman"/>
          <w:b/>
          <w:bCs/>
          <w:sz w:val="27"/>
          <w:szCs w:val="27"/>
          <w:lang w:eastAsia="en-GB"/>
        </w:rPr>
        <w:t>D. Veterinary drug / new animal drug (US)</w:t>
      </w:r>
    </w:p>
    <w:p w14:paraId="61E34BA2" w14:textId="77777777" w:rsidR="0024310F" w:rsidRPr="0024310F" w:rsidRDefault="0024310F" w:rsidP="0024310F">
      <w:p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Products intended for diagnosis, cure, mitigation, treatment, or prevention of disease, and also products intended to affect structure or function of the body (depending on intended use and regulatory interpretation). FDA warning letters illustrate this in practice.</w:t>
      </w:r>
    </w:p>
    <w:p w14:paraId="67D9690E" w14:textId="77777777" w:rsidR="0024310F" w:rsidRPr="0024310F" w:rsidRDefault="0024310F" w:rsidP="0024310F">
      <w:pPr>
        <w:spacing w:before="100" w:beforeAutospacing="1" w:after="100" w:afterAutospacing="1"/>
        <w:outlineLvl w:val="2"/>
        <w:rPr>
          <w:rFonts w:ascii="Times New Roman" w:eastAsia="Times New Roman" w:hAnsi="Times New Roman" w:cs="Times New Roman"/>
          <w:b/>
          <w:bCs/>
          <w:sz w:val="27"/>
          <w:szCs w:val="27"/>
          <w:lang w:eastAsia="en-GB"/>
        </w:rPr>
      </w:pPr>
      <w:r w:rsidRPr="0024310F">
        <w:rPr>
          <w:rFonts w:ascii="Times New Roman" w:eastAsia="Times New Roman" w:hAnsi="Times New Roman" w:cs="Times New Roman"/>
          <w:b/>
          <w:bCs/>
          <w:sz w:val="27"/>
          <w:szCs w:val="27"/>
          <w:lang w:eastAsia="en-GB"/>
        </w:rPr>
        <w:t>E. Veterinary biologic (US)</w:t>
      </w:r>
    </w:p>
    <w:p w14:paraId="1AA02ACF" w14:textId="77777777" w:rsidR="0024310F" w:rsidRPr="0024310F" w:rsidRDefault="0024310F" w:rsidP="0024310F">
      <w:p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Typically under USDA APHIS Center for Veterinary Biologics (vaccines, certain immunological products). This matters when a “nutraceutical” starts to look like an immune-modulating biologic.</w:t>
      </w:r>
    </w:p>
    <w:p w14:paraId="0D97102F" w14:textId="77777777" w:rsidR="0024310F" w:rsidRPr="0024310F" w:rsidRDefault="00D737E8" w:rsidP="0024310F">
      <w:pPr>
        <w:rPr>
          <w:rFonts w:ascii="Times New Roman" w:eastAsia="Times New Roman" w:hAnsi="Times New Roman" w:cs="Times New Roman"/>
          <w:lang w:eastAsia="en-GB"/>
        </w:rPr>
      </w:pPr>
      <w:r>
        <w:rPr>
          <w:rFonts w:ascii="Times New Roman" w:eastAsia="Times New Roman" w:hAnsi="Times New Roman" w:cs="Times New Roman"/>
          <w:noProof/>
          <w:lang w:eastAsia="en-GB"/>
        </w:rPr>
        <w:pict w14:anchorId="753BE67C">
          <v:rect id="_x0000_i1042" alt="" style="width:451.3pt;height:.05pt;mso-width-percent:0;mso-height-percent:0;mso-width-percent:0;mso-height-percent:0" o:hralign="center" o:hrstd="t" o:hr="t" fillcolor="#a0a0a0" stroked="f"/>
        </w:pict>
      </w:r>
    </w:p>
    <w:p w14:paraId="77548B66" w14:textId="77777777" w:rsidR="0024310F" w:rsidRPr="0024310F" w:rsidRDefault="0024310F" w:rsidP="0024310F">
      <w:pPr>
        <w:spacing w:before="100" w:beforeAutospacing="1" w:after="100" w:afterAutospacing="1"/>
        <w:outlineLvl w:val="1"/>
        <w:rPr>
          <w:rFonts w:ascii="Times New Roman" w:eastAsia="Times New Roman" w:hAnsi="Times New Roman" w:cs="Times New Roman"/>
          <w:b/>
          <w:bCs/>
          <w:sz w:val="36"/>
          <w:szCs w:val="36"/>
          <w:lang w:eastAsia="en-GB"/>
        </w:rPr>
      </w:pPr>
      <w:r w:rsidRPr="0024310F">
        <w:rPr>
          <w:rFonts w:ascii="Times New Roman" w:eastAsia="Times New Roman" w:hAnsi="Times New Roman" w:cs="Times New Roman"/>
          <w:b/>
          <w:bCs/>
          <w:sz w:val="36"/>
          <w:szCs w:val="36"/>
          <w:lang w:eastAsia="en-GB"/>
        </w:rPr>
        <w:t>4. How regulators decide classification (the “intended use engine”)</w:t>
      </w:r>
    </w:p>
    <w:p w14:paraId="0174CE55" w14:textId="77777777" w:rsidR="0024310F" w:rsidRPr="0024310F" w:rsidRDefault="0024310F" w:rsidP="0024310F">
      <w:pPr>
        <w:spacing w:before="100" w:beforeAutospacing="1" w:after="100" w:afterAutospacing="1"/>
        <w:outlineLvl w:val="2"/>
        <w:rPr>
          <w:rFonts w:ascii="Times New Roman" w:eastAsia="Times New Roman" w:hAnsi="Times New Roman" w:cs="Times New Roman"/>
          <w:b/>
          <w:bCs/>
          <w:sz w:val="27"/>
          <w:szCs w:val="27"/>
          <w:lang w:eastAsia="en-GB"/>
        </w:rPr>
      </w:pPr>
      <w:r w:rsidRPr="0024310F">
        <w:rPr>
          <w:rFonts w:ascii="Times New Roman" w:eastAsia="Times New Roman" w:hAnsi="Times New Roman" w:cs="Times New Roman"/>
          <w:b/>
          <w:bCs/>
          <w:sz w:val="27"/>
          <w:szCs w:val="27"/>
          <w:lang w:eastAsia="en-GB"/>
        </w:rPr>
        <w:t>The single most important rule</w:t>
      </w:r>
    </w:p>
    <w:p w14:paraId="791C332B" w14:textId="77777777" w:rsidR="0024310F" w:rsidRPr="0024310F" w:rsidRDefault="0024310F" w:rsidP="0024310F">
      <w:p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b/>
          <w:bCs/>
          <w:lang w:eastAsia="en-GB"/>
        </w:rPr>
        <w:t>Classification follows intended use, and intended use is inferred from your total communications and product context.</w:t>
      </w:r>
    </w:p>
    <w:p w14:paraId="49E403D7" w14:textId="77777777" w:rsidR="0024310F" w:rsidRPr="0024310F" w:rsidRDefault="0024310F" w:rsidP="0024310F">
      <w:p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Sources of intended use include:</w:t>
      </w:r>
    </w:p>
    <w:p w14:paraId="4B7420DA" w14:textId="77777777" w:rsidR="0024310F" w:rsidRPr="0024310F" w:rsidRDefault="0024310F" w:rsidP="0024310F">
      <w:pPr>
        <w:numPr>
          <w:ilvl w:val="0"/>
          <w:numId w:val="8"/>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label claims and directions,</w:t>
      </w:r>
    </w:p>
    <w:p w14:paraId="411D2B8E" w14:textId="77777777" w:rsidR="0024310F" w:rsidRPr="0024310F" w:rsidRDefault="0024310F" w:rsidP="0024310F">
      <w:pPr>
        <w:numPr>
          <w:ilvl w:val="0"/>
          <w:numId w:val="8"/>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website claims and blog content,</w:t>
      </w:r>
    </w:p>
    <w:p w14:paraId="171CB0B1" w14:textId="77777777" w:rsidR="0024310F" w:rsidRPr="0024310F" w:rsidRDefault="0024310F" w:rsidP="0024310F">
      <w:pPr>
        <w:numPr>
          <w:ilvl w:val="0"/>
          <w:numId w:val="8"/>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distributor and reseller copy,</w:t>
      </w:r>
    </w:p>
    <w:p w14:paraId="42B3426E" w14:textId="77777777" w:rsidR="0024310F" w:rsidRPr="0024310F" w:rsidRDefault="0024310F" w:rsidP="0024310F">
      <w:pPr>
        <w:numPr>
          <w:ilvl w:val="0"/>
          <w:numId w:val="8"/>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testimonials and reviews you highlight,</w:t>
      </w:r>
    </w:p>
    <w:p w14:paraId="72083E6A" w14:textId="77777777" w:rsidR="0024310F" w:rsidRPr="0024310F" w:rsidRDefault="0024310F" w:rsidP="0024310F">
      <w:pPr>
        <w:numPr>
          <w:ilvl w:val="0"/>
          <w:numId w:val="8"/>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“protocol posters” and comparison charts,</w:t>
      </w:r>
    </w:p>
    <w:p w14:paraId="414F5B26" w14:textId="77777777" w:rsidR="0024310F" w:rsidRPr="0024310F" w:rsidRDefault="0024310F" w:rsidP="0024310F">
      <w:pPr>
        <w:numPr>
          <w:ilvl w:val="0"/>
          <w:numId w:val="8"/>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social media posts and influencer campaigns,</w:t>
      </w:r>
    </w:p>
    <w:p w14:paraId="1C689733" w14:textId="77777777" w:rsidR="0024310F" w:rsidRPr="0024310F" w:rsidRDefault="0024310F" w:rsidP="0024310F">
      <w:pPr>
        <w:numPr>
          <w:ilvl w:val="0"/>
          <w:numId w:val="8"/>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technical sheets and “whitepapers” used for selling,</w:t>
      </w:r>
    </w:p>
    <w:p w14:paraId="737D438F" w14:textId="77777777" w:rsidR="0024310F" w:rsidRPr="0024310F" w:rsidRDefault="0024310F" w:rsidP="0024310F">
      <w:pPr>
        <w:numPr>
          <w:ilvl w:val="0"/>
          <w:numId w:val="8"/>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and even your customer support scripts.</w:t>
      </w:r>
    </w:p>
    <w:p w14:paraId="2795C275" w14:textId="77777777" w:rsidR="0024310F" w:rsidRPr="0024310F" w:rsidRDefault="0024310F" w:rsidP="0024310F">
      <w:p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A cautionary example: the FDA warning letter to Synergy Animal Products describes how disease and structure/function claims on a website and labeling drove the “unapproved new animal drug” conclusion, and the firm’s attempt to disclaim FDA approval did not prevent enforcement.</w:t>
      </w:r>
    </w:p>
    <w:p w14:paraId="3751BF92" w14:textId="77777777" w:rsidR="0024310F" w:rsidRPr="0024310F" w:rsidRDefault="0024310F" w:rsidP="0024310F">
      <w:pPr>
        <w:spacing w:before="100" w:beforeAutospacing="1" w:after="100" w:afterAutospacing="1"/>
        <w:outlineLvl w:val="2"/>
        <w:rPr>
          <w:rFonts w:ascii="Times New Roman" w:eastAsia="Times New Roman" w:hAnsi="Times New Roman" w:cs="Times New Roman"/>
          <w:b/>
          <w:bCs/>
          <w:sz w:val="27"/>
          <w:szCs w:val="27"/>
          <w:lang w:eastAsia="en-GB"/>
        </w:rPr>
      </w:pPr>
      <w:r w:rsidRPr="0024310F">
        <w:rPr>
          <w:rFonts w:ascii="Times New Roman" w:eastAsia="Times New Roman" w:hAnsi="Times New Roman" w:cs="Times New Roman"/>
          <w:b/>
          <w:bCs/>
          <w:sz w:val="27"/>
          <w:szCs w:val="27"/>
          <w:lang w:eastAsia="en-GB"/>
        </w:rPr>
        <w:lastRenderedPageBreak/>
        <w:t>Practical takeaway</w:t>
      </w:r>
    </w:p>
    <w:p w14:paraId="562F1F4D" w14:textId="77777777" w:rsidR="0024310F" w:rsidRPr="0024310F" w:rsidRDefault="0024310F" w:rsidP="0024310F">
      <w:p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Compliance is not a label exercise. It is a cross-functional system:</w:t>
      </w:r>
    </w:p>
    <w:p w14:paraId="68D0AFF3" w14:textId="77777777" w:rsidR="0024310F" w:rsidRPr="0024310F" w:rsidRDefault="0024310F" w:rsidP="0024310F">
      <w:pPr>
        <w:numPr>
          <w:ilvl w:val="0"/>
          <w:numId w:val="9"/>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claim governance,</w:t>
      </w:r>
    </w:p>
    <w:p w14:paraId="28FAFB75" w14:textId="77777777" w:rsidR="0024310F" w:rsidRPr="0024310F" w:rsidRDefault="0024310F" w:rsidP="0024310F">
      <w:pPr>
        <w:numPr>
          <w:ilvl w:val="0"/>
          <w:numId w:val="9"/>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content review process,</w:t>
      </w:r>
    </w:p>
    <w:p w14:paraId="3F8D8CD9" w14:textId="77777777" w:rsidR="0024310F" w:rsidRPr="0024310F" w:rsidRDefault="0024310F" w:rsidP="0024310F">
      <w:pPr>
        <w:numPr>
          <w:ilvl w:val="0"/>
          <w:numId w:val="9"/>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channel partner controls,</w:t>
      </w:r>
    </w:p>
    <w:p w14:paraId="34613667" w14:textId="77777777" w:rsidR="0024310F" w:rsidRPr="0024310F" w:rsidRDefault="0024310F" w:rsidP="0024310F">
      <w:pPr>
        <w:numPr>
          <w:ilvl w:val="0"/>
          <w:numId w:val="9"/>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and documentation (substantiation files, version control).</w:t>
      </w:r>
    </w:p>
    <w:p w14:paraId="1070D188" w14:textId="77777777" w:rsidR="0024310F" w:rsidRPr="0024310F" w:rsidRDefault="00D737E8" w:rsidP="0024310F">
      <w:pPr>
        <w:rPr>
          <w:rFonts w:ascii="Times New Roman" w:eastAsia="Times New Roman" w:hAnsi="Times New Roman" w:cs="Times New Roman"/>
          <w:lang w:eastAsia="en-GB"/>
        </w:rPr>
      </w:pPr>
      <w:r>
        <w:rPr>
          <w:rFonts w:ascii="Times New Roman" w:eastAsia="Times New Roman" w:hAnsi="Times New Roman" w:cs="Times New Roman"/>
          <w:noProof/>
          <w:lang w:eastAsia="en-GB"/>
        </w:rPr>
        <w:pict w14:anchorId="0B14B69E">
          <v:rect id="_x0000_i1041" alt="" style="width:451.3pt;height:.05pt;mso-width-percent:0;mso-height-percent:0;mso-width-percent:0;mso-height-percent:0" o:hralign="center" o:hrstd="t" o:hr="t" fillcolor="#a0a0a0" stroked="f"/>
        </w:pict>
      </w:r>
    </w:p>
    <w:p w14:paraId="53230627" w14:textId="77777777" w:rsidR="0024310F" w:rsidRPr="0024310F" w:rsidRDefault="0024310F" w:rsidP="0024310F">
      <w:pPr>
        <w:spacing w:before="100" w:beforeAutospacing="1" w:after="100" w:afterAutospacing="1"/>
        <w:outlineLvl w:val="1"/>
        <w:rPr>
          <w:rFonts w:ascii="Times New Roman" w:eastAsia="Times New Roman" w:hAnsi="Times New Roman" w:cs="Times New Roman"/>
          <w:b/>
          <w:bCs/>
          <w:sz w:val="36"/>
          <w:szCs w:val="36"/>
          <w:lang w:eastAsia="en-GB"/>
        </w:rPr>
      </w:pPr>
      <w:r w:rsidRPr="0024310F">
        <w:rPr>
          <w:rFonts w:ascii="Times New Roman" w:eastAsia="Times New Roman" w:hAnsi="Times New Roman" w:cs="Times New Roman"/>
          <w:b/>
          <w:bCs/>
          <w:sz w:val="36"/>
          <w:szCs w:val="36"/>
          <w:lang w:eastAsia="en-GB"/>
        </w:rPr>
        <w:t>5. United States: today’s reality plus what is changing (2024 to 2026)</w:t>
      </w:r>
    </w:p>
    <w:p w14:paraId="01AFE568" w14:textId="77777777" w:rsidR="0024310F" w:rsidRPr="0024310F" w:rsidRDefault="0024310F" w:rsidP="0024310F">
      <w:pPr>
        <w:spacing w:before="100" w:beforeAutospacing="1" w:after="100" w:afterAutospacing="1"/>
        <w:outlineLvl w:val="2"/>
        <w:rPr>
          <w:rFonts w:ascii="Times New Roman" w:eastAsia="Times New Roman" w:hAnsi="Times New Roman" w:cs="Times New Roman"/>
          <w:b/>
          <w:bCs/>
          <w:sz w:val="27"/>
          <w:szCs w:val="27"/>
          <w:lang w:eastAsia="en-GB"/>
        </w:rPr>
      </w:pPr>
      <w:r w:rsidRPr="0024310F">
        <w:rPr>
          <w:rFonts w:ascii="Times New Roman" w:eastAsia="Times New Roman" w:hAnsi="Times New Roman" w:cs="Times New Roman"/>
          <w:b/>
          <w:bCs/>
          <w:sz w:val="27"/>
          <w:szCs w:val="27"/>
          <w:lang w:eastAsia="en-GB"/>
        </w:rPr>
        <w:t>5.1 The US “lane structure” (simplified)</w:t>
      </w:r>
    </w:p>
    <w:p w14:paraId="54007516" w14:textId="77777777" w:rsidR="0024310F" w:rsidRPr="0024310F" w:rsidRDefault="0024310F" w:rsidP="0024310F">
      <w:p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You generally operate in one of these lanes:</w:t>
      </w:r>
    </w:p>
    <w:p w14:paraId="3098B093" w14:textId="77777777" w:rsidR="0024310F" w:rsidRPr="0024310F" w:rsidRDefault="0024310F" w:rsidP="0024310F">
      <w:pPr>
        <w:numPr>
          <w:ilvl w:val="0"/>
          <w:numId w:val="10"/>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b/>
          <w:bCs/>
          <w:lang w:eastAsia="en-GB"/>
        </w:rPr>
        <w:t>Animal food ingredient lane</w:t>
      </w:r>
    </w:p>
    <w:p w14:paraId="6CBAD13D" w14:textId="77777777" w:rsidR="0024310F" w:rsidRPr="0024310F" w:rsidRDefault="0024310F" w:rsidP="0024310F">
      <w:pPr>
        <w:numPr>
          <w:ilvl w:val="0"/>
          <w:numId w:val="11"/>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Typically relies on GRAS (self or notification), AAFCO ingredient definitions (state acceptance), or food additive approvals depending on the ingredient and intended use.</w:t>
      </w:r>
    </w:p>
    <w:p w14:paraId="55FA0932" w14:textId="77777777" w:rsidR="0024310F" w:rsidRPr="0024310F" w:rsidRDefault="0024310F" w:rsidP="0024310F">
      <w:pPr>
        <w:numPr>
          <w:ilvl w:val="0"/>
          <w:numId w:val="11"/>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Many claims are constrained. “Structure/function” style claims have been a key friction point.</w:t>
      </w:r>
    </w:p>
    <w:p w14:paraId="743F9C8D" w14:textId="77777777" w:rsidR="0024310F" w:rsidRPr="0024310F" w:rsidRDefault="0024310F" w:rsidP="0024310F">
      <w:pPr>
        <w:numPr>
          <w:ilvl w:val="0"/>
          <w:numId w:val="12"/>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b/>
          <w:bCs/>
          <w:lang w:eastAsia="en-GB"/>
        </w:rPr>
        <w:t>Food additive approval lane</w:t>
      </w:r>
    </w:p>
    <w:p w14:paraId="4765C1D0" w14:textId="77777777" w:rsidR="0024310F" w:rsidRPr="0024310F" w:rsidRDefault="0024310F" w:rsidP="0024310F">
      <w:pPr>
        <w:numPr>
          <w:ilvl w:val="0"/>
          <w:numId w:val="13"/>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For additives not GRAS and not otherwise lawful.</w:t>
      </w:r>
    </w:p>
    <w:p w14:paraId="25C91451" w14:textId="77777777" w:rsidR="0024310F" w:rsidRPr="0024310F" w:rsidRDefault="0024310F" w:rsidP="0024310F">
      <w:pPr>
        <w:numPr>
          <w:ilvl w:val="0"/>
          <w:numId w:val="13"/>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Emerging focus: substances acting in the gut with effects related to digestion byproducts, microbiome, foodborne pathogens, or environmental outcomes (this is exactly what the Innovative FEED Act proposals try to formalize).</w:t>
      </w:r>
    </w:p>
    <w:p w14:paraId="2E1D3368" w14:textId="77777777" w:rsidR="0024310F" w:rsidRPr="0024310F" w:rsidRDefault="0024310F" w:rsidP="0024310F">
      <w:pPr>
        <w:numPr>
          <w:ilvl w:val="0"/>
          <w:numId w:val="14"/>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b/>
          <w:bCs/>
          <w:lang w:eastAsia="en-GB"/>
        </w:rPr>
        <w:t>New animal drug lane (NADA, conditional approval, indexing in limited cases)</w:t>
      </w:r>
    </w:p>
    <w:p w14:paraId="3149D74D" w14:textId="77777777" w:rsidR="0024310F" w:rsidRPr="0024310F" w:rsidRDefault="0024310F" w:rsidP="0024310F">
      <w:pPr>
        <w:numPr>
          <w:ilvl w:val="0"/>
          <w:numId w:val="15"/>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Highest regulatory burden and highest moat potential.</w:t>
      </w:r>
    </w:p>
    <w:p w14:paraId="78D5797D" w14:textId="77777777" w:rsidR="0024310F" w:rsidRPr="0024310F" w:rsidRDefault="0024310F" w:rsidP="0024310F">
      <w:pPr>
        <w:numPr>
          <w:ilvl w:val="0"/>
          <w:numId w:val="15"/>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Enables defined indications and stronger commercialization defensibility if executed well.</w:t>
      </w:r>
    </w:p>
    <w:p w14:paraId="30A2AC6B" w14:textId="77777777" w:rsidR="0024310F" w:rsidRPr="0024310F" w:rsidRDefault="0024310F" w:rsidP="0024310F">
      <w:pPr>
        <w:spacing w:before="100" w:beforeAutospacing="1" w:after="100" w:afterAutospacing="1"/>
        <w:outlineLvl w:val="2"/>
        <w:rPr>
          <w:rFonts w:ascii="Times New Roman" w:eastAsia="Times New Roman" w:hAnsi="Times New Roman" w:cs="Times New Roman"/>
          <w:b/>
          <w:bCs/>
          <w:sz w:val="27"/>
          <w:szCs w:val="27"/>
          <w:lang w:eastAsia="en-GB"/>
        </w:rPr>
      </w:pPr>
      <w:r w:rsidRPr="0024310F">
        <w:rPr>
          <w:rFonts w:ascii="Times New Roman" w:eastAsia="Times New Roman" w:hAnsi="Times New Roman" w:cs="Times New Roman"/>
          <w:b/>
          <w:bCs/>
          <w:sz w:val="27"/>
          <w:szCs w:val="27"/>
          <w:lang w:eastAsia="en-GB"/>
        </w:rPr>
        <w:t>5.2 Key US changes you must account for</w:t>
      </w:r>
    </w:p>
    <w:p w14:paraId="6BBD5006" w14:textId="77777777" w:rsidR="0024310F" w:rsidRPr="0024310F" w:rsidRDefault="0024310F" w:rsidP="0024310F">
      <w:pPr>
        <w:spacing w:before="100" w:beforeAutospacing="1" w:after="100" w:afterAutospacing="1"/>
        <w:outlineLvl w:val="3"/>
        <w:rPr>
          <w:rFonts w:ascii="Times New Roman" w:eastAsia="Times New Roman" w:hAnsi="Times New Roman" w:cs="Times New Roman"/>
          <w:b/>
          <w:bCs/>
          <w:lang w:eastAsia="en-GB"/>
        </w:rPr>
      </w:pPr>
      <w:r w:rsidRPr="0024310F">
        <w:rPr>
          <w:rFonts w:ascii="Times New Roman" w:eastAsia="Times New Roman" w:hAnsi="Times New Roman" w:cs="Times New Roman"/>
          <w:b/>
          <w:bCs/>
          <w:lang w:eastAsia="en-GB"/>
        </w:rPr>
        <w:t>A. Withdrawal of PPM 1240.3605 (May 2024)</w:t>
      </w:r>
    </w:p>
    <w:p w14:paraId="58B3D723" w14:textId="77777777" w:rsidR="0024310F" w:rsidRPr="0024310F" w:rsidRDefault="0024310F" w:rsidP="0024310F">
      <w:p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FDA withdrew CVM’s old manual on regulating animal foods with drug claims because it no longer reflected current thinking.</w:t>
      </w:r>
    </w:p>
    <w:p w14:paraId="06513535" w14:textId="77777777" w:rsidR="0024310F" w:rsidRPr="0024310F" w:rsidRDefault="0024310F" w:rsidP="0024310F">
      <w:p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This matters because many companies (and investors) relied on the old policy assumptions. The post-withdrawal period is transitional and policy is still evolving.</w:t>
      </w:r>
    </w:p>
    <w:p w14:paraId="7472DD69" w14:textId="77777777" w:rsidR="0024310F" w:rsidRPr="0024310F" w:rsidRDefault="0024310F" w:rsidP="0024310F">
      <w:pPr>
        <w:spacing w:before="100" w:beforeAutospacing="1" w:after="100" w:afterAutospacing="1"/>
        <w:outlineLvl w:val="3"/>
        <w:rPr>
          <w:rFonts w:ascii="Times New Roman" w:eastAsia="Times New Roman" w:hAnsi="Times New Roman" w:cs="Times New Roman"/>
          <w:b/>
          <w:bCs/>
          <w:lang w:eastAsia="en-GB"/>
        </w:rPr>
      </w:pPr>
      <w:r w:rsidRPr="0024310F">
        <w:rPr>
          <w:rFonts w:ascii="Times New Roman" w:eastAsia="Times New Roman" w:hAnsi="Times New Roman" w:cs="Times New Roman"/>
          <w:b/>
          <w:bCs/>
          <w:lang w:eastAsia="en-GB"/>
        </w:rPr>
        <w:lastRenderedPageBreak/>
        <w:t>B. FDA is actively encouraging early engagement on “novel animal foods with drug claims”</w:t>
      </w:r>
    </w:p>
    <w:p w14:paraId="75A4F6F5" w14:textId="77777777" w:rsidR="0024310F" w:rsidRPr="0024310F" w:rsidRDefault="0024310F" w:rsidP="0024310F">
      <w:p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FDA’s May 2024 “letter to industry” encourages firms developing gut-acting substances with claims related to production, wellbeing, food safety, and environmental benefits to contact the agency early.</w:t>
      </w:r>
    </w:p>
    <w:p w14:paraId="54A311E9" w14:textId="77777777" w:rsidR="0024310F" w:rsidRPr="0024310F" w:rsidRDefault="0024310F" w:rsidP="0024310F">
      <w:pPr>
        <w:spacing w:before="100" w:beforeAutospacing="1" w:after="100" w:afterAutospacing="1"/>
        <w:outlineLvl w:val="3"/>
        <w:rPr>
          <w:rFonts w:ascii="Times New Roman" w:eastAsia="Times New Roman" w:hAnsi="Times New Roman" w:cs="Times New Roman"/>
          <w:b/>
          <w:bCs/>
          <w:lang w:eastAsia="en-GB"/>
        </w:rPr>
      </w:pPr>
      <w:r w:rsidRPr="0024310F">
        <w:rPr>
          <w:rFonts w:ascii="Times New Roman" w:eastAsia="Times New Roman" w:hAnsi="Times New Roman" w:cs="Times New Roman"/>
          <w:b/>
          <w:bCs/>
          <w:lang w:eastAsia="en-GB"/>
        </w:rPr>
        <w:t>C. Draft guidance under development: zootechnical substances and structure/function animal food</w:t>
      </w:r>
    </w:p>
    <w:p w14:paraId="0EF2E9B2" w14:textId="77777777" w:rsidR="0024310F" w:rsidRPr="0024310F" w:rsidRDefault="0024310F" w:rsidP="0024310F">
      <w:p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FDA’s list of guidances under development includes:</w:t>
      </w:r>
    </w:p>
    <w:p w14:paraId="17FC012C" w14:textId="77777777" w:rsidR="0024310F" w:rsidRPr="0024310F" w:rsidRDefault="0024310F" w:rsidP="0024310F">
      <w:pPr>
        <w:numPr>
          <w:ilvl w:val="0"/>
          <w:numId w:val="16"/>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Draft GFI #289: Use of Zootechnical Substances in Animal Food</w:t>
      </w:r>
    </w:p>
    <w:p w14:paraId="39C5AE9B" w14:textId="77777777" w:rsidR="0024310F" w:rsidRPr="0024310F" w:rsidRDefault="0024310F" w:rsidP="0024310F">
      <w:pPr>
        <w:numPr>
          <w:ilvl w:val="0"/>
          <w:numId w:val="16"/>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Draft GFI #291: Animal Food Intended to Affect the Structure or Function of the Animal</w:t>
      </w:r>
    </w:p>
    <w:p w14:paraId="6FC83DEF" w14:textId="77777777" w:rsidR="0024310F" w:rsidRPr="0024310F" w:rsidRDefault="0024310F" w:rsidP="0024310F">
      <w:p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Even before final publication, their existence is a major signal for strategic planning.</w:t>
      </w:r>
    </w:p>
    <w:p w14:paraId="6FFCDA8E" w14:textId="77777777" w:rsidR="0024310F" w:rsidRPr="0024310F" w:rsidRDefault="0024310F" w:rsidP="0024310F">
      <w:pPr>
        <w:spacing w:before="100" w:beforeAutospacing="1" w:after="100" w:afterAutospacing="1"/>
        <w:outlineLvl w:val="3"/>
        <w:rPr>
          <w:rFonts w:ascii="Times New Roman" w:eastAsia="Times New Roman" w:hAnsi="Times New Roman" w:cs="Times New Roman"/>
          <w:b/>
          <w:bCs/>
          <w:lang w:eastAsia="en-GB"/>
        </w:rPr>
      </w:pPr>
      <w:r w:rsidRPr="0024310F">
        <w:rPr>
          <w:rFonts w:ascii="Times New Roman" w:eastAsia="Times New Roman" w:hAnsi="Times New Roman" w:cs="Times New Roman"/>
          <w:b/>
          <w:bCs/>
          <w:lang w:eastAsia="en-GB"/>
        </w:rPr>
        <w:t>D. FDA’s enforcement posture on AAFCO-defined ingredients (GFI 293, Oct 2024)</w:t>
      </w:r>
    </w:p>
    <w:p w14:paraId="5259669B" w14:textId="77777777" w:rsidR="0024310F" w:rsidRPr="0024310F" w:rsidRDefault="0024310F" w:rsidP="0024310F">
      <w:p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CVM GFI #293 states FDA generally does not intend to initiate enforcement action for food additive approval requirements for ingredients listed in the AAFCO 2024 Official Publication chapter six, under specified conditions.</w:t>
      </w:r>
    </w:p>
    <w:p w14:paraId="4AC22D3D" w14:textId="77777777" w:rsidR="0024310F" w:rsidRPr="0024310F" w:rsidRDefault="0024310F" w:rsidP="0024310F">
      <w:p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This is not “approval,” but it is a real compliance lever for companies using ingredients within that scope.</w:t>
      </w:r>
    </w:p>
    <w:p w14:paraId="164E4A57" w14:textId="77777777" w:rsidR="0024310F" w:rsidRPr="0024310F" w:rsidRDefault="0024310F" w:rsidP="0024310F">
      <w:pPr>
        <w:spacing w:before="100" w:beforeAutospacing="1" w:after="100" w:afterAutospacing="1"/>
        <w:outlineLvl w:val="2"/>
        <w:rPr>
          <w:rFonts w:ascii="Times New Roman" w:eastAsia="Times New Roman" w:hAnsi="Times New Roman" w:cs="Times New Roman"/>
          <w:b/>
          <w:bCs/>
          <w:sz w:val="27"/>
          <w:szCs w:val="27"/>
          <w:lang w:eastAsia="en-GB"/>
        </w:rPr>
      </w:pPr>
      <w:r w:rsidRPr="0024310F">
        <w:rPr>
          <w:rFonts w:ascii="Times New Roman" w:eastAsia="Times New Roman" w:hAnsi="Times New Roman" w:cs="Times New Roman"/>
          <w:b/>
          <w:bCs/>
          <w:sz w:val="27"/>
          <w:szCs w:val="27"/>
          <w:lang w:eastAsia="en-GB"/>
        </w:rPr>
        <w:t>5.3 Legislative watch: Innovative FEED Act (not enacted as of Jan 2026)</w:t>
      </w:r>
    </w:p>
    <w:p w14:paraId="5486A287" w14:textId="77777777" w:rsidR="0024310F" w:rsidRPr="0024310F" w:rsidRDefault="0024310F" w:rsidP="0024310F">
      <w:p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The Innovative FEED Act concept aims to create a defined pathway for “zootechnical animal food substances” as food additives (not animal drugs), focusing on substances that act solely within the GI tract and intended to:</w:t>
      </w:r>
    </w:p>
    <w:p w14:paraId="4C15F45A" w14:textId="77777777" w:rsidR="0024310F" w:rsidRPr="0024310F" w:rsidRDefault="0024310F" w:rsidP="0024310F">
      <w:pPr>
        <w:numPr>
          <w:ilvl w:val="0"/>
          <w:numId w:val="17"/>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affect digestive byproducts,</w:t>
      </w:r>
    </w:p>
    <w:p w14:paraId="014BFC56" w14:textId="77777777" w:rsidR="0024310F" w:rsidRPr="0024310F" w:rsidRDefault="0024310F" w:rsidP="0024310F">
      <w:pPr>
        <w:numPr>
          <w:ilvl w:val="0"/>
          <w:numId w:val="17"/>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reduce foodborne pathogens of human health significance,</w:t>
      </w:r>
    </w:p>
    <w:p w14:paraId="5B1C2856" w14:textId="77777777" w:rsidR="0024310F" w:rsidRPr="0024310F" w:rsidRDefault="0024310F" w:rsidP="0024310F">
      <w:pPr>
        <w:numPr>
          <w:ilvl w:val="0"/>
          <w:numId w:val="17"/>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or alter the GI microbiome.</w:t>
      </w:r>
    </w:p>
    <w:p w14:paraId="624454D1" w14:textId="77777777" w:rsidR="0024310F" w:rsidRPr="0024310F" w:rsidRDefault="0024310F" w:rsidP="0024310F">
      <w:p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As of January 2026, both 2025 versions are still introduced (not passed).</w:t>
      </w:r>
    </w:p>
    <w:p w14:paraId="7276B89B" w14:textId="77777777" w:rsidR="0024310F" w:rsidRPr="0024310F" w:rsidRDefault="00D737E8" w:rsidP="0024310F">
      <w:pPr>
        <w:rPr>
          <w:rFonts w:ascii="Times New Roman" w:eastAsia="Times New Roman" w:hAnsi="Times New Roman" w:cs="Times New Roman"/>
          <w:lang w:eastAsia="en-GB"/>
        </w:rPr>
      </w:pPr>
      <w:r>
        <w:rPr>
          <w:rFonts w:ascii="Times New Roman" w:eastAsia="Times New Roman" w:hAnsi="Times New Roman" w:cs="Times New Roman"/>
          <w:noProof/>
          <w:lang w:eastAsia="en-GB"/>
        </w:rPr>
        <w:pict w14:anchorId="6C129F20">
          <v:rect id="_x0000_i1040" alt="" style="width:451.3pt;height:.05pt;mso-width-percent:0;mso-height-percent:0;mso-width-percent:0;mso-height-percent:0" o:hralign="center" o:hrstd="t" o:hr="t" fillcolor="#a0a0a0" stroked="f"/>
        </w:pict>
      </w:r>
    </w:p>
    <w:p w14:paraId="4F94F49D" w14:textId="77777777" w:rsidR="0024310F" w:rsidRPr="0024310F" w:rsidRDefault="0024310F" w:rsidP="0024310F">
      <w:pPr>
        <w:spacing w:before="100" w:beforeAutospacing="1" w:after="100" w:afterAutospacing="1"/>
        <w:outlineLvl w:val="1"/>
        <w:rPr>
          <w:rFonts w:ascii="Times New Roman" w:eastAsia="Times New Roman" w:hAnsi="Times New Roman" w:cs="Times New Roman"/>
          <w:b/>
          <w:bCs/>
          <w:sz w:val="36"/>
          <w:szCs w:val="36"/>
          <w:lang w:eastAsia="en-GB"/>
        </w:rPr>
      </w:pPr>
      <w:r w:rsidRPr="0024310F">
        <w:rPr>
          <w:rFonts w:ascii="Times New Roman" w:eastAsia="Times New Roman" w:hAnsi="Times New Roman" w:cs="Times New Roman"/>
          <w:b/>
          <w:bCs/>
          <w:sz w:val="36"/>
          <w:szCs w:val="36"/>
          <w:lang w:eastAsia="en-GB"/>
        </w:rPr>
        <w:t>6. European Union: feed additive authorizations and zootechnical claims</w:t>
      </w:r>
    </w:p>
    <w:p w14:paraId="207910DD" w14:textId="77777777" w:rsidR="0024310F" w:rsidRPr="0024310F" w:rsidRDefault="0024310F" w:rsidP="0024310F">
      <w:pPr>
        <w:spacing w:before="100" w:beforeAutospacing="1" w:after="100" w:afterAutospacing="1"/>
        <w:outlineLvl w:val="2"/>
        <w:rPr>
          <w:rFonts w:ascii="Times New Roman" w:eastAsia="Times New Roman" w:hAnsi="Times New Roman" w:cs="Times New Roman"/>
          <w:b/>
          <w:bCs/>
          <w:sz w:val="27"/>
          <w:szCs w:val="27"/>
          <w:lang w:eastAsia="en-GB"/>
        </w:rPr>
      </w:pPr>
      <w:r w:rsidRPr="0024310F">
        <w:rPr>
          <w:rFonts w:ascii="Times New Roman" w:eastAsia="Times New Roman" w:hAnsi="Times New Roman" w:cs="Times New Roman"/>
          <w:b/>
          <w:bCs/>
          <w:sz w:val="27"/>
          <w:szCs w:val="27"/>
          <w:lang w:eastAsia="en-GB"/>
        </w:rPr>
        <w:t>6.1 The EU’s key advantage: an explicit feed additive authorization system</w:t>
      </w:r>
    </w:p>
    <w:p w14:paraId="5F88C25A" w14:textId="77777777" w:rsidR="0024310F" w:rsidRPr="0024310F" w:rsidRDefault="0024310F" w:rsidP="0024310F">
      <w:p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Regulation (EC) No 1831/2003 defines feed additive categories, including zootechnical additives (additives used to affect favorably performance of animals in good health or affect favorably the environment).</w:t>
      </w:r>
    </w:p>
    <w:p w14:paraId="1C94EF42" w14:textId="77777777" w:rsidR="0024310F" w:rsidRPr="0024310F" w:rsidRDefault="0024310F" w:rsidP="0024310F">
      <w:p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lastRenderedPageBreak/>
        <w:t>This is not a loophole. It is a formal system with:</w:t>
      </w:r>
    </w:p>
    <w:p w14:paraId="18AB746C" w14:textId="77777777" w:rsidR="0024310F" w:rsidRPr="0024310F" w:rsidRDefault="0024310F" w:rsidP="0024310F">
      <w:pPr>
        <w:numPr>
          <w:ilvl w:val="0"/>
          <w:numId w:val="18"/>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defined functional groups,</w:t>
      </w:r>
    </w:p>
    <w:p w14:paraId="049E049E" w14:textId="77777777" w:rsidR="0024310F" w:rsidRPr="0024310F" w:rsidRDefault="0024310F" w:rsidP="0024310F">
      <w:pPr>
        <w:numPr>
          <w:ilvl w:val="0"/>
          <w:numId w:val="18"/>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premarket evaluation and authorization,</w:t>
      </w:r>
    </w:p>
    <w:p w14:paraId="3D23C969" w14:textId="77777777" w:rsidR="0024310F" w:rsidRPr="0024310F" w:rsidRDefault="0024310F" w:rsidP="0024310F">
      <w:pPr>
        <w:numPr>
          <w:ilvl w:val="0"/>
          <w:numId w:val="18"/>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conditions of use and labeling,</w:t>
      </w:r>
    </w:p>
    <w:p w14:paraId="20F29AD6" w14:textId="77777777" w:rsidR="0024310F" w:rsidRPr="0024310F" w:rsidRDefault="0024310F" w:rsidP="0024310F">
      <w:pPr>
        <w:numPr>
          <w:ilvl w:val="0"/>
          <w:numId w:val="18"/>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and, in some cases, post-market monitoring requirements.</w:t>
      </w:r>
    </w:p>
    <w:p w14:paraId="162AC77B" w14:textId="77777777" w:rsidR="0024310F" w:rsidRPr="0024310F" w:rsidRDefault="0024310F" w:rsidP="0024310F">
      <w:pPr>
        <w:spacing w:before="100" w:beforeAutospacing="1" w:after="100" w:afterAutospacing="1"/>
        <w:outlineLvl w:val="2"/>
        <w:rPr>
          <w:rFonts w:ascii="Times New Roman" w:eastAsia="Times New Roman" w:hAnsi="Times New Roman" w:cs="Times New Roman"/>
          <w:b/>
          <w:bCs/>
          <w:sz w:val="27"/>
          <w:szCs w:val="27"/>
          <w:lang w:eastAsia="en-GB"/>
        </w:rPr>
      </w:pPr>
      <w:r w:rsidRPr="0024310F">
        <w:rPr>
          <w:rFonts w:ascii="Times New Roman" w:eastAsia="Times New Roman" w:hAnsi="Times New Roman" w:cs="Times New Roman"/>
          <w:b/>
          <w:bCs/>
          <w:sz w:val="27"/>
          <w:szCs w:val="27"/>
          <w:lang w:eastAsia="en-GB"/>
        </w:rPr>
        <w:t>6.2 Example: methane reduction as a zootechnical environmental claim (3-NOP)</w:t>
      </w:r>
    </w:p>
    <w:p w14:paraId="023374F5" w14:textId="77777777" w:rsidR="0024310F" w:rsidRPr="0024310F" w:rsidRDefault="0024310F" w:rsidP="0024310F">
      <w:p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Commission Implementing Regulation (EU) 2022/565 authorizes 3-nitrooxypropanol as a feed additive for dairy cows and cows for reproduction, classified as:</w:t>
      </w:r>
    </w:p>
    <w:p w14:paraId="0B1A821F" w14:textId="77777777" w:rsidR="0024310F" w:rsidRPr="0024310F" w:rsidRDefault="0024310F" w:rsidP="0024310F">
      <w:pPr>
        <w:numPr>
          <w:ilvl w:val="0"/>
          <w:numId w:val="19"/>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category: zootechnical additives</w:t>
      </w:r>
    </w:p>
    <w:p w14:paraId="12FE8BB3" w14:textId="77777777" w:rsidR="0024310F" w:rsidRPr="0024310F" w:rsidRDefault="0024310F" w:rsidP="0024310F">
      <w:pPr>
        <w:numPr>
          <w:ilvl w:val="0"/>
          <w:numId w:val="19"/>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functional group: substances which favorably affect the environment</w:t>
      </w:r>
      <w:r w:rsidRPr="0024310F">
        <w:rPr>
          <w:rFonts w:ascii="Times New Roman" w:eastAsia="Times New Roman" w:hAnsi="Times New Roman" w:cs="Times New Roman"/>
          <w:lang w:eastAsia="en-GB"/>
        </w:rPr>
        <w:br/>
        <w:t>and recognizes the potential to reduce enteric methane production.</w:t>
      </w:r>
    </w:p>
    <w:p w14:paraId="4A42117B" w14:textId="77777777" w:rsidR="0024310F" w:rsidRPr="0024310F" w:rsidRDefault="00D737E8" w:rsidP="0024310F">
      <w:pPr>
        <w:rPr>
          <w:rFonts w:ascii="Times New Roman" w:eastAsia="Times New Roman" w:hAnsi="Times New Roman" w:cs="Times New Roman"/>
          <w:lang w:eastAsia="en-GB"/>
        </w:rPr>
      </w:pPr>
      <w:r>
        <w:rPr>
          <w:rFonts w:ascii="Times New Roman" w:eastAsia="Times New Roman" w:hAnsi="Times New Roman" w:cs="Times New Roman"/>
          <w:noProof/>
          <w:lang w:eastAsia="en-GB"/>
        </w:rPr>
        <w:pict w14:anchorId="5F349C43">
          <v:rect id="_x0000_i1039" alt="" style="width:451.3pt;height:.05pt;mso-width-percent:0;mso-height-percent:0;mso-width-percent:0;mso-height-percent:0" o:hralign="center" o:hrstd="t" o:hr="t" fillcolor="#a0a0a0" stroked="f"/>
        </w:pict>
      </w:r>
    </w:p>
    <w:p w14:paraId="63A586DE" w14:textId="77777777" w:rsidR="0024310F" w:rsidRPr="0024310F" w:rsidRDefault="0024310F" w:rsidP="0024310F">
      <w:pPr>
        <w:spacing w:before="100" w:beforeAutospacing="1" w:after="100" w:afterAutospacing="1"/>
        <w:outlineLvl w:val="1"/>
        <w:rPr>
          <w:rFonts w:ascii="Times New Roman" w:eastAsia="Times New Roman" w:hAnsi="Times New Roman" w:cs="Times New Roman"/>
          <w:b/>
          <w:bCs/>
          <w:sz w:val="36"/>
          <w:szCs w:val="36"/>
          <w:lang w:eastAsia="en-GB"/>
        </w:rPr>
      </w:pPr>
      <w:r w:rsidRPr="0024310F">
        <w:rPr>
          <w:rFonts w:ascii="Times New Roman" w:eastAsia="Times New Roman" w:hAnsi="Times New Roman" w:cs="Times New Roman"/>
          <w:b/>
          <w:bCs/>
          <w:sz w:val="36"/>
          <w:szCs w:val="36"/>
          <w:lang w:eastAsia="en-GB"/>
        </w:rPr>
        <w:t>7. UK, Canada, and other major markets: practical notes</w:t>
      </w:r>
    </w:p>
    <w:p w14:paraId="6033D973" w14:textId="77777777" w:rsidR="0024310F" w:rsidRPr="0024310F" w:rsidRDefault="0024310F" w:rsidP="0024310F">
      <w:pPr>
        <w:spacing w:before="100" w:beforeAutospacing="1" w:after="100" w:afterAutospacing="1"/>
        <w:outlineLvl w:val="2"/>
        <w:rPr>
          <w:rFonts w:ascii="Times New Roman" w:eastAsia="Times New Roman" w:hAnsi="Times New Roman" w:cs="Times New Roman"/>
          <w:b/>
          <w:bCs/>
          <w:sz w:val="27"/>
          <w:szCs w:val="27"/>
          <w:lang w:eastAsia="en-GB"/>
        </w:rPr>
      </w:pPr>
      <w:r w:rsidRPr="0024310F">
        <w:rPr>
          <w:rFonts w:ascii="Times New Roman" w:eastAsia="Times New Roman" w:hAnsi="Times New Roman" w:cs="Times New Roman"/>
          <w:b/>
          <w:bCs/>
          <w:sz w:val="27"/>
          <w:szCs w:val="27"/>
          <w:lang w:eastAsia="en-GB"/>
        </w:rPr>
        <w:t>UK</w:t>
      </w:r>
    </w:p>
    <w:p w14:paraId="4029F2B5" w14:textId="77777777" w:rsidR="0024310F" w:rsidRPr="0024310F" w:rsidRDefault="0024310F" w:rsidP="0024310F">
      <w:p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The UK often mirrors EU-style frameworks for feed additive authorization concepts and has publicly addressed Bovaer approvals and misinformation dynamics.</w:t>
      </w:r>
    </w:p>
    <w:p w14:paraId="2450F31B" w14:textId="77777777" w:rsidR="0024310F" w:rsidRPr="0024310F" w:rsidRDefault="0024310F" w:rsidP="0024310F">
      <w:pPr>
        <w:spacing w:before="100" w:beforeAutospacing="1" w:after="100" w:afterAutospacing="1"/>
        <w:outlineLvl w:val="2"/>
        <w:rPr>
          <w:rFonts w:ascii="Times New Roman" w:eastAsia="Times New Roman" w:hAnsi="Times New Roman" w:cs="Times New Roman"/>
          <w:b/>
          <w:bCs/>
          <w:sz w:val="27"/>
          <w:szCs w:val="27"/>
          <w:lang w:eastAsia="en-GB"/>
        </w:rPr>
      </w:pPr>
      <w:r w:rsidRPr="0024310F">
        <w:rPr>
          <w:rFonts w:ascii="Times New Roman" w:eastAsia="Times New Roman" w:hAnsi="Times New Roman" w:cs="Times New Roman"/>
          <w:b/>
          <w:bCs/>
          <w:sz w:val="27"/>
          <w:szCs w:val="27"/>
          <w:lang w:eastAsia="en-GB"/>
        </w:rPr>
        <w:t>Canada</w:t>
      </w:r>
    </w:p>
    <w:p w14:paraId="508B151F" w14:textId="77777777" w:rsidR="0024310F" w:rsidRPr="0024310F" w:rsidRDefault="0024310F" w:rsidP="0024310F">
      <w:p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Public UK materials note Bovaer authorization in Canada (January 2024) and in the US (May 2024). Use this as a signal to verify the exact Canadian pathway for your product class early in planning.</w:t>
      </w:r>
    </w:p>
    <w:p w14:paraId="02B61697" w14:textId="77777777" w:rsidR="0024310F" w:rsidRPr="0024310F" w:rsidRDefault="0024310F" w:rsidP="0024310F">
      <w:pPr>
        <w:spacing w:before="100" w:beforeAutospacing="1" w:after="100" w:afterAutospacing="1"/>
        <w:outlineLvl w:val="2"/>
        <w:rPr>
          <w:rFonts w:ascii="Times New Roman" w:eastAsia="Times New Roman" w:hAnsi="Times New Roman" w:cs="Times New Roman"/>
          <w:b/>
          <w:bCs/>
          <w:sz w:val="27"/>
          <w:szCs w:val="27"/>
          <w:lang w:eastAsia="en-GB"/>
        </w:rPr>
      </w:pPr>
      <w:r w:rsidRPr="0024310F">
        <w:rPr>
          <w:rFonts w:ascii="Times New Roman" w:eastAsia="Times New Roman" w:hAnsi="Times New Roman" w:cs="Times New Roman"/>
          <w:b/>
          <w:bCs/>
          <w:sz w:val="27"/>
          <w:szCs w:val="27"/>
          <w:lang w:eastAsia="en-GB"/>
        </w:rPr>
        <w:t>Practical point for multi-market launches</w:t>
      </w:r>
    </w:p>
    <w:p w14:paraId="1E8D478B" w14:textId="77777777" w:rsidR="0024310F" w:rsidRPr="0024310F" w:rsidRDefault="0024310F" w:rsidP="0024310F">
      <w:p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Do not assume you can “port” a US claims set into the EU or vice versa. The EU often allows explicit zootechnical claims under authorization, while the US historically forced similar claims toward drug classification (and is now evolving policy).</w:t>
      </w:r>
    </w:p>
    <w:p w14:paraId="2CFE6B2D" w14:textId="77777777" w:rsidR="0024310F" w:rsidRPr="0024310F" w:rsidRDefault="00D737E8" w:rsidP="0024310F">
      <w:pPr>
        <w:rPr>
          <w:rFonts w:ascii="Times New Roman" w:eastAsia="Times New Roman" w:hAnsi="Times New Roman" w:cs="Times New Roman"/>
          <w:lang w:eastAsia="en-GB"/>
        </w:rPr>
      </w:pPr>
      <w:r>
        <w:rPr>
          <w:rFonts w:ascii="Times New Roman" w:eastAsia="Times New Roman" w:hAnsi="Times New Roman" w:cs="Times New Roman"/>
          <w:noProof/>
          <w:lang w:eastAsia="en-GB"/>
        </w:rPr>
        <w:pict w14:anchorId="1390D3D8">
          <v:rect id="_x0000_i1038" alt="" style="width:451.3pt;height:.05pt;mso-width-percent:0;mso-height-percent:0;mso-width-percent:0;mso-height-percent:0" o:hralign="center" o:hrstd="t" o:hr="t" fillcolor="#a0a0a0" stroked="f"/>
        </w:pict>
      </w:r>
    </w:p>
    <w:p w14:paraId="3762795C" w14:textId="77777777" w:rsidR="0024310F" w:rsidRPr="0024310F" w:rsidRDefault="0024310F" w:rsidP="0024310F">
      <w:pPr>
        <w:spacing w:before="100" w:beforeAutospacing="1" w:after="100" w:afterAutospacing="1"/>
        <w:outlineLvl w:val="1"/>
        <w:rPr>
          <w:rFonts w:ascii="Times New Roman" w:eastAsia="Times New Roman" w:hAnsi="Times New Roman" w:cs="Times New Roman"/>
          <w:b/>
          <w:bCs/>
          <w:sz w:val="36"/>
          <w:szCs w:val="36"/>
          <w:lang w:eastAsia="en-GB"/>
        </w:rPr>
      </w:pPr>
      <w:r w:rsidRPr="0024310F">
        <w:rPr>
          <w:rFonts w:ascii="Times New Roman" w:eastAsia="Times New Roman" w:hAnsi="Times New Roman" w:cs="Times New Roman"/>
          <w:b/>
          <w:bCs/>
          <w:sz w:val="36"/>
          <w:szCs w:val="36"/>
          <w:lang w:eastAsia="en-GB"/>
        </w:rPr>
        <w:t>8. Case study 1: Multimin 90 and what it proves</w:t>
      </w:r>
    </w:p>
    <w:p w14:paraId="57D69A5C" w14:textId="77777777" w:rsidR="0024310F" w:rsidRPr="0024310F" w:rsidRDefault="0024310F" w:rsidP="0024310F">
      <w:pPr>
        <w:spacing w:before="100" w:beforeAutospacing="1" w:after="100" w:afterAutospacing="1"/>
        <w:outlineLvl w:val="2"/>
        <w:rPr>
          <w:rFonts w:ascii="Times New Roman" w:eastAsia="Times New Roman" w:hAnsi="Times New Roman" w:cs="Times New Roman"/>
          <w:b/>
          <w:bCs/>
          <w:sz w:val="27"/>
          <w:szCs w:val="27"/>
          <w:lang w:eastAsia="en-GB"/>
        </w:rPr>
      </w:pPr>
      <w:r w:rsidRPr="0024310F">
        <w:rPr>
          <w:rFonts w:ascii="Times New Roman" w:eastAsia="Times New Roman" w:hAnsi="Times New Roman" w:cs="Times New Roman"/>
          <w:b/>
          <w:bCs/>
          <w:sz w:val="27"/>
          <w:szCs w:val="27"/>
          <w:lang w:eastAsia="en-GB"/>
        </w:rPr>
        <w:t>8.1 What Multimin 90 is (regulatory facts)</w:t>
      </w:r>
    </w:p>
    <w:p w14:paraId="5EEC9064" w14:textId="77777777" w:rsidR="0024310F" w:rsidRPr="0024310F" w:rsidRDefault="0024310F" w:rsidP="0024310F">
      <w:p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FDA approval details (primary sources):</w:t>
      </w:r>
    </w:p>
    <w:p w14:paraId="346C256B" w14:textId="77777777" w:rsidR="0024310F" w:rsidRPr="0024310F" w:rsidRDefault="0024310F" w:rsidP="0024310F">
      <w:pPr>
        <w:numPr>
          <w:ilvl w:val="0"/>
          <w:numId w:val="20"/>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NADA 141-582, approval date April 26, 2024, Rx status.</w:t>
      </w:r>
    </w:p>
    <w:p w14:paraId="33E45296" w14:textId="77777777" w:rsidR="0024310F" w:rsidRPr="0024310F" w:rsidRDefault="0024310F" w:rsidP="0024310F">
      <w:pPr>
        <w:numPr>
          <w:ilvl w:val="0"/>
          <w:numId w:val="20"/>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lastRenderedPageBreak/>
        <w:t>Indication: “To provide a supplemental source of zinc, copper, manganese, and selenium in cattle.”</w:t>
      </w:r>
    </w:p>
    <w:p w14:paraId="594120BA" w14:textId="77777777" w:rsidR="0024310F" w:rsidRPr="0024310F" w:rsidRDefault="0024310F" w:rsidP="0024310F">
      <w:pPr>
        <w:numPr>
          <w:ilvl w:val="0"/>
          <w:numId w:val="20"/>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Key restrictions include: not for use in pregnant cows/heifers during first trimester, and restrictions in young calves (safety not established).</w:t>
      </w:r>
    </w:p>
    <w:p w14:paraId="3291706A" w14:textId="77777777" w:rsidR="0024310F" w:rsidRPr="0024310F" w:rsidRDefault="0024310F" w:rsidP="0024310F">
      <w:pPr>
        <w:numPr>
          <w:ilvl w:val="0"/>
          <w:numId w:val="20"/>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FDA FOI summary describes safety, effectiveness rationale, and human food safety evaluation, including a withdrawal period of 14 days and milk discard time of 0 days.</w:t>
      </w:r>
    </w:p>
    <w:p w14:paraId="10925B1E" w14:textId="77777777" w:rsidR="0024310F" w:rsidRPr="0024310F" w:rsidRDefault="0024310F" w:rsidP="0024310F">
      <w:pPr>
        <w:numPr>
          <w:ilvl w:val="0"/>
          <w:numId w:val="20"/>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Green Book update lists exclusivity (5 years) and patents with listed expirations in 2029.</w:t>
      </w:r>
    </w:p>
    <w:p w14:paraId="59BE41BF" w14:textId="77777777" w:rsidR="0024310F" w:rsidRPr="0024310F" w:rsidRDefault="0024310F" w:rsidP="0024310F">
      <w:p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Axiota’s public communication frames the business transition: moving a historically marketed product through the FDA drug approval process and emphasizing the completion of transition to FDA-approved labeling.</w:t>
      </w:r>
    </w:p>
    <w:p w14:paraId="72ED30E6" w14:textId="77777777" w:rsidR="0024310F" w:rsidRPr="0024310F" w:rsidRDefault="0024310F" w:rsidP="0024310F">
      <w:pPr>
        <w:spacing w:before="100" w:beforeAutospacing="1" w:after="100" w:afterAutospacing="1"/>
        <w:outlineLvl w:val="2"/>
        <w:rPr>
          <w:rFonts w:ascii="Times New Roman" w:eastAsia="Times New Roman" w:hAnsi="Times New Roman" w:cs="Times New Roman"/>
          <w:b/>
          <w:bCs/>
          <w:sz w:val="27"/>
          <w:szCs w:val="27"/>
          <w:lang w:eastAsia="en-GB"/>
        </w:rPr>
      </w:pPr>
      <w:r w:rsidRPr="0024310F">
        <w:rPr>
          <w:rFonts w:ascii="Times New Roman" w:eastAsia="Times New Roman" w:hAnsi="Times New Roman" w:cs="Times New Roman"/>
          <w:b/>
          <w:bCs/>
          <w:sz w:val="27"/>
          <w:szCs w:val="27"/>
          <w:lang w:eastAsia="en-GB"/>
        </w:rPr>
        <w:t>8.2 What this case study means for “pharmaceuticalization”</w:t>
      </w:r>
    </w:p>
    <w:p w14:paraId="1079D2B5" w14:textId="77777777" w:rsidR="0024310F" w:rsidRPr="0024310F" w:rsidRDefault="0024310F" w:rsidP="0024310F">
      <w:p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Multimin 90 demonstrates a path where:</w:t>
      </w:r>
    </w:p>
    <w:p w14:paraId="2C95137E" w14:textId="77777777" w:rsidR="0024310F" w:rsidRPr="0024310F" w:rsidRDefault="0024310F" w:rsidP="0024310F">
      <w:pPr>
        <w:numPr>
          <w:ilvl w:val="0"/>
          <w:numId w:val="21"/>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a nutrition-adjacent product category can be commercialized with drug-like regulatory rigor,</w:t>
      </w:r>
    </w:p>
    <w:p w14:paraId="6E1982EA" w14:textId="77777777" w:rsidR="0024310F" w:rsidRPr="0024310F" w:rsidRDefault="0024310F" w:rsidP="0024310F">
      <w:pPr>
        <w:numPr>
          <w:ilvl w:val="0"/>
          <w:numId w:val="21"/>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enabling a clearer compliance posture and a differentiated market position (Rx distribution, defined indication, stronger quality expectations).</w:t>
      </w:r>
    </w:p>
    <w:p w14:paraId="63C04969" w14:textId="77777777" w:rsidR="0024310F" w:rsidRPr="0024310F" w:rsidRDefault="0024310F" w:rsidP="0024310F">
      <w:pPr>
        <w:spacing w:before="100" w:beforeAutospacing="1" w:after="100" w:afterAutospacing="1"/>
        <w:outlineLvl w:val="2"/>
        <w:rPr>
          <w:rFonts w:ascii="Times New Roman" w:eastAsia="Times New Roman" w:hAnsi="Times New Roman" w:cs="Times New Roman"/>
          <w:b/>
          <w:bCs/>
          <w:sz w:val="27"/>
          <w:szCs w:val="27"/>
          <w:lang w:eastAsia="en-GB"/>
        </w:rPr>
      </w:pPr>
      <w:r w:rsidRPr="0024310F">
        <w:rPr>
          <w:rFonts w:ascii="Times New Roman" w:eastAsia="Times New Roman" w:hAnsi="Times New Roman" w:cs="Times New Roman"/>
          <w:b/>
          <w:bCs/>
          <w:sz w:val="27"/>
          <w:szCs w:val="27"/>
          <w:lang w:eastAsia="en-GB"/>
        </w:rPr>
        <w:t>8.3 What it does not mean (critical corrections)</w:t>
      </w:r>
    </w:p>
    <w:p w14:paraId="62CD2B77" w14:textId="77777777" w:rsidR="0024310F" w:rsidRPr="0024310F" w:rsidRDefault="0024310F" w:rsidP="0024310F">
      <w:pPr>
        <w:numPr>
          <w:ilvl w:val="0"/>
          <w:numId w:val="22"/>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The approved indication is a supplemental source of trace minerals. It is not a blanket approval for broad wellness or disease-adjacent claims (immune optimization, reproductive efficiency) unless those claims are supported, appropriately framed, and compliant with applicable promotional rules.</w:t>
      </w:r>
    </w:p>
    <w:p w14:paraId="74096AC4" w14:textId="77777777" w:rsidR="0024310F" w:rsidRPr="0024310F" w:rsidRDefault="0024310F" w:rsidP="0024310F">
      <w:pPr>
        <w:spacing w:before="100" w:beforeAutospacing="1" w:after="100" w:afterAutospacing="1"/>
        <w:outlineLvl w:val="2"/>
        <w:rPr>
          <w:rFonts w:ascii="Times New Roman" w:eastAsia="Times New Roman" w:hAnsi="Times New Roman" w:cs="Times New Roman"/>
          <w:b/>
          <w:bCs/>
          <w:sz w:val="27"/>
          <w:szCs w:val="27"/>
          <w:lang w:eastAsia="en-GB"/>
        </w:rPr>
      </w:pPr>
      <w:r w:rsidRPr="0024310F">
        <w:rPr>
          <w:rFonts w:ascii="Times New Roman" w:eastAsia="Times New Roman" w:hAnsi="Times New Roman" w:cs="Times New Roman"/>
          <w:b/>
          <w:bCs/>
          <w:sz w:val="27"/>
          <w:szCs w:val="27"/>
          <w:lang w:eastAsia="en-GB"/>
        </w:rPr>
        <w:t>8.4 Investor-grade lessons from Multimin 90</w:t>
      </w:r>
    </w:p>
    <w:p w14:paraId="2851C8AE" w14:textId="77777777" w:rsidR="0024310F" w:rsidRPr="0024310F" w:rsidRDefault="0024310F" w:rsidP="0024310F">
      <w:pPr>
        <w:numPr>
          <w:ilvl w:val="0"/>
          <w:numId w:val="23"/>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b/>
          <w:bCs/>
          <w:lang w:eastAsia="en-GB"/>
        </w:rPr>
        <w:t>Regulatory work can convert “trust” into enforceable differentiation</w:t>
      </w:r>
      <w:r w:rsidRPr="0024310F">
        <w:rPr>
          <w:rFonts w:ascii="Times New Roman" w:eastAsia="Times New Roman" w:hAnsi="Times New Roman" w:cs="Times New Roman"/>
          <w:lang w:eastAsia="en-GB"/>
        </w:rPr>
        <w:br/>
        <w:t>Approval anchors what can be said and how it is distributed.</w:t>
      </w:r>
    </w:p>
    <w:p w14:paraId="648C8F34" w14:textId="77777777" w:rsidR="0024310F" w:rsidRPr="0024310F" w:rsidRDefault="0024310F" w:rsidP="0024310F">
      <w:pPr>
        <w:numPr>
          <w:ilvl w:val="0"/>
          <w:numId w:val="23"/>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b/>
          <w:bCs/>
          <w:lang w:eastAsia="en-GB"/>
        </w:rPr>
        <w:t>Quality systems become part of the moat</w:t>
      </w:r>
      <w:r w:rsidRPr="0024310F">
        <w:rPr>
          <w:rFonts w:ascii="Times New Roman" w:eastAsia="Times New Roman" w:hAnsi="Times New Roman" w:cs="Times New Roman"/>
          <w:lang w:eastAsia="en-GB"/>
        </w:rPr>
        <w:br/>
        <w:t>FOI summaries often highlight safety, residue work, and manufacturing controls that commodity products lack.</w:t>
      </w:r>
    </w:p>
    <w:p w14:paraId="7F5EAF7A" w14:textId="77777777" w:rsidR="0024310F" w:rsidRPr="0024310F" w:rsidRDefault="0024310F" w:rsidP="0024310F">
      <w:pPr>
        <w:numPr>
          <w:ilvl w:val="0"/>
          <w:numId w:val="23"/>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b/>
          <w:bCs/>
          <w:lang w:eastAsia="en-GB"/>
        </w:rPr>
        <w:t>Labeling restrictions matter commercially</w:t>
      </w:r>
      <w:r w:rsidRPr="0024310F">
        <w:rPr>
          <w:rFonts w:ascii="Times New Roman" w:eastAsia="Times New Roman" w:hAnsi="Times New Roman" w:cs="Times New Roman"/>
          <w:lang w:eastAsia="en-GB"/>
        </w:rPr>
        <w:br/>
        <w:t>Restrictions and withdrawal times change adoption patterns and channel strategies.</w:t>
      </w:r>
    </w:p>
    <w:p w14:paraId="6E7EE99B" w14:textId="77777777" w:rsidR="0024310F" w:rsidRPr="0024310F" w:rsidRDefault="00D737E8" w:rsidP="0024310F">
      <w:pPr>
        <w:rPr>
          <w:rFonts w:ascii="Times New Roman" w:eastAsia="Times New Roman" w:hAnsi="Times New Roman" w:cs="Times New Roman"/>
          <w:lang w:eastAsia="en-GB"/>
        </w:rPr>
      </w:pPr>
      <w:r>
        <w:rPr>
          <w:rFonts w:ascii="Times New Roman" w:eastAsia="Times New Roman" w:hAnsi="Times New Roman" w:cs="Times New Roman"/>
          <w:noProof/>
          <w:lang w:eastAsia="en-GB"/>
        </w:rPr>
        <w:pict w14:anchorId="78CF8EAC">
          <v:rect id="_x0000_i1037" alt="" style="width:451.3pt;height:.05pt;mso-width-percent:0;mso-height-percent:0;mso-width-percent:0;mso-height-percent:0" o:hralign="center" o:hrstd="t" o:hr="t" fillcolor="#a0a0a0" stroked="f"/>
        </w:pict>
      </w:r>
    </w:p>
    <w:p w14:paraId="15D4DD1E" w14:textId="77777777" w:rsidR="0024310F" w:rsidRPr="0024310F" w:rsidRDefault="0024310F" w:rsidP="0024310F">
      <w:pPr>
        <w:spacing w:before="100" w:beforeAutospacing="1" w:after="100" w:afterAutospacing="1"/>
        <w:outlineLvl w:val="1"/>
        <w:rPr>
          <w:rFonts w:ascii="Times New Roman" w:eastAsia="Times New Roman" w:hAnsi="Times New Roman" w:cs="Times New Roman"/>
          <w:b/>
          <w:bCs/>
          <w:sz w:val="36"/>
          <w:szCs w:val="36"/>
          <w:lang w:eastAsia="en-GB"/>
        </w:rPr>
      </w:pPr>
      <w:r w:rsidRPr="0024310F">
        <w:rPr>
          <w:rFonts w:ascii="Times New Roman" w:eastAsia="Times New Roman" w:hAnsi="Times New Roman" w:cs="Times New Roman"/>
          <w:b/>
          <w:bCs/>
          <w:sz w:val="36"/>
          <w:szCs w:val="36"/>
          <w:lang w:eastAsia="en-GB"/>
        </w:rPr>
        <w:t>9. Case study 2: environmental claims as the catalyst (Experior and Bovaer)</w:t>
      </w:r>
    </w:p>
    <w:p w14:paraId="22337A7A" w14:textId="77777777" w:rsidR="0024310F" w:rsidRPr="0024310F" w:rsidRDefault="0024310F" w:rsidP="0024310F">
      <w:pPr>
        <w:spacing w:before="100" w:beforeAutospacing="1" w:after="100" w:afterAutospacing="1"/>
        <w:outlineLvl w:val="2"/>
        <w:rPr>
          <w:rFonts w:ascii="Times New Roman" w:eastAsia="Times New Roman" w:hAnsi="Times New Roman" w:cs="Times New Roman"/>
          <w:b/>
          <w:bCs/>
          <w:sz w:val="27"/>
          <w:szCs w:val="27"/>
          <w:lang w:eastAsia="en-GB"/>
        </w:rPr>
      </w:pPr>
      <w:r w:rsidRPr="0024310F">
        <w:rPr>
          <w:rFonts w:ascii="Times New Roman" w:eastAsia="Times New Roman" w:hAnsi="Times New Roman" w:cs="Times New Roman"/>
          <w:b/>
          <w:bCs/>
          <w:sz w:val="27"/>
          <w:szCs w:val="27"/>
          <w:lang w:eastAsia="en-GB"/>
        </w:rPr>
        <w:t>9.1 Experior (lubabegron): FDA-approved drug claim tied to ammonia emissions</w:t>
      </w:r>
    </w:p>
    <w:p w14:paraId="2BEE651A" w14:textId="77777777" w:rsidR="0024310F" w:rsidRPr="0024310F" w:rsidRDefault="0024310F" w:rsidP="0024310F">
      <w:p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lastRenderedPageBreak/>
        <w:t>DailyMed labeling lists an indication for reduction of ammonia gas emissions per pound of live weight and hot carcass weight in beef steers and heifers during the last 14 to 91 days on feed, and notes effectiveness not demonstrated for less than 14 days.</w:t>
      </w:r>
    </w:p>
    <w:p w14:paraId="73A9548F" w14:textId="77777777" w:rsidR="0024310F" w:rsidRPr="0024310F" w:rsidRDefault="0024310F" w:rsidP="0024310F">
      <w:p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This illustrates a key point:</w:t>
      </w:r>
    </w:p>
    <w:p w14:paraId="421DE20B" w14:textId="77777777" w:rsidR="0024310F" w:rsidRPr="0024310F" w:rsidRDefault="0024310F" w:rsidP="0024310F">
      <w:pPr>
        <w:numPr>
          <w:ilvl w:val="0"/>
          <w:numId w:val="24"/>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environmental claims can be regulated with drug-like rigor when the claim is specific and measurable.</w:t>
      </w:r>
    </w:p>
    <w:p w14:paraId="0F758FA6" w14:textId="77777777" w:rsidR="0024310F" w:rsidRPr="0024310F" w:rsidRDefault="0024310F" w:rsidP="0024310F">
      <w:pPr>
        <w:spacing w:before="100" w:beforeAutospacing="1" w:after="100" w:afterAutospacing="1"/>
        <w:outlineLvl w:val="2"/>
        <w:rPr>
          <w:rFonts w:ascii="Times New Roman" w:eastAsia="Times New Roman" w:hAnsi="Times New Roman" w:cs="Times New Roman"/>
          <w:b/>
          <w:bCs/>
          <w:sz w:val="27"/>
          <w:szCs w:val="27"/>
          <w:lang w:eastAsia="en-GB"/>
        </w:rPr>
      </w:pPr>
      <w:r w:rsidRPr="0024310F">
        <w:rPr>
          <w:rFonts w:ascii="Times New Roman" w:eastAsia="Times New Roman" w:hAnsi="Times New Roman" w:cs="Times New Roman"/>
          <w:b/>
          <w:bCs/>
          <w:sz w:val="27"/>
          <w:szCs w:val="27"/>
          <w:lang w:eastAsia="en-GB"/>
        </w:rPr>
        <w:t>9.2 Bovaer (3-NOP): methane reduction with regulatory approvals</w:t>
      </w:r>
    </w:p>
    <w:p w14:paraId="2C148A01" w14:textId="77777777" w:rsidR="0024310F" w:rsidRPr="0024310F" w:rsidRDefault="0024310F" w:rsidP="0024310F">
      <w:pPr>
        <w:numPr>
          <w:ilvl w:val="0"/>
          <w:numId w:val="25"/>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EU: authorized via Commission Implementing Regulation (EU) 2022/565 as a zootechnical additive (environment functional group), with EFSA-based conclusions referenced in the regulation.</w:t>
      </w:r>
    </w:p>
    <w:p w14:paraId="2AFF12C5" w14:textId="77777777" w:rsidR="0024310F" w:rsidRPr="0024310F" w:rsidRDefault="0024310F" w:rsidP="0024310F">
      <w:pPr>
        <w:numPr>
          <w:ilvl w:val="0"/>
          <w:numId w:val="25"/>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US: Reuters reported FDA approval for Elanco’s Bovaer as a feed ingredient to reduce methane emissions in lactating dairy cows (May 2024).</w:t>
      </w:r>
    </w:p>
    <w:p w14:paraId="167FD135" w14:textId="77777777" w:rsidR="0024310F" w:rsidRPr="0024310F" w:rsidRDefault="0024310F" w:rsidP="0024310F">
      <w:pPr>
        <w:numPr>
          <w:ilvl w:val="0"/>
          <w:numId w:val="25"/>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DSM-firmenich stated FDA completed its review and determined safety and efficacy requirements were met for lactating dairy cattle, paving the way for market launch with partner Elanco.</w:t>
      </w:r>
    </w:p>
    <w:p w14:paraId="4089963A" w14:textId="77777777" w:rsidR="0024310F" w:rsidRPr="0024310F" w:rsidRDefault="0024310F" w:rsidP="0024310F">
      <w:pPr>
        <w:spacing w:before="100" w:beforeAutospacing="1" w:after="100" w:afterAutospacing="1"/>
        <w:outlineLvl w:val="2"/>
        <w:rPr>
          <w:rFonts w:ascii="Times New Roman" w:eastAsia="Times New Roman" w:hAnsi="Times New Roman" w:cs="Times New Roman"/>
          <w:b/>
          <w:bCs/>
          <w:sz w:val="27"/>
          <w:szCs w:val="27"/>
          <w:lang w:eastAsia="en-GB"/>
        </w:rPr>
      </w:pPr>
      <w:r w:rsidRPr="0024310F">
        <w:rPr>
          <w:rFonts w:ascii="Times New Roman" w:eastAsia="Times New Roman" w:hAnsi="Times New Roman" w:cs="Times New Roman"/>
          <w:b/>
          <w:bCs/>
          <w:sz w:val="27"/>
          <w:szCs w:val="27"/>
          <w:lang w:eastAsia="en-GB"/>
        </w:rPr>
        <w:t>9.3 What this means for 2025 to 2030</w:t>
      </w:r>
    </w:p>
    <w:p w14:paraId="7954FCD8" w14:textId="77777777" w:rsidR="0024310F" w:rsidRPr="0024310F" w:rsidRDefault="0024310F" w:rsidP="0024310F">
      <w:p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Environmental outcomes are a new “authorization wedge”:</w:t>
      </w:r>
    </w:p>
    <w:p w14:paraId="4C74D923" w14:textId="77777777" w:rsidR="0024310F" w:rsidRPr="0024310F" w:rsidRDefault="0024310F" w:rsidP="0024310F">
      <w:pPr>
        <w:numPr>
          <w:ilvl w:val="0"/>
          <w:numId w:val="26"/>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They create measurable endpoints regulators can evaluate.</w:t>
      </w:r>
    </w:p>
    <w:p w14:paraId="39BAF87E" w14:textId="77777777" w:rsidR="0024310F" w:rsidRPr="0024310F" w:rsidRDefault="0024310F" w:rsidP="0024310F">
      <w:pPr>
        <w:numPr>
          <w:ilvl w:val="0"/>
          <w:numId w:val="26"/>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They create monetization paths (procurement, carbon programs, sustainability reporting).</w:t>
      </w:r>
    </w:p>
    <w:p w14:paraId="54DBDF60" w14:textId="77777777" w:rsidR="0024310F" w:rsidRPr="0024310F" w:rsidRDefault="0024310F" w:rsidP="0024310F">
      <w:pPr>
        <w:numPr>
          <w:ilvl w:val="0"/>
          <w:numId w:val="26"/>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They raise the bar for evidence and post-market defensibility.</w:t>
      </w:r>
    </w:p>
    <w:p w14:paraId="12154B68" w14:textId="77777777" w:rsidR="0024310F" w:rsidRPr="0024310F" w:rsidRDefault="00D737E8" w:rsidP="0024310F">
      <w:pPr>
        <w:rPr>
          <w:rFonts w:ascii="Times New Roman" w:eastAsia="Times New Roman" w:hAnsi="Times New Roman" w:cs="Times New Roman"/>
          <w:lang w:eastAsia="en-GB"/>
        </w:rPr>
      </w:pPr>
      <w:r>
        <w:rPr>
          <w:rFonts w:ascii="Times New Roman" w:eastAsia="Times New Roman" w:hAnsi="Times New Roman" w:cs="Times New Roman"/>
          <w:noProof/>
          <w:lang w:eastAsia="en-GB"/>
        </w:rPr>
        <w:pict w14:anchorId="3DB056F5">
          <v:rect id="_x0000_i1036" alt="" style="width:451.3pt;height:.05pt;mso-width-percent:0;mso-height-percent:0;mso-width-percent:0;mso-height-percent:0" o:hralign="center" o:hrstd="t" o:hr="t" fillcolor="#a0a0a0" stroked="f"/>
        </w:pict>
      </w:r>
    </w:p>
    <w:p w14:paraId="55FA8CFA" w14:textId="77777777" w:rsidR="0024310F" w:rsidRPr="0024310F" w:rsidRDefault="0024310F" w:rsidP="0024310F">
      <w:pPr>
        <w:spacing w:before="100" w:beforeAutospacing="1" w:after="100" w:afterAutospacing="1"/>
        <w:outlineLvl w:val="1"/>
        <w:rPr>
          <w:rFonts w:ascii="Times New Roman" w:eastAsia="Times New Roman" w:hAnsi="Times New Roman" w:cs="Times New Roman"/>
          <w:b/>
          <w:bCs/>
          <w:sz w:val="36"/>
          <w:szCs w:val="36"/>
          <w:lang w:eastAsia="en-GB"/>
        </w:rPr>
      </w:pPr>
      <w:r w:rsidRPr="0024310F">
        <w:rPr>
          <w:rFonts w:ascii="Times New Roman" w:eastAsia="Times New Roman" w:hAnsi="Times New Roman" w:cs="Times New Roman"/>
          <w:b/>
          <w:bCs/>
          <w:sz w:val="36"/>
          <w:szCs w:val="36"/>
          <w:lang w:eastAsia="en-GB"/>
        </w:rPr>
        <w:t>10. Case study 3: bacteriophages as authorized zootechnical additives (EU Bafasal)</w:t>
      </w:r>
    </w:p>
    <w:p w14:paraId="07FF3581" w14:textId="77777777" w:rsidR="0024310F" w:rsidRPr="0024310F" w:rsidRDefault="0024310F" w:rsidP="0024310F">
      <w:pPr>
        <w:spacing w:before="100" w:beforeAutospacing="1" w:after="100" w:afterAutospacing="1"/>
        <w:outlineLvl w:val="2"/>
        <w:rPr>
          <w:rFonts w:ascii="Times New Roman" w:eastAsia="Times New Roman" w:hAnsi="Times New Roman" w:cs="Times New Roman"/>
          <w:b/>
          <w:bCs/>
          <w:sz w:val="27"/>
          <w:szCs w:val="27"/>
          <w:lang w:eastAsia="en-GB"/>
        </w:rPr>
      </w:pPr>
      <w:r w:rsidRPr="0024310F">
        <w:rPr>
          <w:rFonts w:ascii="Times New Roman" w:eastAsia="Times New Roman" w:hAnsi="Times New Roman" w:cs="Times New Roman"/>
          <w:b/>
          <w:bCs/>
          <w:sz w:val="27"/>
          <w:szCs w:val="27"/>
          <w:lang w:eastAsia="en-GB"/>
        </w:rPr>
        <w:t>10.1 The early science and regulatory problem</w:t>
      </w:r>
    </w:p>
    <w:p w14:paraId="64B451CE" w14:textId="77777777" w:rsidR="0024310F" w:rsidRPr="0024310F" w:rsidRDefault="0024310F" w:rsidP="0024310F">
      <w:p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Earlier EFSA-related documentation (available via PubMed Central) shows the FEEDAP panel concluded Bafasal was safe for target species, consumers, and environment, but initially could not conclude efficacy due to insufficient data.</w:t>
      </w:r>
    </w:p>
    <w:p w14:paraId="74B331A9" w14:textId="77777777" w:rsidR="0024310F" w:rsidRPr="0024310F" w:rsidRDefault="0024310F" w:rsidP="0024310F">
      <w:p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This captures a recurring pattern for novel modalities:</w:t>
      </w:r>
    </w:p>
    <w:p w14:paraId="19851AD4" w14:textId="77777777" w:rsidR="0024310F" w:rsidRPr="0024310F" w:rsidRDefault="0024310F" w:rsidP="0024310F">
      <w:pPr>
        <w:numPr>
          <w:ilvl w:val="0"/>
          <w:numId w:val="27"/>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safety can be established earlier than efficacy for a specific claim.</w:t>
      </w:r>
    </w:p>
    <w:p w14:paraId="22630937" w14:textId="77777777" w:rsidR="0024310F" w:rsidRPr="0024310F" w:rsidRDefault="0024310F" w:rsidP="0024310F">
      <w:pPr>
        <w:numPr>
          <w:ilvl w:val="0"/>
          <w:numId w:val="27"/>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“efficacy for claim X” is the gating item.</w:t>
      </w:r>
    </w:p>
    <w:p w14:paraId="4C65406C" w14:textId="77777777" w:rsidR="0024310F" w:rsidRPr="0024310F" w:rsidRDefault="0024310F" w:rsidP="0024310F">
      <w:pPr>
        <w:spacing w:before="100" w:beforeAutospacing="1" w:after="100" w:afterAutospacing="1"/>
        <w:outlineLvl w:val="2"/>
        <w:rPr>
          <w:rFonts w:ascii="Times New Roman" w:eastAsia="Times New Roman" w:hAnsi="Times New Roman" w:cs="Times New Roman"/>
          <w:b/>
          <w:bCs/>
          <w:sz w:val="27"/>
          <w:szCs w:val="27"/>
          <w:lang w:eastAsia="en-GB"/>
        </w:rPr>
      </w:pPr>
      <w:r w:rsidRPr="0024310F">
        <w:rPr>
          <w:rFonts w:ascii="Times New Roman" w:eastAsia="Times New Roman" w:hAnsi="Times New Roman" w:cs="Times New Roman"/>
          <w:b/>
          <w:bCs/>
          <w:sz w:val="27"/>
          <w:szCs w:val="27"/>
          <w:lang w:eastAsia="en-GB"/>
        </w:rPr>
        <w:t>10.2 The authorization milestone (July 2025)</w:t>
      </w:r>
    </w:p>
    <w:p w14:paraId="636546F9" w14:textId="77777777" w:rsidR="0024310F" w:rsidRPr="0024310F" w:rsidRDefault="0024310F" w:rsidP="0024310F">
      <w:p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lastRenderedPageBreak/>
        <w:t>Commission Implementing Regulation (EU) 2025/1390 authorizes a preparation of specific bacteriophages as a feed additive for poultry, classified as:</w:t>
      </w:r>
    </w:p>
    <w:p w14:paraId="3F60B332" w14:textId="77777777" w:rsidR="0024310F" w:rsidRPr="0024310F" w:rsidRDefault="0024310F" w:rsidP="0024310F">
      <w:pPr>
        <w:numPr>
          <w:ilvl w:val="0"/>
          <w:numId w:val="28"/>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category: zootechnical additives</w:t>
      </w:r>
    </w:p>
    <w:p w14:paraId="7BC75EDA" w14:textId="77777777" w:rsidR="0024310F" w:rsidRPr="0024310F" w:rsidRDefault="0024310F" w:rsidP="0024310F">
      <w:pPr>
        <w:numPr>
          <w:ilvl w:val="0"/>
          <w:numId w:val="28"/>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functional group: other zootechnical additives</w:t>
      </w:r>
      <w:r w:rsidRPr="0024310F">
        <w:rPr>
          <w:rFonts w:ascii="Times New Roman" w:eastAsia="Times New Roman" w:hAnsi="Times New Roman" w:cs="Times New Roman"/>
          <w:lang w:eastAsia="en-GB"/>
        </w:rPr>
        <w:br/>
        <w:t>and it references EFSA opinions including conclusions about potential to reduce environmental contamination with Salmonella Enteritidis under specified uses.</w:t>
      </w:r>
    </w:p>
    <w:p w14:paraId="2A8EBB4C" w14:textId="77777777" w:rsidR="0024310F" w:rsidRPr="0024310F" w:rsidRDefault="0024310F" w:rsidP="0024310F">
      <w:p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It also explicitly notes a need for specific post-market monitoring to address potential selection and spread of resistant variants.</w:t>
      </w:r>
    </w:p>
    <w:p w14:paraId="40B40DE1" w14:textId="77777777" w:rsidR="0024310F" w:rsidRPr="0024310F" w:rsidRDefault="0024310F" w:rsidP="0024310F">
      <w:pPr>
        <w:spacing w:before="100" w:beforeAutospacing="1" w:after="100" w:afterAutospacing="1"/>
        <w:outlineLvl w:val="2"/>
        <w:rPr>
          <w:rFonts w:ascii="Times New Roman" w:eastAsia="Times New Roman" w:hAnsi="Times New Roman" w:cs="Times New Roman"/>
          <w:b/>
          <w:bCs/>
          <w:sz w:val="27"/>
          <w:szCs w:val="27"/>
          <w:lang w:eastAsia="en-GB"/>
        </w:rPr>
      </w:pPr>
      <w:r w:rsidRPr="0024310F">
        <w:rPr>
          <w:rFonts w:ascii="Times New Roman" w:eastAsia="Times New Roman" w:hAnsi="Times New Roman" w:cs="Times New Roman"/>
          <w:b/>
          <w:bCs/>
          <w:sz w:val="27"/>
          <w:szCs w:val="27"/>
          <w:lang w:eastAsia="en-GB"/>
        </w:rPr>
        <w:t>10.3 Why this matters</w:t>
      </w:r>
    </w:p>
    <w:p w14:paraId="56853E37" w14:textId="77777777" w:rsidR="0024310F" w:rsidRPr="0024310F" w:rsidRDefault="0024310F" w:rsidP="0024310F">
      <w:p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This is a concrete example that:</w:t>
      </w:r>
    </w:p>
    <w:p w14:paraId="50B096C7" w14:textId="77777777" w:rsidR="0024310F" w:rsidRPr="0024310F" w:rsidRDefault="0024310F" w:rsidP="0024310F">
      <w:pPr>
        <w:numPr>
          <w:ilvl w:val="0"/>
          <w:numId w:val="29"/>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phage-based interventions can achieve formal authorization,</w:t>
      </w:r>
    </w:p>
    <w:p w14:paraId="21951F1F" w14:textId="77777777" w:rsidR="0024310F" w:rsidRPr="0024310F" w:rsidRDefault="0024310F" w:rsidP="0024310F">
      <w:pPr>
        <w:numPr>
          <w:ilvl w:val="0"/>
          <w:numId w:val="29"/>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but may carry post-market monitoring obligations that you must operationalize.</w:t>
      </w:r>
    </w:p>
    <w:p w14:paraId="70D79F08" w14:textId="77777777" w:rsidR="0024310F" w:rsidRPr="0024310F" w:rsidRDefault="00D737E8" w:rsidP="0024310F">
      <w:pPr>
        <w:rPr>
          <w:rFonts w:ascii="Times New Roman" w:eastAsia="Times New Roman" w:hAnsi="Times New Roman" w:cs="Times New Roman"/>
          <w:lang w:eastAsia="en-GB"/>
        </w:rPr>
      </w:pPr>
      <w:r>
        <w:rPr>
          <w:rFonts w:ascii="Times New Roman" w:eastAsia="Times New Roman" w:hAnsi="Times New Roman" w:cs="Times New Roman"/>
          <w:noProof/>
          <w:lang w:eastAsia="en-GB"/>
        </w:rPr>
        <w:pict w14:anchorId="3ADB704D">
          <v:rect id="_x0000_i1035" alt="" style="width:451.3pt;height:.05pt;mso-width-percent:0;mso-height-percent:0;mso-width-percent:0;mso-height-percent:0" o:hralign="center" o:hrstd="t" o:hr="t" fillcolor="#a0a0a0" stroked="f"/>
        </w:pict>
      </w:r>
    </w:p>
    <w:p w14:paraId="1AFCEDA5" w14:textId="77777777" w:rsidR="0024310F" w:rsidRPr="0024310F" w:rsidRDefault="0024310F" w:rsidP="0024310F">
      <w:pPr>
        <w:spacing w:before="100" w:beforeAutospacing="1" w:after="100" w:afterAutospacing="1"/>
        <w:outlineLvl w:val="1"/>
        <w:rPr>
          <w:rFonts w:ascii="Times New Roman" w:eastAsia="Times New Roman" w:hAnsi="Times New Roman" w:cs="Times New Roman"/>
          <w:b/>
          <w:bCs/>
          <w:sz w:val="36"/>
          <w:szCs w:val="36"/>
          <w:lang w:eastAsia="en-GB"/>
        </w:rPr>
      </w:pPr>
      <w:r w:rsidRPr="0024310F">
        <w:rPr>
          <w:rFonts w:ascii="Times New Roman" w:eastAsia="Times New Roman" w:hAnsi="Times New Roman" w:cs="Times New Roman"/>
          <w:b/>
          <w:bCs/>
          <w:sz w:val="36"/>
          <w:szCs w:val="36"/>
          <w:lang w:eastAsia="en-GB"/>
        </w:rPr>
        <w:t>11. Claim-to-pathway decision matrix (with red flags and safer alternatives)</w:t>
      </w:r>
    </w:p>
    <w:p w14:paraId="74359074" w14:textId="77777777" w:rsidR="0024310F" w:rsidRPr="0024310F" w:rsidRDefault="0024310F" w:rsidP="0024310F">
      <w:pPr>
        <w:spacing w:before="100" w:beforeAutospacing="1" w:after="100" w:afterAutospacing="1"/>
        <w:outlineLvl w:val="2"/>
        <w:rPr>
          <w:rFonts w:ascii="Times New Roman" w:eastAsia="Times New Roman" w:hAnsi="Times New Roman" w:cs="Times New Roman"/>
          <w:b/>
          <w:bCs/>
          <w:sz w:val="27"/>
          <w:szCs w:val="27"/>
          <w:lang w:eastAsia="en-GB"/>
        </w:rPr>
      </w:pPr>
      <w:r w:rsidRPr="0024310F">
        <w:rPr>
          <w:rFonts w:ascii="Times New Roman" w:eastAsia="Times New Roman" w:hAnsi="Times New Roman" w:cs="Times New Roman"/>
          <w:b/>
          <w:bCs/>
          <w:sz w:val="27"/>
          <w:szCs w:val="27"/>
          <w:lang w:eastAsia="en-GB"/>
        </w:rPr>
        <w:t>11.1 US and EU: high-level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9"/>
        <w:gridCol w:w="2397"/>
        <w:gridCol w:w="1945"/>
        <w:gridCol w:w="1765"/>
      </w:tblGrid>
      <w:tr w:rsidR="0024310F" w:rsidRPr="0024310F" w14:paraId="2EE0FF9A" w14:textId="77777777">
        <w:trPr>
          <w:tblHeader/>
          <w:tblCellSpacing w:w="15" w:type="dxa"/>
        </w:trPr>
        <w:tc>
          <w:tcPr>
            <w:tcW w:w="0" w:type="auto"/>
            <w:vAlign w:val="center"/>
            <w:hideMark/>
          </w:tcPr>
          <w:p w14:paraId="45F3B737" w14:textId="77777777" w:rsidR="0024310F" w:rsidRPr="0024310F" w:rsidRDefault="0024310F" w:rsidP="0024310F">
            <w:pPr>
              <w:jc w:val="center"/>
              <w:rPr>
                <w:rFonts w:ascii="Times New Roman" w:eastAsia="Times New Roman" w:hAnsi="Times New Roman" w:cs="Times New Roman"/>
                <w:b/>
                <w:bCs/>
                <w:lang w:eastAsia="en-GB"/>
              </w:rPr>
            </w:pPr>
            <w:r w:rsidRPr="0024310F">
              <w:rPr>
                <w:rFonts w:ascii="Times New Roman" w:eastAsia="Times New Roman" w:hAnsi="Times New Roman" w:cs="Times New Roman"/>
                <w:b/>
                <w:bCs/>
                <w:lang w:eastAsia="en-GB"/>
              </w:rPr>
              <w:t>Claim type (examples)</w:t>
            </w:r>
          </w:p>
        </w:tc>
        <w:tc>
          <w:tcPr>
            <w:tcW w:w="0" w:type="auto"/>
            <w:vAlign w:val="center"/>
            <w:hideMark/>
          </w:tcPr>
          <w:p w14:paraId="31C8833C" w14:textId="77777777" w:rsidR="0024310F" w:rsidRPr="0024310F" w:rsidRDefault="0024310F" w:rsidP="0024310F">
            <w:pPr>
              <w:jc w:val="center"/>
              <w:rPr>
                <w:rFonts w:ascii="Times New Roman" w:eastAsia="Times New Roman" w:hAnsi="Times New Roman" w:cs="Times New Roman"/>
                <w:b/>
                <w:bCs/>
                <w:lang w:eastAsia="en-GB"/>
              </w:rPr>
            </w:pPr>
            <w:r w:rsidRPr="0024310F">
              <w:rPr>
                <w:rFonts w:ascii="Times New Roman" w:eastAsia="Times New Roman" w:hAnsi="Times New Roman" w:cs="Times New Roman"/>
                <w:b/>
                <w:bCs/>
                <w:lang w:eastAsia="en-GB"/>
              </w:rPr>
              <w:t>US likely lane (today)</w:t>
            </w:r>
          </w:p>
        </w:tc>
        <w:tc>
          <w:tcPr>
            <w:tcW w:w="0" w:type="auto"/>
            <w:vAlign w:val="center"/>
            <w:hideMark/>
          </w:tcPr>
          <w:p w14:paraId="745F6EDC" w14:textId="77777777" w:rsidR="0024310F" w:rsidRPr="0024310F" w:rsidRDefault="0024310F" w:rsidP="0024310F">
            <w:pPr>
              <w:jc w:val="center"/>
              <w:rPr>
                <w:rFonts w:ascii="Times New Roman" w:eastAsia="Times New Roman" w:hAnsi="Times New Roman" w:cs="Times New Roman"/>
                <w:b/>
                <w:bCs/>
                <w:lang w:eastAsia="en-GB"/>
              </w:rPr>
            </w:pPr>
            <w:r w:rsidRPr="0024310F">
              <w:rPr>
                <w:rFonts w:ascii="Times New Roman" w:eastAsia="Times New Roman" w:hAnsi="Times New Roman" w:cs="Times New Roman"/>
                <w:b/>
                <w:bCs/>
                <w:lang w:eastAsia="en-GB"/>
              </w:rPr>
              <w:t>EU likely lane</w:t>
            </w:r>
          </w:p>
        </w:tc>
        <w:tc>
          <w:tcPr>
            <w:tcW w:w="0" w:type="auto"/>
            <w:vAlign w:val="center"/>
            <w:hideMark/>
          </w:tcPr>
          <w:p w14:paraId="0C2CD481" w14:textId="77777777" w:rsidR="0024310F" w:rsidRPr="0024310F" w:rsidRDefault="0024310F" w:rsidP="0024310F">
            <w:pPr>
              <w:jc w:val="center"/>
              <w:rPr>
                <w:rFonts w:ascii="Times New Roman" w:eastAsia="Times New Roman" w:hAnsi="Times New Roman" w:cs="Times New Roman"/>
                <w:b/>
                <w:bCs/>
                <w:lang w:eastAsia="en-GB"/>
              </w:rPr>
            </w:pPr>
            <w:r w:rsidRPr="0024310F">
              <w:rPr>
                <w:rFonts w:ascii="Times New Roman" w:eastAsia="Times New Roman" w:hAnsi="Times New Roman" w:cs="Times New Roman"/>
                <w:b/>
                <w:bCs/>
                <w:lang w:eastAsia="en-GB"/>
              </w:rPr>
              <w:t>Risk level if you “wing it”</w:t>
            </w:r>
          </w:p>
        </w:tc>
      </w:tr>
      <w:tr w:rsidR="0024310F" w:rsidRPr="0024310F" w14:paraId="6EFDD773" w14:textId="77777777">
        <w:trPr>
          <w:tblCellSpacing w:w="15" w:type="dxa"/>
        </w:trPr>
        <w:tc>
          <w:tcPr>
            <w:tcW w:w="0" w:type="auto"/>
            <w:vAlign w:val="center"/>
            <w:hideMark/>
          </w:tcPr>
          <w:p w14:paraId="08BA8D44" w14:textId="77777777" w:rsidR="0024310F" w:rsidRPr="0024310F" w:rsidRDefault="0024310F" w:rsidP="0024310F">
            <w:pPr>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Pure nutrition (source of vitamins, minerals)</w:t>
            </w:r>
          </w:p>
        </w:tc>
        <w:tc>
          <w:tcPr>
            <w:tcW w:w="0" w:type="auto"/>
            <w:vAlign w:val="center"/>
            <w:hideMark/>
          </w:tcPr>
          <w:p w14:paraId="77CA26C4" w14:textId="77777777" w:rsidR="0024310F" w:rsidRPr="0024310F" w:rsidRDefault="0024310F" w:rsidP="0024310F">
            <w:pPr>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Animal food ingredient</w:t>
            </w:r>
          </w:p>
        </w:tc>
        <w:tc>
          <w:tcPr>
            <w:tcW w:w="0" w:type="auto"/>
            <w:vAlign w:val="center"/>
            <w:hideMark/>
          </w:tcPr>
          <w:p w14:paraId="213E2ED5" w14:textId="77777777" w:rsidR="0024310F" w:rsidRPr="0024310F" w:rsidRDefault="0024310F" w:rsidP="0024310F">
            <w:pPr>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Feed materials / nutritional additive</w:t>
            </w:r>
          </w:p>
        </w:tc>
        <w:tc>
          <w:tcPr>
            <w:tcW w:w="0" w:type="auto"/>
            <w:vAlign w:val="center"/>
            <w:hideMark/>
          </w:tcPr>
          <w:p w14:paraId="69975DFE" w14:textId="77777777" w:rsidR="0024310F" w:rsidRPr="0024310F" w:rsidRDefault="0024310F" w:rsidP="0024310F">
            <w:pPr>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Low</w:t>
            </w:r>
          </w:p>
        </w:tc>
      </w:tr>
      <w:tr w:rsidR="0024310F" w:rsidRPr="0024310F" w14:paraId="358324C1" w14:textId="77777777">
        <w:trPr>
          <w:tblCellSpacing w:w="15" w:type="dxa"/>
        </w:trPr>
        <w:tc>
          <w:tcPr>
            <w:tcW w:w="0" w:type="auto"/>
            <w:vAlign w:val="center"/>
            <w:hideMark/>
          </w:tcPr>
          <w:p w14:paraId="1B3F527D" w14:textId="77777777" w:rsidR="0024310F" w:rsidRPr="0024310F" w:rsidRDefault="0024310F" w:rsidP="0024310F">
            <w:pPr>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“Supports digestive health” without disease language</w:t>
            </w:r>
          </w:p>
        </w:tc>
        <w:tc>
          <w:tcPr>
            <w:tcW w:w="0" w:type="auto"/>
            <w:vAlign w:val="center"/>
            <w:hideMark/>
          </w:tcPr>
          <w:p w14:paraId="674C34B0" w14:textId="77777777" w:rsidR="0024310F" w:rsidRPr="0024310F" w:rsidRDefault="0024310F" w:rsidP="0024310F">
            <w:pPr>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Often still risky depending on substantiation and framing; may require careful strategy; policy evolving</w:t>
            </w:r>
          </w:p>
        </w:tc>
        <w:tc>
          <w:tcPr>
            <w:tcW w:w="0" w:type="auto"/>
            <w:vAlign w:val="center"/>
            <w:hideMark/>
          </w:tcPr>
          <w:p w14:paraId="718E3560" w14:textId="77777777" w:rsidR="0024310F" w:rsidRPr="0024310F" w:rsidRDefault="0024310F" w:rsidP="0024310F">
            <w:pPr>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Potentially zootechnical additive depending on claim and ingredient</w:t>
            </w:r>
          </w:p>
        </w:tc>
        <w:tc>
          <w:tcPr>
            <w:tcW w:w="0" w:type="auto"/>
            <w:vAlign w:val="center"/>
            <w:hideMark/>
          </w:tcPr>
          <w:p w14:paraId="77A2A439" w14:textId="77777777" w:rsidR="0024310F" w:rsidRPr="0024310F" w:rsidRDefault="0024310F" w:rsidP="0024310F">
            <w:pPr>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Medium</w:t>
            </w:r>
          </w:p>
        </w:tc>
      </w:tr>
      <w:tr w:rsidR="0024310F" w:rsidRPr="0024310F" w14:paraId="770C6114" w14:textId="77777777">
        <w:trPr>
          <w:tblCellSpacing w:w="15" w:type="dxa"/>
        </w:trPr>
        <w:tc>
          <w:tcPr>
            <w:tcW w:w="0" w:type="auto"/>
            <w:vAlign w:val="center"/>
            <w:hideMark/>
          </w:tcPr>
          <w:p w14:paraId="0325D84F" w14:textId="77777777" w:rsidR="0024310F" w:rsidRPr="0024310F" w:rsidRDefault="0024310F" w:rsidP="0024310F">
            <w:pPr>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Production/performance (feed efficiency, weight gain, milk yield)</w:t>
            </w:r>
          </w:p>
        </w:tc>
        <w:tc>
          <w:tcPr>
            <w:tcW w:w="0" w:type="auto"/>
            <w:vAlign w:val="center"/>
            <w:hideMark/>
          </w:tcPr>
          <w:p w14:paraId="5DE7FA28" w14:textId="77777777" w:rsidR="0024310F" w:rsidRPr="0024310F" w:rsidRDefault="0024310F" w:rsidP="0024310F">
            <w:pPr>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Historically high risk of drug classification; evolving under FDA initiatives and proposed legislation</w:t>
            </w:r>
          </w:p>
        </w:tc>
        <w:tc>
          <w:tcPr>
            <w:tcW w:w="0" w:type="auto"/>
            <w:vAlign w:val="center"/>
            <w:hideMark/>
          </w:tcPr>
          <w:p w14:paraId="2774B7DD" w14:textId="77777777" w:rsidR="0024310F" w:rsidRPr="0024310F" w:rsidRDefault="0024310F" w:rsidP="0024310F">
            <w:pPr>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Zootechnical additive pathway is designed for performance claims</w:t>
            </w:r>
          </w:p>
        </w:tc>
        <w:tc>
          <w:tcPr>
            <w:tcW w:w="0" w:type="auto"/>
            <w:vAlign w:val="center"/>
            <w:hideMark/>
          </w:tcPr>
          <w:p w14:paraId="43BE4FE8" w14:textId="77777777" w:rsidR="0024310F" w:rsidRPr="0024310F" w:rsidRDefault="0024310F" w:rsidP="0024310F">
            <w:pPr>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High (US), Medium (EU with authorization)</w:t>
            </w:r>
          </w:p>
        </w:tc>
      </w:tr>
      <w:tr w:rsidR="0024310F" w:rsidRPr="0024310F" w14:paraId="61C9CDFA" w14:textId="77777777">
        <w:trPr>
          <w:tblCellSpacing w:w="15" w:type="dxa"/>
        </w:trPr>
        <w:tc>
          <w:tcPr>
            <w:tcW w:w="0" w:type="auto"/>
            <w:vAlign w:val="center"/>
            <w:hideMark/>
          </w:tcPr>
          <w:p w14:paraId="30F52863" w14:textId="77777777" w:rsidR="0024310F" w:rsidRPr="0024310F" w:rsidRDefault="0024310F" w:rsidP="0024310F">
            <w:pPr>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Foodborne pathogen reduction (reduces Salmonella, E. coli shedding)</w:t>
            </w:r>
          </w:p>
        </w:tc>
        <w:tc>
          <w:tcPr>
            <w:tcW w:w="0" w:type="auto"/>
            <w:vAlign w:val="center"/>
            <w:hideMark/>
          </w:tcPr>
          <w:p w14:paraId="481B3C00" w14:textId="77777777" w:rsidR="0024310F" w:rsidRPr="0024310F" w:rsidRDefault="0024310F" w:rsidP="0024310F">
            <w:pPr>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High scrutiny; could be drug unless clear pathway and authorization</w:t>
            </w:r>
          </w:p>
        </w:tc>
        <w:tc>
          <w:tcPr>
            <w:tcW w:w="0" w:type="auto"/>
            <w:vAlign w:val="center"/>
            <w:hideMark/>
          </w:tcPr>
          <w:p w14:paraId="57D9A444" w14:textId="77777777" w:rsidR="0024310F" w:rsidRPr="0024310F" w:rsidRDefault="0024310F" w:rsidP="0024310F">
            <w:pPr>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Zootechnical additive possible with authorization (example: phages)</w:t>
            </w:r>
          </w:p>
        </w:tc>
        <w:tc>
          <w:tcPr>
            <w:tcW w:w="0" w:type="auto"/>
            <w:vAlign w:val="center"/>
            <w:hideMark/>
          </w:tcPr>
          <w:p w14:paraId="537F9D7E" w14:textId="77777777" w:rsidR="0024310F" w:rsidRPr="0024310F" w:rsidRDefault="0024310F" w:rsidP="0024310F">
            <w:pPr>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High</w:t>
            </w:r>
          </w:p>
        </w:tc>
      </w:tr>
      <w:tr w:rsidR="0024310F" w:rsidRPr="0024310F" w14:paraId="6B2EF1A8" w14:textId="77777777">
        <w:trPr>
          <w:tblCellSpacing w:w="15" w:type="dxa"/>
        </w:trPr>
        <w:tc>
          <w:tcPr>
            <w:tcW w:w="0" w:type="auto"/>
            <w:vAlign w:val="center"/>
            <w:hideMark/>
          </w:tcPr>
          <w:p w14:paraId="15EFDC8B" w14:textId="77777777" w:rsidR="0024310F" w:rsidRPr="0024310F" w:rsidRDefault="0024310F" w:rsidP="0024310F">
            <w:pPr>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Environmental outcomes (methane reduction, ammonia emissions)</w:t>
            </w:r>
          </w:p>
        </w:tc>
        <w:tc>
          <w:tcPr>
            <w:tcW w:w="0" w:type="auto"/>
            <w:vAlign w:val="center"/>
            <w:hideMark/>
          </w:tcPr>
          <w:p w14:paraId="2DEC897A" w14:textId="77777777" w:rsidR="0024310F" w:rsidRPr="0024310F" w:rsidRDefault="0024310F" w:rsidP="0024310F">
            <w:pPr>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 xml:space="preserve">Can be food additive or drug depending on </w:t>
            </w:r>
            <w:r w:rsidRPr="0024310F">
              <w:rPr>
                <w:rFonts w:ascii="Times New Roman" w:eastAsia="Times New Roman" w:hAnsi="Times New Roman" w:cs="Times New Roman"/>
                <w:lang w:eastAsia="en-GB"/>
              </w:rPr>
              <w:lastRenderedPageBreak/>
              <w:t>mechanism and claim; examples exist</w:t>
            </w:r>
          </w:p>
        </w:tc>
        <w:tc>
          <w:tcPr>
            <w:tcW w:w="0" w:type="auto"/>
            <w:vAlign w:val="center"/>
            <w:hideMark/>
          </w:tcPr>
          <w:p w14:paraId="6662E403" w14:textId="77777777" w:rsidR="0024310F" w:rsidRPr="0024310F" w:rsidRDefault="0024310F" w:rsidP="0024310F">
            <w:pPr>
              <w:rPr>
                <w:rFonts w:ascii="Times New Roman" w:eastAsia="Times New Roman" w:hAnsi="Times New Roman" w:cs="Times New Roman"/>
                <w:lang w:eastAsia="en-GB"/>
              </w:rPr>
            </w:pPr>
            <w:r w:rsidRPr="0024310F">
              <w:rPr>
                <w:rFonts w:ascii="Times New Roman" w:eastAsia="Times New Roman" w:hAnsi="Times New Roman" w:cs="Times New Roman"/>
                <w:lang w:eastAsia="en-GB"/>
              </w:rPr>
              <w:lastRenderedPageBreak/>
              <w:t xml:space="preserve">Zootechnical additive environment </w:t>
            </w:r>
            <w:r w:rsidRPr="0024310F">
              <w:rPr>
                <w:rFonts w:ascii="Times New Roman" w:eastAsia="Times New Roman" w:hAnsi="Times New Roman" w:cs="Times New Roman"/>
                <w:lang w:eastAsia="en-GB"/>
              </w:rPr>
              <w:lastRenderedPageBreak/>
              <w:t>functional group exists</w:t>
            </w:r>
          </w:p>
        </w:tc>
        <w:tc>
          <w:tcPr>
            <w:tcW w:w="0" w:type="auto"/>
            <w:vAlign w:val="center"/>
            <w:hideMark/>
          </w:tcPr>
          <w:p w14:paraId="7AD226FF" w14:textId="77777777" w:rsidR="0024310F" w:rsidRPr="0024310F" w:rsidRDefault="0024310F" w:rsidP="0024310F">
            <w:pPr>
              <w:rPr>
                <w:rFonts w:ascii="Times New Roman" w:eastAsia="Times New Roman" w:hAnsi="Times New Roman" w:cs="Times New Roman"/>
                <w:lang w:eastAsia="en-GB"/>
              </w:rPr>
            </w:pPr>
            <w:r w:rsidRPr="0024310F">
              <w:rPr>
                <w:rFonts w:ascii="Times New Roman" w:eastAsia="Times New Roman" w:hAnsi="Times New Roman" w:cs="Times New Roman"/>
                <w:lang w:eastAsia="en-GB"/>
              </w:rPr>
              <w:lastRenderedPageBreak/>
              <w:t>Medium to High</w:t>
            </w:r>
          </w:p>
        </w:tc>
      </w:tr>
      <w:tr w:rsidR="0024310F" w:rsidRPr="0024310F" w14:paraId="27B00BDF" w14:textId="77777777">
        <w:trPr>
          <w:tblCellSpacing w:w="15" w:type="dxa"/>
        </w:trPr>
        <w:tc>
          <w:tcPr>
            <w:tcW w:w="0" w:type="auto"/>
            <w:vAlign w:val="center"/>
            <w:hideMark/>
          </w:tcPr>
          <w:p w14:paraId="02F99EF7" w14:textId="77777777" w:rsidR="0024310F" w:rsidRPr="0024310F" w:rsidRDefault="0024310F" w:rsidP="0024310F">
            <w:pPr>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Disease treatment/prevention (treats scours, prevents mastitis)</w:t>
            </w:r>
          </w:p>
        </w:tc>
        <w:tc>
          <w:tcPr>
            <w:tcW w:w="0" w:type="auto"/>
            <w:vAlign w:val="center"/>
            <w:hideMark/>
          </w:tcPr>
          <w:p w14:paraId="3D54109E" w14:textId="77777777" w:rsidR="0024310F" w:rsidRPr="0024310F" w:rsidRDefault="0024310F" w:rsidP="0024310F">
            <w:pPr>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New animal drug (approval required)</w:t>
            </w:r>
          </w:p>
        </w:tc>
        <w:tc>
          <w:tcPr>
            <w:tcW w:w="0" w:type="auto"/>
            <w:vAlign w:val="center"/>
            <w:hideMark/>
          </w:tcPr>
          <w:p w14:paraId="5D0E61A7" w14:textId="77777777" w:rsidR="0024310F" w:rsidRPr="0024310F" w:rsidRDefault="0024310F" w:rsidP="0024310F">
            <w:pPr>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Veterinary medicinal product (approval required)</w:t>
            </w:r>
          </w:p>
        </w:tc>
        <w:tc>
          <w:tcPr>
            <w:tcW w:w="0" w:type="auto"/>
            <w:vAlign w:val="center"/>
            <w:hideMark/>
          </w:tcPr>
          <w:p w14:paraId="0BC535DD" w14:textId="77777777" w:rsidR="0024310F" w:rsidRPr="0024310F" w:rsidRDefault="0024310F" w:rsidP="0024310F">
            <w:pPr>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Very high</w:t>
            </w:r>
          </w:p>
        </w:tc>
      </w:tr>
    </w:tbl>
    <w:p w14:paraId="27C42069" w14:textId="77777777" w:rsidR="0024310F" w:rsidRPr="0024310F" w:rsidRDefault="0024310F" w:rsidP="0024310F">
      <w:pPr>
        <w:spacing w:before="100" w:beforeAutospacing="1" w:after="100" w:afterAutospacing="1"/>
        <w:outlineLvl w:val="2"/>
        <w:rPr>
          <w:rFonts w:ascii="Times New Roman" w:eastAsia="Times New Roman" w:hAnsi="Times New Roman" w:cs="Times New Roman"/>
          <w:b/>
          <w:bCs/>
          <w:sz w:val="27"/>
          <w:szCs w:val="27"/>
          <w:lang w:eastAsia="en-GB"/>
        </w:rPr>
      </w:pPr>
      <w:r w:rsidRPr="0024310F">
        <w:rPr>
          <w:rFonts w:ascii="Times New Roman" w:eastAsia="Times New Roman" w:hAnsi="Times New Roman" w:cs="Times New Roman"/>
          <w:b/>
          <w:bCs/>
          <w:sz w:val="27"/>
          <w:szCs w:val="27"/>
          <w:lang w:eastAsia="en-GB"/>
        </w:rPr>
        <w:t>11.2 “Red flag” claim words that frequently trigger drug classification</w:t>
      </w:r>
    </w:p>
    <w:p w14:paraId="2A1C310A" w14:textId="77777777" w:rsidR="0024310F" w:rsidRPr="0024310F" w:rsidRDefault="0024310F" w:rsidP="0024310F">
      <w:pPr>
        <w:numPr>
          <w:ilvl w:val="0"/>
          <w:numId w:val="30"/>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treat, prevent, cure, mitigate</w:t>
      </w:r>
    </w:p>
    <w:p w14:paraId="16921EC2" w14:textId="77777777" w:rsidR="0024310F" w:rsidRPr="0024310F" w:rsidRDefault="0024310F" w:rsidP="0024310F">
      <w:pPr>
        <w:numPr>
          <w:ilvl w:val="0"/>
          <w:numId w:val="30"/>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anti-inflammatory, antibacterial (when framed as therapeutic for disease)</w:t>
      </w:r>
    </w:p>
    <w:p w14:paraId="7EB2AEF2" w14:textId="77777777" w:rsidR="0024310F" w:rsidRPr="0024310F" w:rsidRDefault="0024310F" w:rsidP="0024310F">
      <w:pPr>
        <w:numPr>
          <w:ilvl w:val="0"/>
          <w:numId w:val="30"/>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“for mastitis,” “for scours,” “for respiratory disease,” etc</w:t>
      </w:r>
    </w:p>
    <w:p w14:paraId="27EE7C24" w14:textId="77777777" w:rsidR="0024310F" w:rsidRPr="0024310F" w:rsidRDefault="0024310F" w:rsidP="0024310F">
      <w:pPr>
        <w:numPr>
          <w:ilvl w:val="0"/>
          <w:numId w:val="30"/>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dosing protocols tied to diseases</w:t>
      </w:r>
    </w:p>
    <w:p w14:paraId="031D3F15" w14:textId="77777777" w:rsidR="0024310F" w:rsidRPr="0024310F" w:rsidRDefault="0024310F" w:rsidP="0024310F">
      <w:p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The Synergy Animal Products warning letter provides concrete examples of claims FDA viewed as establishing drug intent, including references to mastitis, scours, and high somatic cell count.</w:t>
      </w:r>
    </w:p>
    <w:p w14:paraId="1409BF7B" w14:textId="77777777" w:rsidR="0024310F" w:rsidRPr="0024310F" w:rsidRDefault="0024310F" w:rsidP="0024310F">
      <w:pPr>
        <w:spacing w:before="100" w:beforeAutospacing="1" w:after="100" w:afterAutospacing="1"/>
        <w:outlineLvl w:val="2"/>
        <w:rPr>
          <w:rFonts w:ascii="Times New Roman" w:eastAsia="Times New Roman" w:hAnsi="Times New Roman" w:cs="Times New Roman"/>
          <w:b/>
          <w:bCs/>
          <w:sz w:val="27"/>
          <w:szCs w:val="27"/>
          <w:lang w:eastAsia="en-GB"/>
        </w:rPr>
      </w:pPr>
      <w:r w:rsidRPr="0024310F">
        <w:rPr>
          <w:rFonts w:ascii="Times New Roman" w:eastAsia="Times New Roman" w:hAnsi="Times New Roman" w:cs="Times New Roman"/>
          <w:b/>
          <w:bCs/>
          <w:sz w:val="27"/>
          <w:szCs w:val="27"/>
          <w:lang w:eastAsia="en-GB"/>
        </w:rPr>
        <w:t>11.3 Safer alternative phrasing (not a guarantee)</w:t>
      </w:r>
    </w:p>
    <w:p w14:paraId="550383AA" w14:textId="77777777" w:rsidR="0024310F" w:rsidRPr="0024310F" w:rsidRDefault="0024310F" w:rsidP="0024310F">
      <w:p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If you want to stay in an animal food lane, favor:</w:t>
      </w:r>
    </w:p>
    <w:p w14:paraId="02DEE129" w14:textId="77777777" w:rsidR="0024310F" w:rsidRPr="0024310F" w:rsidRDefault="0024310F" w:rsidP="0024310F">
      <w:pPr>
        <w:numPr>
          <w:ilvl w:val="0"/>
          <w:numId w:val="31"/>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nutritional role language,</w:t>
      </w:r>
    </w:p>
    <w:p w14:paraId="3B70918D" w14:textId="77777777" w:rsidR="0024310F" w:rsidRPr="0024310F" w:rsidRDefault="0024310F" w:rsidP="0024310F">
      <w:pPr>
        <w:numPr>
          <w:ilvl w:val="0"/>
          <w:numId w:val="31"/>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normal function support language,</w:t>
      </w:r>
    </w:p>
    <w:p w14:paraId="688C95C8" w14:textId="77777777" w:rsidR="0024310F" w:rsidRPr="0024310F" w:rsidRDefault="0024310F" w:rsidP="0024310F">
      <w:pPr>
        <w:numPr>
          <w:ilvl w:val="0"/>
          <w:numId w:val="31"/>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and avoid disease endpoints.</w:t>
      </w:r>
    </w:p>
    <w:p w14:paraId="745AF60A" w14:textId="77777777" w:rsidR="0024310F" w:rsidRPr="0024310F" w:rsidRDefault="0024310F" w:rsidP="0024310F">
      <w:p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But do not assume “supports” is a magic shield. Classification still depends on context, substantiation, and overall messaging.</w:t>
      </w:r>
    </w:p>
    <w:p w14:paraId="609DDC69" w14:textId="77777777" w:rsidR="0024310F" w:rsidRPr="0024310F" w:rsidRDefault="00D737E8" w:rsidP="0024310F">
      <w:pPr>
        <w:rPr>
          <w:rFonts w:ascii="Times New Roman" w:eastAsia="Times New Roman" w:hAnsi="Times New Roman" w:cs="Times New Roman"/>
          <w:lang w:eastAsia="en-GB"/>
        </w:rPr>
      </w:pPr>
      <w:r>
        <w:rPr>
          <w:rFonts w:ascii="Times New Roman" w:eastAsia="Times New Roman" w:hAnsi="Times New Roman" w:cs="Times New Roman"/>
          <w:noProof/>
          <w:lang w:eastAsia="en-GB"/>
        </w:rPr>
        <w:pict w14:anchorId="698D9A0A">
          <v:rect id="_x0000_i1034" alt="" style="width:451.3pt;height:.05pt;mso-width-percent:0;mso-height-percent:0;mso-width-percent:0;mso-height-percent:0" o:hralign="center" o:hrstd="t" o:hr="t" fillcolor="#a0a0a0" stroked="f"/>
        </w:pict>
      </w:r>
    </w:p>
    <w:p w14:paraId="231D8EE0" w14:textId="77777777" w:rsidR="0024310F" w:rsidRPr="0024310F" w:rsidRDefault="0024310F" w:rsidP="0024310F">
      <w:pPr>
        <w:spacing w:before="100" w:beforeAutospacing="1" w:after="100" w:afterAutospacing="1"/>
        <w:outlineLvl w:val="1"/>
        <w:rPr>
          <w:rFonts w:ascii="Times New Roman" w:eastAsia="Times New Roman" w:hAnsi="Times New Roman" w:cs="Times New Roman"/>
          <w:b/>
          <w:bCs/>
          <w:sz w:val="36"/>
          <w:szCs w:val="36"/>
          <w:lang w:eastAsia="en-GB"/>
        </w:rPr>
      </w:pPr>
      <w:r w:rsidRPr="0024310F">
        <w:rPr>
          <w:rFonts w:ascii="Times New Roman" w:eastAsia="Times New Roman" w:hAnsi="Times New Roman" w:cs="Times New Roman"/>
          <w:b/>
          <w:bCs/>
          <w:sz w:val="36"/>
          <w:szCs w:val="36"/>
          <w:lang w:eastAsia="en-GB"/>
        </w:rPr>
        <w:t>12. Evidence and dossier strategy by pathway</w:t>
      </w:r>
    </w:p>
    <w:p w14:paraId="3FFEDBFA" w14:textId="77777777" w:rsidR="0024310F" w:rsidRPr="0024310F" w:rsidRDefault="0024310F" w:rsidP="0024310F">
      <w:pPr>
        <w:spacing w:before="100" w:beforeAutospacing="1" w:after="100" w:afterAutospacing="1"/>
        <w:outlineLvl w:val="2"/>
        <w:rPr>
          <w:rFonts w:ascii="Times New Roman" w:eastAsia="Times New Roman" w:hAnsi="Times New Roman" w:cs="Times New Roman"/>
          <w:b/>
          <w:bCs/>
          <w:sz w:val="27"/>
          <w:szCs w:val="27"/>
          <w:lang w:eastAsia="en-GB"/>
        </w:rPr>
      </w:pPr>
      <w:r w:rsidRPr="0024310F">
        <w:rPr>
          <w:rFonts w:ascii="Times New Roman" w:eastAsia="Times New Roman" w:hAnsi="Times New Roman" w:cs="Times New Roman"/>
          <w:b/>
          <w:bCs/>
          <w:sz w:val="27"/>
          <w:szCs w:val="27"/>
          <w:lang w:eastAsia="en-GB"/>
        </w:rPr>
        <w:t>12.1 US animal food ingredient strategy (GRAS / AAFCO / enforcement discretion)</w:t>
      </w:r>
    </w:p>
    <w:p w14:paraId="2F49CCEE" w14:textId="77777777" w:rsidR="0024310F" w:rsidRPr="0024310F" w:rsidRDefault="0024310F" w:rsidP="0024310F">
      <w:p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Core components investors expect to see:</w:t>
      </w:r>
    </w:p>
    <w:p w14:paraId="3D478866" w14:textId="77777777" w:rsidR="0024310F" w:rsidRPr="0024310F" w:rsidRDefault="0024310F" w:rsidP="0024310F">
      <w:pPr>
        <w:numPr>
          <w:ilvl w:val="0"/>
          <w:numId w:val="32"/>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identity and specifications (what is it, how is it made, what is in it),</w:t>
      </w:r>
    </w:p>
    <w:p w14:paraId="7C4884E5" w14:textId="77777777" w:rsidR="0024310F" w:rsidRPr="0024310F" w:rsidRDefault="0024310F" w:rsidP="0024310F">
      <w:pPr>
        <w:numPr>
          <w:ilvl w:val="0"/>
          <w:numId w:val="32"/>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safety basis (target species safety, contaminants, margins of exposure),</w:t>
      </w:r>
    </w:p>
    <w:p w14:paraId="051F4F37" w14:textId="77777777" w:rsidR="0024310F" w:rsidRPr="0024310F" w:rsidRDefault="0024310F" w:rsidP="0024310F">
      <w:pPr>
        <w:numPr>
          <w:ilvl w:val="0"/>
          <w:numId w:val="32"/>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manufacturing controls and supplier qualification,</w:t>
      </w:r>
    </w:p>
    <w:p w14:paraId="1D2E946D" w14:textId="77777777" w:rsidR="0024310F" w:rsidRPr="0024310F" w:rsidRDefault="0024310F" w:rsidP="0024310F">
      <w:pPr>
        <w:numPr>
          <w:ilvl w:val="0"/>
          <w:numId w:val="32"/>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intended use statement that aligns with lawful claims,</w:t>
      </w:r>
    </w:p>
    <w:p w14:paraId="1F00C9DB" w14:textId="77777777" w:rsidR="0024310F" w:rsidRPr="0024310F" w:rsidRDefault="0024310F" w:rsidP="0024310F">
      <w:pPr>
        <w:numPr>
          <w:ilvl w:val="0"/>
          <w:numId w:val="32"/>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substantiation file for every marketing statement.</w:t>
      </w:r>
    </w:p>
    <w:p w14:paraId="7C4C8922" w14:textId="77777777" w:rsidR="0024310F" w:rsidRPr="0024310F" w:rsidRDefault="0024310F" w:rsidP="0024310F">
      <w:p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Operational lever: if your ingredient is in AAFCO 2024 chapter six, understand the scope of FDA’s enforcement policy described in CVM GFI 293.</w:t>
      </w:r>
    </w:p>
    <w:p w14:paraId="1F35CE7F" w14:textId="77777777" w:rsidR="0024310F" w:rsidRPr="0024310F" w:rsidRDefault="0024310F" w:rsidP="0024310F">
      <w:pPr>
        <w:spacing w:before="100" w:beforeAutospacing="1" w:after="100" w:afterAutospacing="1"/>
        <w:outlineLvl w:val="2"/>
        <w:rPr>
          <w:rFonts w:ascii="Times New Roman" w:eastAsia="Times New Roman" w:hAnsi="Times New Roman" w:cs="Times New Roman"/>
          <w:b/>
          <w:bCs/>
          <w:sz w:val="27"/>
          <w:szCs w:val="27"/>
          <w:lang w:eastAsia="en-GB"/>
        </w:rPr>
      </w:pPr>
      <w:r w:rsidRPr="0024310F">
        <w:rPr>
          <w:rFonts w:ascii="Times New Roman" w:eastAsia="Times New Roman" w:hAnsi="Times New Roman" w:cs="Times New Roman"/>
          <w:b/>
          <w:bCs/>
          <w:sz w:val="27"/>
          <w:szCs w:val="27"/>
          <w:lang w:eastAsia="en-GB"/>
        </w:rPr>
        <w:lastRenderedPageBreak/>
        <w:t>12.2 US food additive strategy (including proposed “zootechnical substances” direction)</w:t>
      </w:r>
    </w:p>
    <w:p w14:paraId="6E3F9C40" w14:textId="77777777" w:rsidR="0024310F" w:rsidRPr="0024310F" w:rsidRDefault="0024310F" w:rsidP="0024310F">
      <w:p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Plan around:</w:t>
      </w:r>
    </w:p>
    <w:p w14:paraId="195A3358" w14:textId="77777777" w:rsidR="0024310F" w:rsidRPr="0024310F" w:rsidRDefault="0024310F" w:rsidP="0024310F">
      <w:pPr>
        <w:numPr>
          <w:ilvl w:val="0"/>
          <w:numId w:val="33"/>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early FDA engagement (premarket consult),</w:t>
      </w:r>
    </w:p>
    <w:p w14:paraId="3470869E" w14:textId="77777777" w:rsidR="0024310F" w:rsidRPr="0024310F" w:rsidRDefault="0024310F" w:rsidP="0024310F">
      <w:pPr>
        <w:numPr>
          <w:ilvl w:val="0"/>
          <w:numId w:val="33"/>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clear mechanism and site of action (gut-only vs systemic),</w:t>
      </w:r>
    </w:p>
    <w:p w14:paraId="5BE93875" w14:textId="77777777" w:rsidR="0024310F" w:rsidRPr="0024310F" w:rsidRDefault="0024310F" w:rsidP="0024310F">
      <w:pPr>
        <w:numPr>
          <w:ilvl w:val="0"/>
          <w:numId w:val="33"/>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measurable endpoints and study designs,</w:t>
      </w:r>
    </w:p>
    <w:p w14:paraId="1D27D146" w14:textId="77777777" w:rsidR="0024310F" w:rsidRPr="0024310F" w:rsidRDefault="0024310F" w:rsidP="0024310F">
      <w:pPr>
        <w:numPr>
          <w:ilvl w:val="0"/>
          <w:numId w:val="33"/>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and conservative claim governance until policy is finalized.</w:t>
      </w:r>
    </w:p>
    <w:p w14:paraId="1B942C12" w14:textId="77777777" w:rsidR="0024310F" w:rsidRPr="0024310F" w:rsidRDefault="0024310F" w:rsidP="0024310F">
      <w:p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FDA explicitly encourages early contact for novel animal foods with gut-only action and substantiated claims related to production, wellbeing, food safety, and environmental benefits.</w:t>
      </w:r>
    </w:p>
    <w:p w14:paraId="1E6B6683" w14:textId="77777777" w:rsidR="0024310F" w:rsidRPr="0024310F" w:rsidRDefault="0024310F" w:rsidP="0024310F">
      <w:pPr>
        <w:spacing w:before="100" w:beforeAutospacing="1" w:after="100" w:afterAutospacing="1"/>
        <w:outlineLvl w:val="2"/>
        <w:rPr>
          <w:rFonts w:ascii="Times New Roman" w:eastAsia="Times New Roman" w:hAnsi="Times New Roman" w:cs="Times New Roman"/>
          <w:b/>
          <w:bCs/>
          <w:sz w:val="27"/>
          <w:szCs w:val="27"/>
          <w:lang w:eastAsia="en-GB"/>
        </w:rPr>
      </w:pPr>
      <w:r w:rsidRPr="0024310F">
        <w:rPr>
          <w:rFonts w:ascii="Times New Roman" w:eastAsia="Times New Roman" w:hAnsi="Times New Roman" w:cs="Times New Roman"/>
          <w:b/>
          <w:bCs/>
          <w:sz w:val="27"/>
          <w:szCs w:val="27"/>
          <w:lang w:eastAsia="en-GB"/>
        </w:rPr>
        <w:t>12.3 US new animal drug strategy (NADA)</w:t>
      </w:r>
    </w:p>
    <w:p w14:paraId="19487D5E" w14:textId="77777777" w:rsidR="0024310F" w:rsidRPr="0024310F" w:rsidRDefault="0024310F" w:rsidP="0024310F">
      <w:p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Expect to build:</w:t>
      </w:r>
    </w:p>
    <w:p w14:paraId="0CFE4775" w14:textId="77777777" w:rsidR="0024310F" w:rsidRPr="0024310F" w:rsidRDefault="0024310F" w:rsidP="0024310F">
      <w:pPr>
        <w:numPr>
          <w:ilvl w:val="0"/>
          <w:numId w:val="34"/>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Safety package: target animal safety; user safety; human food safety (residues) for food animals; environmental assessment.</w:t>
      </w:r>
    </w:p>
    <w:p w14:paraId="120811D9" w14:textId="77777777" w:rsidR="0024310F" w:rsidRPr="0024310F" w:rsidRDefault="0024310F" w:rsidP="0024310F">
      <w:pPr>
        <w:numPr>
          <w:ilvl w:val="0"/>
          <w:numId w:val="34"/>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Effectiveness package: “substantial evidence” with appropriate study design, endpoints, and controls.</w:t>
      </w:r>
    </w:p>
    <w:p w14:paraId="5AA16A1A" w14:textId="77777777" w:rsidR="0024310F" w:rsidRPr="0024310F" w:rsidRDefault="0024310F" w:rsidP="0024310F">
      <w:pPr>
        <w:numPr>
          <w:ilvl w:val="0"/>
          <w:numId w:val="34"/>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CMC: drug substance and drug product controls, stability, batch consistency, release testing.</w:t>
      </w:r>
    </w:p>
    <w:p w14:paraId="7D705117" w14:textId="77777777" w:rsidR="0024310F" w:rsidRPr="0024310F" w:rsidRDefault="0024310F" w:rsidP="0024310F">
      <w:pPr>
        <w:numPr>
          <w:ilvl w:val="0"/>
          <w:numId w:val="34"/>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Labeling: exact indication wording, warnings, restrictions, withdrawal times.</w:t>
      </w:r>
    </w:p>
    <w:p w14:paraId="58E3E3E7" w14:textId="77777777" w:rsidR="0024310F" w:rsidRPr="0024310F" w:rsidRDefault="0024310F" w:rsidP="0024310F">
      <w:p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Multimin 90’s FOI summary shows the breadth of considerations FDA evaluated, including overdose toxicity concerns and human food safety risk characterization.</w:t>
      </w:r>
    </w:p>
    <w:p w14:paraId="39AAFB32" w14:textId="77777777" w:rsidR="0024310F" w:rsidRPr="0024310F" w:rsidRDefault="0024310F" w:rsidP="0024310F">
      <w:pPr>
        <w:spacing w:before="100" w:beforeAutospacing="1" w:after="100" w:afterAutospacing="1"/>
        <w:outlineLvl w:val="2"/>
        <w:rPr>
          <w:rFonts w:ascii="Times New Roman" w:eastAsia="Times New Roman" w:hAnsi="Times New Roman" w:cs="Times New Roman"/>
          <w:b/>
          <w:bCs/>
          <w:sz w:val="27"/>
          <w:szCs w:val="27"/>
          <w:lang w:eastAsia="en-GB"/>
        </w:rPr>
      </w:pPr>
      <w:r w:rsidRPr="0024310F">
        <w:rPr>
          <w:rFonts w:ascii="Times New Roman" w:eastAsia="Times New Roman" w:hAnsi="Times New Roman" w:cs="Times New Roman"/>
          <w:b/>
          <w:bCs/>
          <w:sz w:val="27"/>
          <w:szCs w:val="27"/>
          <w:lang w:eastAsia="en-GB"/>
        </w:rPr>
        <w:t>12.4 EU feed additive authorization strategy</w:t>
      </w:r>
    </w:p>
    <w:p w14:paraId="6F7384AE" w14:textId="77777777" w:rsidR="0024310F" w:rsidRPr="0024310F" w:rsidRDefault="0024310F" w:rsidP="0024310F">
      <w:p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A typical EFSA-aligned dossier includes:</w:t>
      </w:r>
    </w:p>
    <w:p w14:paraId="3DB5E70B" w14:textId="77777777" w:rsidR="0024310F" w:rsidRPr="0024310F" w:rsidRDefault="0024310F" w:rsidP="0024310F">
      <w:pPr>
        <w:numPr>
          <w:ilvl w:val="0"/>
          <w:numId w:val="35"/>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characterization and manufacturing process,</w:t>
      </w:r>
    </w:p>
    <w:p w14:paraId="066D7721" w14:textId="77777777" w:rsidR="0024310F" w:rsidRPr="0024310F" w:rsidRDefault="0024310F" w:rsidP="0024310F">
      <w:pPr>
        <w:numPr>
          <w:ilvl w:val="0"/>
          <w:numId w:val="35"/>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safety for target species, consumers, users, environment,</w:t>
      </w:r>
    </w:p>
    <w:p w14:paraId="307FD035" w14:textId="77777777" w:rsidR="0024310F" w:rsidRPr="0024310F" w:rsidRDefault="0024310F" w:rsidP="0024310F">
      <w:pPr>
        <w:numPr>
          <w:ilvl w:val="0"/>
          <w:numId w:val="35"/>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efficacy for the proposed functional group,</w:t>
      </w:r>
    </w:p>
    <w:p w14:paraId="326342F8" w14:textId="77777777" w:rsidR="0024310F" w:rsidRPr="0024310F" w:rsidRDefault="0024310F" w:rsidP="0024310F">
      <w:pPr>
        <w:numPr>
          <w:ilvl w:val="0"/>
          <w:numId w:val="35"/>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stability and homogeneity,</w:t>
      </w:r>
    </w:p>
    <w:p w14:paraId="250CE309" w14:textId="77777777" w:rsidR="0024310F" w:rsidRPr="0024310F" w:rsidRDefault="0024310F" w:rsidP="0024310F">
      <w:pPr>
        <w:numPr>
          <w:ilvl w:val="0"/>
          <w:numId w:val="35"/>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analytical methods and reference lab considerations.</w:t>
      </w:r>
    </w:p>
    <w:p w14:paraId="7A6E99EC" w14:textId="77777777" w:rsidR="0024310F" w:rsidRPr="0024310F" w:rsidRDefault="0024310F" w:rsidP="0024310F">
      <w:p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EU implementing regulations (3-NOP and phages) show how authorizations explicitly encode functional groups, use conditions, and sometimes post-market monitoring.</w:t>
      </w:r>
    </w:p>
    <w:p w14:paraId="0013E1C8" w14:textId="77777777" w:rsidR="0024310F" w:rsidRPr="0024310F" w:rsidRDefault="00D737E8" w:rsidP="0024310F">
      <w:pPr>
        <w:rPr>
          <w:rFonts w:ascii="Times New Roman" w:eastAsia="Times New Roman" w:hAnsi="Times New Roman" w:cs="Times New Roman"/>
          <w:lang w:eastAsia="en-GB"/>
        </w:rPr>
      </w:pPr>
      <w:r>
        <w:rPr>
          <w:rFonts w:ascii="Times New Roman" w:eastAsia="Times New Roman" w:hAnsi="Times New Roman" w:cs="Times New Roman"/>
          <w:noProof/>
          <w:lang w:eastAsia="en-GB"/>
        </w:rPr>
        <w:pict w14:anchorId="7BF1938D">
          <v:rect id="_x0000_i1033" alt="" style="width:451.3pt;height:.05pt;mso-width-percent:0;mso-height-percent:0;mso-width-percent:0;mso-height-percent:0" o:hralign="center" o:hrstd="t" o:hr="t" fillcolor="#a0a0a0" stroked="f"/>
        </w:pict>
      </w:r>
    </w:p>
    <w:p w14:paraId="15C9707A" w14:textId="77777777" w:rsidR="0024310F" w:rsidRPr="0024310F" w:rsidRDefault="0024310F" w:rsidP="0024310F">
      <w:pPr>
        <w:spacing w:before="100" w:beforeAutospacing="1" w:after="100" w:afterAutospacing="1"/>
        <w:outlineLvl w:val="1"/>
        <w:rPr>
          <w:rFonts w:ascii="Times New Roman" w:eastAsia="Times New Roman" w:hAnsi="Times New Roman" w:cs="Times New Roman"/>
          <w:b/>
          <w:bCs/>
          <w:sz w:val="36"/>
          <w:szCs w:val="36"/>
          <w:lang w:eastAsia="en-GB"/>
        </w:rPr>
      </w:pPr>
      <w:r w:rsidRPr="0024310F">
        <w:rPr>
          <w:rFonts w:ascii="Times New Roman" w:eastAsia="Times New Roman" w:hAnsi="Times New Roman" w:cs="Times New Roman"/>
          <w:b/>
          <w:bCs/>
          <w:sz w:val="36"/>
          <w:szCs w:val="36"/>
          <w:lang w:eastAsia="en-GB"/>
        </w:rPr>
        <w:t>13. Manufacturing, quality, and supply chain requirements (what investors will probe)</w:t>
      </w:r>
    </w:p>
    <w:p w14:paraId="6BECC259" w14:textId="77777777" w:rsidR="0024310F" w:rsidRPr="0024310F" w:rsidRDefault="0024310F" w:rsidP="0024310F">
      <w:pPr>
        <w:spacing w:before="100" w:beforeAutospacing="1" w:after="100" w:afterAutospacing="1"/>
        <w:outlineLvl w:val="2"/>
        <w:rPr>
          <w:rFonts w:ascii="Times New Roman" w:eastAsia="Times New Roman" w:hAnsi="Times New Roman" w:cs="Times New Roman"/>
          <w:b/>
          <w:bCs/>
          <w:sz w:val="27"/>
          <w:szCs w:val="27"/>
          <w:lang w:eastAsia="en-GB"/>
        </w:rPr>
      </w:pPr>
      <w:r w:rsidRPr="0024310F">
        <w:rPr>
          <w:rFonts w:ascii="Times New Roman" w:eastAsia="Times New Roman" w:hAnsi="Times New Roman" w:cs="Times New Roman"/>
          <w:b/>
          <w:bCs/>
          <w:sz w:val="27"/>
          <w:szCs w:val="27"/>
          <w:lang w:eastAsia="en-GB"/>
        </w:rPr>
        <w:t>13.1 Why quality is now valuation-relevant</w:t>
      </w:r>
    </w:p>
    <w:p w14:paraId="74E8C982" w14:textId="77777777" w:rsidR="0024310F" w:rsidRPr="0024310F" w:rsidRDefault="0024310F" w:rsidP="0024310F">
      <w:p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lastRenderedPageBreak/>
        <w:t>As products move toward regulated claims, “quality” stops being a back-office activity and becomes:</w:t>
      </w:r>
    </w:p>
    <w:p w14:paraId="21876D8D" w14:textId="77777777" w:rsidR="0024310F" w:rsidRPr="0024310F" w:rsidRDefault="0024310F" w:rsidP="0024310F">
      <w:pPr>
        <w:numPr>
          <w:ilvl w:val="0"/>
          <w:numId w:val="36"/>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a regulatory requirement,</w:t>
      </w:r>
    </w:p>
    <w:p w14:paraId="63826E4C" w14:textId="77777777" w:rsidR="0024310F" w:rsidRPr="0024310F" w:rsidRDefault="0024310F" w:rsidP="0024310F">
      <w:pPr>
        <w:numPr>
          <w:ilvl w:val="0"/>
          <w:numId w:val="36"/>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a customer requirement (integrators, veterinarians, retailers),</w:t>
      </w:r>
    </w:p>
    <w:p w14:paraId="1DCE3CAB" w14:textId="77777777" w:rsidR="0024310F" w:rsidRPr="0024310F" w:rsidRDefault="0024310F" w:rsidP="0024310F">
      <w:pPr>
        <w:numPr>
          <w:ilvl w:val="0"/>
          <w:numId w:val="36"/>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and an enforcement risk reducer.</w:t>
      </w:r>
    </w:p>
    <w:p w14:paraId="0BFA248C" w14:textId="77777777" w:rsidR="0024310F" w:rsidRPr="0024310F" w:rsidRDefault="0024310F" w:rsidP="0024310F">
      <w:p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The Synergy warning letter highlights how FDA tied unapproved drug status to CGMP failures (no quality unit, no testing, no batch records). That is a strong diligence signal for investors.</w:t>
      </w:r>
    </w:p>
    <w:p w14:paraId="1658B9B9" w14:textId="77777777" w:rsidR="0024310F" w:rsidRPr="0024310F" w:rsidRDefault="0024310F" w:rsidP="0024310F">
      <w:pPr>
        <w:spacing w:before="100" w:beforeAutospacing="1" w:after="100" w:afterAutospacing="1"/>
        <w:outlineLvl w:val="2"/>
        <w:rPr>
          <w:rFonts w:ascii="Times New Roman" w:eastAsia="Times New Roman" w:hAnsi="Times New Roman" w:cs="Times New Roman"/>
          <w:b/>
          <w:bCs/>
          <w:sz w:val="27"/>
          <w:szCs w:val="27"/>
          <w:lang w:eastAsia="en-GB"/>
        </w:rPr>
      </w:pPr>
      <w:r w:rsidRPr="0024310F">
        <w:rPr>
          <w:rFonts w:ascii="Times New Roman" w:eastAsia="Times New Roman" w:hAnsi="Times New Roman" w:cs="Times New Roman"/>
          <w:b/>
          <w:bCs/>
          <w:sz w:val="27"/>
          <w:szCs w:val="27"/>
          <w:lang w:eastAsia="en-GB"/>
        </w:rPr>
        <w:t>13.2 Practical quality system elements to implement</w:t>
      </w:r>
    </w:p>
    <w:p w14:paraId="64D99DC9" w14:textId="77777777" w:rsidR="0024310F" w:rsidRPr="0024310F" w:rsidRDefault="0024310F" w:rsidP="0024310F">
      <w:pPr>
        <w:numPr>
          <w:ilvl w:val="0"/>
          <w:numId w:val="37"/>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Supplier qualification and incoming testing</w:t>
      </w:r>
    </w:p>
    <w:p w14:paraId="0B870EF9" w14:textId="77777777" w:rsidR="0024310F" w:rsidRPr="0024310F" w:rsidRDefault="0024310F" w:rsidP="0024310F">
      <w:pPr>
        <w:numPr>
          <w:ilvl w:val="0"/>
          <w:numId w:val="37"/>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Written specifications and COA verification</w:t>
      </w:r>
    </w:p>
    <w:p w14:paraId="57562FF6" w14:textId="77777777" w:rsidR="0024310F" w:rsidRPr="0024310F" w:rsidRDefault="0024310F" w:rsidP="0024310F">
      <w:pPr>
        <w:numPr>
          <w:ilvl w:val="0"/>
          <w:numId w:val="37"/>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Batch records and traceability</w:t>
      </w:r>
    </w:p>
    <w:p w14:paraId="207AD17A" w14:textId="77777777" w:rsidR="0024310F" w:rsidRPr="0024310F" w:rsidRDefault="0024310F" w:rsidP="0024310F">
      <w:pPr>
        <w:numPr>
          <w:ilvl w:val="0"/>
          <w:numId w:val="37"/>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Stability program (real-time and accelerated)</w:t>
      </w:r>
    </w:p>
    <w:p w14:paraId="22C2F862" w14:textId="77777777" w:rsidR="0024310F" w:rsidRPr="0024310F" w:rsidRDefault="0024310F" w:rsidP="0024310F">
      <w:pPr>
        <w:numPr>
          <w:ilvl w:val="0"/>
          <w:numId w:val="37"/>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Label control and content review workflow</w:t>
      </w:r>
    </w:p>
    <w:p w14:paraId="2CBF90E2" w14:textId="77777777" w:rsidR="0024310F" w:rsidRPr="0024310F" w:rsidRDefault="0024310F" w:rsidP="0024310F">
      <w:pPr>
        <w:numPr>
          <w:ilvl w:val="0"/>
          <w:numId w:val="37"/>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Complaint handling and adverse event reporting where applicable</w:t>
      </w:r>
    </w:p>
    <w:p w14:paraId="4C25FA4E" w14:textId="77777777" w:rsidR="0024310F" w:rsidRPr="0024310F" w:rsidRDefault="0024310F" w:rsidP="0024310F">
      <w:pPr>
        <w:numPr>
          <w:ilvl w:val="0"/>
          <w:numId w:val="37"/>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Channel partner compliance controls (distributors, affiliates, resellers)</w:t>
      </w:r>
    </w:p>
    <w:p w14:paraId="680051C2" w14:textId="77777777" w:rsidR="0024310F" w:rsidRPr="0024310F" w:rsidRDefault="00D737E8" w:rsidP="0024310F">
      <w:pPr>
        <w:rPr>
          <w:rFonts w:ascii="Times New Roman" w:eastAsia="Times New Roman" w:hAnsi="Times New Roman" w:cs="Times New Roman"/>
          <w:lang w:eastAsia="en-GB"/>
        </w:rPr>
      </w:pPr>
      <w:r>
        <w:rPr>
          <w:rFonts w:ascii="Times New Roman" w:eastAsia="Times New Roman" w:hAnsi="Times New Roman" w:cs="Times New Roman"/>
          <w:noProof/>
          <w:lang w:eastAsia="en-GB"/>
        </w:rPr>
        <w:pict w14:anchorId="1440E82E">
          <v:rect id="_x0000_i1032" alt="" style="width:451.3pt;height:.05pt;mso-width-percent:0;mso-height-percent:0;mso-width-percent:0;mso-height-percent:0" o:hralign="center" o:hrstd="t" o:hr="t" fillcolor="#a0a0a0" stroked="f"/>
        </w:pict>
      </w:r>
    </w:p>
    <w:p w14:paraId="6F4D6DFE" w14:textId="77777777" w:rsidR="0024310F" w:rsidRPr="0024310F" w:rsidRDefault="0024310F" w:rsidP="0024310F">
      <w:pPr>
        <w:spacing w:before="100" w:beforeAutospacing="1" w:after="100" w:afterAutospacing="1"/>
        <w:outlineLvl w:val="1"/>
        <w:rPr>
          <w:rFonts w:ascii="Times New Roman" w:eastAsia="Times New Roman" w:hAnsi="Times New Roman" w:cs="Times New Roman"/>
          <w:b/>
          <w:bCs/>
          <w:sz w:val="36"/>
          <w:szCs w:val="36"/>
          <w:lang w:eastAsia="en-GB"/>
        </w:rPr>
      </w:pPr>
      <w:r w:rsidRPr="0024310F">
        <w:rPr>
          <w:rFonts w:ascii="Times New Roman" w:eastAsia="Times New Roman" w:hAnsi="Times New Roman" w:cs="Times New Roman"/>
          <w:b/>
          <w:bCs/>
          <w:sz w:val="36"/>
          <w:szCs w:val="36"/>
          <w:lang w:eastAsia="en-GB"/>
        </w:rPr>
        <w:t>14. Go-to-market and compliance operations</w:t>
      </w:r>
    </w:p>
    <w:p w14:paraId="0881A668" w14:textId="77777777" w:rsidR="0024310F" w:rsidRPr="0024310F" w:rsidRDefault="0024310F" w:rsidP="0024310F">
      <w:pPr>
        <w:spacing w:before="100" w:beforeAutospacing="1" w:after="100" w:afterAutospacing="1"/>
        <w:outlineLvl w:val="2"/>
        <w:rPr>
          <w:rFonts w:ascii="Times New Roman" w:eastAsia="Times New Roman" w:hAnsi="Times New Roman" w:cs="Times New Roman"/>
          <w:b/>
          <w:bCs/>
          <w:sz w:val="27"/>
          <w:szCs w:val="27"/>
          <w:lang w:eastAsia="en-GB"/>
        </w:rPr>
      </w:pPr>
      <w:r w:rsidRPr="0024310F">
        <w:rPr>
          <w:rFonts w:ascii="Times New Roman" w:eastAsia="Times New Roman" w:hAnsi="Times New Roman" w:cs="Times New Roman"/>
          <w:b/>
          <w:bCs/>
          <w:sz w:val="27"/>
          <w:szCs w:val="27"/>
          <w:lang w:eastAsia="en-GB"/>
        </w:rPr>
        <w:t>14.1 The “claims governance” operating model (minimum viable)</w:t>
      </w:r>
    </w:p>
    <w:p w14:paraId="70D9A44B" w14:textId="77777777" w:rsidR="0024310F" w:rsidRPr="0024310F" w:rsidRDefault="0024310F" w:rsidP="0024310F">
      <w:pPr>
        <w:numPr>
          <w:ilvl w:val="0"/>
          <w:numId w:val="38"/>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Single owner of claims library (regulatory or quality)</w:t>
      </w:r>
    </w:p>
    <w:p w14:paraId="6880BA25" w14:textId="77777777" w:rsidR="0024310F" w:rsidRPr="0024310F" w:rsidRDefault="0024310F" w:rsidP="0024310F">
      <w:pPr>
        <w:numPr>
          <w:ilvl w:val="0"/>
          <w:numId w:val="38"/>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Pre-approved claims bank by product and jurisdiction</w:t>
      </w:r>
    </w:p>
    <w:p w14:paraId="2D7202AC" w14:textId="77777777" w:rsidR="0024310F" w:rsidRPr="0024310F" w:rsidRDefault="0024310F" w:rsidP="0024310F">
      <w:pPr>
        <w:numPr>
          <w:ilvl w:val="0"/>
          <w:numId w:val="38"/>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Mandatory review of all marketing assets (web, reseller copy, PDFs)</w:t>
      </w:r>
    </w:p>
    <w:p w14:paraId="09DD432D" w14:textId="77777777" w:rsidR="0024310F" w:rsidRPr="0024310F" w:rsidRDefault="0024310F" w:rsidP="0024310F">
      <w:pPr>
        <w:numPr>
          <w:ilvl w:val="0"/>
          <w:numId w:val="38"/>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Training for sales and customer support</w:t>
      </w:r>
    </w:p>
    <w:p w14:paraId="0866BBCA" w14:textId="77777777" w:rsidR="0024310F" w:rsidRPr="0024310F" w:rsidRDefault="0024310F" w:rsidP="0024310F">
      <w:pPr>
        <w:numPr>
          <w:ilvl w:val="0"/>
          <w:numId w:val="38"/>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Auditing of distributor and affiliate pages quarterly</w:t>
      </w:r>
    </w:p>
    <w:p w14:paraId="683EEED3" w14:textId="77777777" w:rsidR="0024310F" w:rsidRPr="0024310F" w:rsidRDefault="0024310F" w:rsidP="0024310F">
      <w:pPr>
        <w:numPr>
          <w:ilvl w:val="0"/>
          <w:numId w:val="38"/>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Written corrective action process when violations occur</w:t>
      </w:r>
    </w:p>
    <w:p w14:paraId="515D0891" w14:textId="77777777" w:rsidR="0024310F" w:rsidRPr="0024310F" w:rsidRDefault="0024310F" w:rsidP="0024310F">
      <w:pPr>
        <w:spacing w:before="100" w:beforeAutospacing="1" w:after="100" w:afterAutospacing="1"/>
        <w:outlineLvl w:val="2"/>
        <w:rPr>
          <w:rFonts w:ascii="Times New Roman" w:eastAsia="Times New Roman" w:hAnsi="Times New Roman" w:cs="Times New Roman"/>
          <w:b/>
          <w:bCs/>
          <w:sz w:val="27"/>
          <w:szCs w:val="27"/>
          <w:lang w:eastAsia="en-GB"/>
        </w:rPr>
      </w:pPr>
      <w:r w:rsidRPr="0024310F">
        <w:rPr>
          <w:rFonts w:ascii="Times New Roman" w:eastAsia="Times New Roman" w:hAnsi="Times New Roman" w:cs="Times New Roman"/>
          <w:b/>
          <w:bCs/>
          <w:sz w:val="27"/>
          <w:szCs w:val="27"/>
          <w:lang w:eastAsia="en-GB"/>
        </w:rPr>
        <w:t>14.2 Post-market monitoring is becoming normal</w:t>
      </w:r>
    </w:p>
    <w:p w14:paraId="791E7C70" w14:textId="77777777" w:rsidR="0024310F" w:rsidRPr="0024310F" w:rsidRDefault="0024310F" w:rsidP="0024310F">
      <w:p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EU phage authorization shows post-market monitoring requirements can be embedded in authorization conditions, especially for resistance-related concerns.</w:t>
      </w:r>
    </w:p>
    <w:p w14:paraId="2198C5C2" w14:textId="77777777" w:rsidR="0024310F" w:rsidRPr="0024310F" w:rsidRDefault="00D737E8" w:rsidP="0024310F">
      <w:pPr>
        <w:rPr>
          <w:rFonts w:ascii="Times New Roman" w:eastAsia="Times New Roman" w:hAnsi="Times New Roman" w:cs="Times New Roman"/>
          <w:lang w:eastAsia="en-GB"/>
        </w:rPr>
      </w:pPr>
      <w:r>
        <w:rPr>
          <w:rFonts w:ascii="Times New Roman" w:eastAsia="Times New Roman" w:hAnsi="Times New Roman" w:cs="Times New Roman"/>
          <w:noProof/>
          <w:lang w:eastAsia="en-GB"/>
        </w:rPr>
        <w:pict w14:anchorId="711F4E1B">
          <v:rect id="_x0000_i1031" alt="" style="width:451.3pt;height:.05pt;mso-width-percent:0;mso-height-percent:0;mso-width-percent:0;mso-height-percent:0" o:hralign="center" o:hrstd="t" o:hr="t" fillcolor="#a0a0a0" stroked="f"/>
        </w:pict>
      </w:r>
    </w:p>
    <w:p w14:paraId="7CE75AB2" w14:textId="77777777" w:rsidR="0024310F" w:rsidRPr="0024310F" w:rsidRDefault="0024310F" w:rsidP="0024310F">
      <w:pPr>
        <w:spacing w:before="100" w:beforeAutospacing="1" w:after="100" w:afterAutospacing="1"/>
        <w:outlineLvl w:val="1"/>
        <w:rPr>
          <w:rFonts w:ascii="Times New Roman" w:eastAsia="Times New Roman" w:hAnsi="Times New Roman" w:cs="Times New Roman"/>
          <w:b/>
          <w:bCs/>
          <w:sz w:val="36"/>
          <w:szCs w:val="36"/>
          <w:lang w:eastAsia="en-GB"/>
        </w:rPr>
      </w:pPr>
      <w:r w:rsidRPr="0024310F">
        <w:rPr>
          <w:rFonts w:ascii="Times New Roman" w:eastAsia="Times New Roman" w:hAnsi="Times New Roman" w:cs="Times New Roman"/>
          <w:b/>
          <w:bCs/>
          <w:sz w:val="36"/>
          <w:szCs w:val="36"/>
          <w:lang w:eastAsia="en-GB"/>
        </w:rPr>
        <w:t>15. Investment implications: diligence questions, deal structures, and “regulatory moat” logic</w:t>
      </w:r>
    </w:p>
    <w:p w14:paraId="528F59D8" w14:textId="77777777" w:rsidR="0024310F" w:rsidRPr="0024310F" w:rsidRDefault="0024310F" w:rsidP="0024310F">
      <w:pPr>
        <w:spacing w:before="100" w:beforeAutospacing="1" w:after="100" w:afterAutospacing="1"/>
        <w:outlineLvl w:val="2"/>
        <w:rPr>
          <w:rFonts w:ascii="Times New Roman" w:eastAsia="Times New Roman" w:hAnsi="Times New Roman" w:cs="Times New Roman"/>
          <w:b/>
          <w:bCs/>
          <w:sz w:val="27"/>
          <w:szCs w:val="27"/>
          <w:lang w:eastAsia="en-GB"/>
        </w:rPr>
      </w:pPr>
      <w:r w:rsidRPr="0024310F">
        <w:rPr>
          <w:rFonts w:ascii="Times New Roman" w:eastAsia="Times New Roman" w:hAnsi="Times New Roman" w:cs="Times New Roman"/>
          <w:b/>
          <w:bCs/>
          <w:sz w:val="27"/>
          <w:szCs w:val="27"/>
          <w:lang w:eastAsia="en-GB"/>
        </w:rPr>
        <w:t>15.1 What a “regulatory moat” looks like in diligence</w:t>
      </w:r>
    </w:p>
    <w:p w14:paraId="6076A4FC" w14:textId="77777777" w:rsidR="0024310F" w:rsidRPr="0024310F" w:rsidRDefault="0024310F" w:rsidP="0024310F">
      <w:p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Investors will ask:</w:t>
      </w:r>
    </w:p>
    <w:p w14:paraId="42A43881" w14:textId="77777777" w:rsidR="0024310F" w:rsidRPr="0024310F" w:rsidRDefault="0024310F" w:rsidP="0024310F">
      <w:pPr>
        <w:numPr>
          <w:ilvl w:val="0"/>
          <w:numId w:val="39"/>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lastRenderedPageBreak/>
        <w:t>What exact claims are being made, and where (including third parties)?</w:t>
      </w:r>
    </w:p>
    <w:p w14:paraId="3118885A" w14:textId="77777777" w:rsidR="0024310F" w:rsidRPr="0024310F" w:rsidRDefault="0024310F" w:rsidP="0024310F">
      <w:pPr>
        <w:numPr>
          <w:ilvl w:val="0"/>
          <w:numId w:val="39"/>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Which lane are you in (food, additive, drug), and what is the written basis?</w:t>
      </w:r>
    </w:p>
    <w:p w14:paraId="1533B638" w14:textId="77777777" w:rsidR="0024310F" w:rsidRPr="0024310F" w:rsidRDefault="0024310F" w:rsidP="0024310F">
      <w:pPr>
        <w:numPr>
          <w:ilvl w:val="0"/>
          <w:numId w:val="39"/>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Do you have a substantiation dossier for every claim?</w:t>
      </w:r>
    </w:p>
    <w:p w14:paraId="7BE24DCB" w14:textId="77777777" w:rsidR="0024310F" w:rsidRPr="0024310F" w:rsidRDefault="0024310F" w:rsidP="0024310F">
      <w:pPr>
        <w:numPr>
          <w:ilvl w:val="0"/>
          <w:numId w:val="39"/>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Have you had any FDA, state, or other regulatory inquiries?</w:t>
      </w:r>
    </w:p>
    <w:p w14:paraId="33CF6194" w14:textId="77777777" w:rsidR="0024310F" w:rsidRPr="0024310F" w:rsidRDefault="0024310F" w:rsidP="0024310F">
      <w:pPr>
        <w:numPr>
          <w:ilvl w:val="0"/>
          <w:numId w:val="39"/>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Is manufacturing audit-ready (batch records, testing, CAPA, stability)?</w:t>
      </w:r>
    </w:p>
    <w:p w14:paraId="35DF35C5" w14:textId="77777777" w:rsidR="0024310F" w:rsidRPr="0024310F" w:rsidRDefault="0024310F" w:rsidP="0024310F">
      <w:pPr>
        <w:numPr>
          <w:ilvl w:val="0"/>
          <w:numId w:val="39"/>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Are you exposed on residues or withdrawal times if food animals?</w:t>
      </w:r>
    </w:p>
    <w:p w14:paraId="4F1E9996" w14:textId="77777777" w:rsidR="0024310F" w:rsidRPr="0024310F" w:rsidRDefault="0024310F" w:rsidP="0024310F">
      <w:pPr>
        <w:numPr>
          <w:ilvl w:val="0"/>
          <w:numId w:val="39"/>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What is your defensibility: approvals, exclusivity, patents, trade secrets, data?</w:t>
      </w:r>
    </w:p>
    <w:p w14:paraId="63F6F338" w14:textId="77777777" w:rsidR="0024310F" w:rsidRPr="0024310F" w:rsidRDefault="0024310F" w:rsidP="0024310F">
      <w:p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Multimin 90 is a case study in how approvals and exclusivity/patent listings can change defensibility and competitive posture.</w:t>
      </w:r>
    </w:p>
    <w:p w14:paraId="13DDA27C" w14:textId="77777777" w:rsidR="0024310F" w:rsidRPr="0024310F" w:rsidRDefault="0024310F" w:rsidP="0024310F">
      <w:pPr>
        <w:spacing w:before="100" w:beforeAutospacing="1" w:after="100" w:afterAutospacing="1"/>
        <w:outlineLvl w:val="2"/>
        <w:rPr>
          <w:rFonts w:ascii="Times New Roman" w:eastAsia="Times New Roman" w:hAnsi="Times New Roman" w:cs="Times New Roman"/>
          <w:b/>
          <w:bCs/>
          <w:sz w:val="27"/>
          <w:szCs w:val="27"/>
          <w:lang w:eastAsia="en-GB"/>
        </w:rPr>
      </w:pPr>
      <w:r w:rsidRPr="0024310F">
        <w:rPr>
          <w:rFonts w:ascii="Times New Roman" w:eastAsia="Times New Roman" w:hAnsi="Times New Roman" w:cs="Times New Roman"/>
          <w:b/>
          <w:bCs/>
          <w:sz w:val="27"/>
          <w:szCs w:val="27"/>
          <w:lang w:eastAsia="en-GB"/>
        </w:rPr>
        <w:t>15.2 Deal structuring recommendations (practical)</w:t>
      </w:r>
    </w:p>
    <w:p w14:paraId="38AF1B2E" w14:textId="77777777" w:rsidR="0024310F" w:rsidRPr="0024310F" w:rsidRDefault="0024310F" w:rsidP="0024310F">
      <w:pPr>
        <w:numPr>
          <w:ilvl w:val="0"/>
          <w:numId w:val="40"/>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Tie earnouts to regulatory milestones (submission accepted, authorization granted, label claim granted).</w:t>
      </w:r>
    </w:p>
    <w:p w14:paraId="30B28D07" w14:textId="77777777" w:rsidR="0024310F" w:rsidRPr="0024310F" w:rsidRDefault="0024310F" w:rsidP="0024310F">
      <w:pPr>
        <w:numPr>
          <w:ilvl w:val="0"/>
          <w:numId w:val="40"/>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Include reps/warranties on marketing claims and channel partner controls.</w:t>
      </w:r>
    </w:p>
    <w:p w14:paraId="4CD90CCD" w14:textId="77777777" w:rsidR="0024310F" w:rsidRPr="0024310F" w:rsidRDefault="0024310F" w:rsidP="0024310F">
      <w:pPr>
        <w:numPr>
          <w:ilvl w:val="0"/>
          <w:numId w:val="40"/>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Require disclosure of all marketing assets and reseller pages in diligence.</w:t>
      </w:r>
    </w:p>
    <w:p w14:paraId="3DCCE459" w14:textId="77777777" w:rsidR="0024310F" w:rsidRPr="0024310F" w:rsidRDefault="0024310F" w:rsidP="0024310F">
      <w:pPr>
        <w:numPr>
          <w:ilvl w:val="0"/>
          <w:numId w:val="40"/>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Add covenants requiring a claim governance system within 60 to 90 days post-close.</w:t>
      </w:r>
    </w:p>
    <w:p w14:paraId="7860F5EE" w14:textId="77777777" w:rsidR="0024310F" w:rsidRPr="0024310F" w:rsidRDefault="00D737E8" w:rsidP="0024310F">
      <w:pPr>
        <w:rPr>
          <w:rFonts w:ascii="Times New Roman" w:eastAsia="Times New Roman" w:hAnsi="Times New Roman" w:cs="Times New Roman"/>
          <w:lang w:eastAsia="en-GB"/>
        </w:rPr>
      </w:pPr>
      <w:r>
        <w:rPr>
          <w:rFonts w:ascii="Times New Roman" w:eastAsia="Times New Roman" w:hAnsi="Times New Roman" w:cs="Times New Roman"/>
          <w:noProof/>
          <w:lang w:eastAsia="en-GB"/>
        </w:rPr>
        <w:pict w14:anchorId="6B6408C3">
          <v:rect id="_x0000_i1030" alt="" style="width:451.3pt;height:.05pt;mso-width-percent:0;mso-height-percent:0;mso-width-percent:0;mso-height-percent:0" o:hralign="center" o:hrstd="t" o:hr="t" fillcolor="#a0a0a0" stroked="f"/>
        </w:pict>
      </w:r>
    </w:p>
    <w:p w14:paraId="3AC7B63B" w14:textId="77777777" w:rsidR="0024310F" w:rsidRPr="0024310F" w:rsidRDefault="0024310F" w:rsidP="0024310F">
      <w:pPr>
        <w:spacing w:before="100" w:beforeAutospacing="1" w:after="100" w:afterAutospacing="1"/>
        <w:outlineLvl w:val="1"/>
        <w:rPr>
          <w:rFonts w:ascii="Times New Roman" w:eastAsia="Times New Roman" w:hAnsi="Times New Roman" w:cs="Times New Roman"/>
          <w:b/>
          <w:bCs/>
          <w:sz w:val="36"/>
          <w:szCs w:val="36"/>
          <w:lang w:eastAsia="en-GB"/>
        </w:rPr>
      </w:pPr>
      <w:r w:rsidRPr="0024310F">
        <w:rPr>
          <w:rFonts w:ascii="Times New Roman" w:eastAsia="Times New Roman" w:hAnsi="Times New Roman" w:cs="Times New Roman"/>
          <w:b/>
          <w:bCs/>
          <w:sz w:val="36"/>
          <w:szCs w:val="36"/>
          <w:lang w:eastAsia="en-GB"/>
        </w:rPr>
        <w:t>16. 2025 to 2030 outlook: scenarios, triggers, and playbook actions</w:t>
      </w:r>
    </w:p>
    <w:p w14:paraId="1AA6B833" w14:textId="77777777" w:rsidR="0024310F" w:rsidRPr="0024310F" w:rsidRDefault="0024310F" w:rsidP="0024310F">
      <w:pPr>
        <w:spacing w:before="100" w:beforeAutospacing="1" w:after="100" w:afterAutospacing="1"/>
        <w:outlineLvl w:val="2"/>
        <w:rPr>
          <w:rFonts w:ascii="Times New Roman" w:eastAsia="Times New Roman" w:hAnsi="Times New Roman" w:cs="Times New Roman"/>
          <w:b/>
          <w:bCs/>
          <w:sz w:val="27"/>
          <w:szCs w:val="27"/>
          <w:lang w:eastAsia="en-GB"/>
        </w:rPr>
      </w:pPr>
      <w:r w:rsidRPr="0024310F">
        <w:rPr>
          <w:rFonts w:ascii="Times New Roman" w:eastAsia="Times New Roman" w:hAnsi="Times New Roman" w:cs="Times New Roman"/>
          <w:b/>
          <w:bCs/>
          <w:sz w:val="27"/>
          <w:szCs w:val="27"/>
          <w:lang w:eastAsia="en-GB"/>
        </w:rPr>
        <w:t>Scenario A: Innovative FEED Act passes (or FDA creates a strong de facto pathway via guidance)</w:t>
      </w:r>
    </w:p>
    <w:p w14:paraId="08F529F0" w14:textId="77777777" w:rsidR="0024310F" w:rsidRPr="0024310F" w:rsidRDefault="0024310F" w:rsidP="0024310F">
      <w:p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Trigger signals:</w:t>
      </w:r>
    </w:p>
    <w:p w14:paraId="40569283" w14:textId="77777777" w:rsidR="0024310F" w:rsidRPr="0024310F" w:rsidRDefault="0024310F" w:rsidP="0024310F">
      <w:pPr>
        <w:numPr>
          <w:ilvl w:val="0"/>
          <w:numId w:val="41"/>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movement of H.R.2203 or S.1906 beyond “introduced,”</w:t>
      </w:r>
    </w:p>
    <w:p w14:paraId="543F7984" w14:textId="77777777" w:rsidR="0024310F" w:rsidRPr="0024310F" w:rsidRDefault="0024310F" w:rsidP="0024310F">
      <w:pPr>
        <w:numPr>
          <w:ilvl w:val="0"/>
          <w:numId w:val="41"/>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publication of Draft GFI 289/291 and subsequent enforcement approach,</w:t>
      </w:r>
    </w:p>
    <w:p w14:paraId="22259333" w14:textId="77777777" w:rsidR="0024310F" w:rsidRPr="0024310F" w:rsidRDefault="0024310F" w:rsidP="0024310F">
      <w:pPr>
        <w:numPr>
          <w:ilvl w:val="0"/>
          <w:numId w:val="41"/>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increased use of food additive petitions for gut-only functional substances.</w:t>
      </w:r>
    </w:p>
    <w:p w14:paraId="168CC1A1" w14:textId="77777777" w:rsidR="0024310F" w:rsidRPr="0024310F" w:rsidRDefault="0024310F" w:rsidP="0024310F">
      <w:p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Action:</w:t>
      </w:r>
    </w:p>
    <w:p w14:paraId="30ECF683" w14:textId="77777777" w:rsidR="0024310F" w:rsidRPr="0024310F" w:rsidRDefault="0024310F" w:rsidP="0024310F">
      <w:pPr>
        <w:numPr>
          <w:ilvl w:val="0"/>
          <w:numId w:val="42"/>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design studies and claims now to align with “gut-only” mechanisms and measurable endpoints.</w:t>
      </w:r>
    </w:p>
    <w:p w14:paraId="0DB9BBD6" w14:textId="77777777" w:rsidR="0024310F" w:rsidRPr="0024310F" w:rsidRDefault="0024310F" w:rsidP="0024310F">
      <w:pPr>
        <w:numPr>
          <w:ilvl w:val="0"/>
          <w:numId w:val="42"/>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build an early FDA engagement plan.</w:t>
      </w:r>
    </w:p>
    <w:p w14:paraId="2967B5B8" w14:textId="77777777" w:rsidR="0024310F" w:rsidRPr="0024310F" w:rsidRDefault="0024310F" w:rsidP="0024310F">
      <w:p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Current status remains introduced (not enacted).</w:t>
      </w:r>
    </w:p>
    <w:p w14:paraId="0AB3176F" w14:textId="77777777" w:rsidR="0024310F" w:rsidRPr="0024310F" w:rsidRDefault="0024310F" w:rsidP="0024310F">
      <w:pPr>
        <w:spacing w:before="100" w:beforeAutospacing="1" w:after="100" w:afterAutospacing="1"/>
        <w:outlineLvl w:val="2"/>
        <w:rPr>
          <w:rFonts w:ascii="Times New Roman" w:eastAsia="Times New Roman" w:hAnsi="Times New Roman" w:cs="Times New Roman"/>
          <w:b/>
          <w:bCs/>
          <w:sz w:val="27"/>
          <w:szCs w:val="27"/>
          <w:lang w:eastAsia="en-GB"/>
        </w:rPr>
      </w:pPr>
      <w:r w:rsidRPr="0024310F">
        <w:rPr>
          <w:rFonts w:ascii="Times New Roman" w:eastAsia="Times New Roman" w:hAnsi="Times New Roman" w:cs="Times New Roman"/>
          <w:b/>
          <w:bCs/>
          <w:sz w:val="27"/>
          <w:szCs w:val="27"/>
          <w:lang w:eastAsia="en-GB"/>
        </w:rPr>
        <w:t>Scenario B: EU continues authorizing high-impact functionals with explicit conditions</w:t>
      </w:r>
    </w:p>
    <w:p w14:paraId="1396AAA9" w14:textId="77777777" w:rsidR="0024310F" w:rsidRPr="0024310F" w:rsidRDefault="0024310F" w:rsidP="0024310F">
      <w:p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Trigger signals:</w:t>
      </w:r>
    </w:p>
    <w:p w14:paraId="161DC4C1" w14:textId="77777777" w:rsidR="0024310F" w:rsidRPr="0024310F" w:rsidRDefault="0024310F" w:rsidP="0024310F">
      <w:pPr>
        <w:numPr>
          <w:ilvl w:val="0"/>
          <w:numId w:val="43"/>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more implementing regulations with post-market monitoring requirements,</w:t>
      </w:r>
    </w:p>
    <w:p w14:paraId="0F11CBCD" w14:textId="77777777" w:rsidR="0024310F" w:rsidRPr="0024310F" w:rsidRDefault="0024310F" w:rsidP="0024310F">
      <w:pPr>
        <w:numPr>
          <w:ilvl w:val="0"/>
          <w:numId w:val="43"/>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accelerated authorizations for environmental and food safety outcomes.</w:t>
      </w:r>
    </w:p>
    <w:p w14:paraId="38C426FA" w14:textId="77777777" w:rsidR="0024310F" w:rsidRPr="0024310F" w:rsidRDefault="0024310F" w:rsidP="0024310F">
      <w:p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lastRenderedPageBreak/>
        <w:t>Action:</w:t>
      </w:r>
    </w:p>
    <w:p w14:paraId="581824CD" w14:textId="77777777" w:rsidR="0024310F" w:rsidRPr="0024310F" w:rsidRDefault="0024310F" w:rsidP="0024310F">
      <w:pPr>
        <w:numPr>
          <w:ilvl w:val="0"/>
          <w:numId w:val="44"/>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build EU-first claim strategy when your product fits a functional group.</w:t>
      </w:r>
    </w:p>
    <w:p w14:paraId="3148C076" w14:textId="77777777" w:rsidR="0024310F" w:rsidRPr="0024310F" w:rsidRDefault="0024310F" w:rsidP="0024310F">
      <w:pPr>
        <w:numPr>
          <w:ilvl w:val="0"/>
          <w:numId w:val="44"/>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treat post-market monitoring as a core capability, not an afterthought.</w:t>
      </w:r>
    </w:p>
    <w:p w14:paraId="4F0C4F99" w14:textId="77777777" w:rsidR="0024310F" w:rsidRPr="0024310F" w:rsidRDefault="0024310F" w:rsidP="0024310F">
      <w:pPr>
        <w:spacing w:before="100" w:beforeAutospacing="1" w:after="100" w:afterAutospacing="1"/>
        <w:outlineLvl w:val="2"/>
        <w:rPr>
          <w:rFonts w:ascii="Times New Roman" w:eastAsia="Times New Roman" w:hAnsi="Times New Roman" w:cs="Times New Roman"/>
          <w:b/>
          <w:bCs/>
          <w:sz w:val="27"/>
          <w:szCs w:val="27"/>
          <w:lang w:eastAsia="en-GB"/>
        </w:rPr>
      </w:pPr>
      <w:r w:rsidRPr="0024310F">
        <w:rPr>
          <w:rFonts w:ascii="Times New Roman" w:eastAsia="Times New Roman" w:hAnsi="Times New Roman" w:cs="Times New Roman"/>
          <w:b/>
          <w:bCs/>
          <w:sz w:val="27"/>
          <w:szCs w:val="27"/>
          <w:lang w:eastAsia="en-GB"/>
        </w:rPr>
        <w:t>Scenario C: Environmental claims become mainstream, and misinformation risk rises</w:t>
      </w:r>
    </w:p>
    <w:p w14:paraId="26568D88" w14:textId="77777777" w:rsidR="0024310F" w:rsidRPr="0024310F" w:rsidRDefault="0024310F" w:rsidP="0024310F">
      <w:p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Trigger signals:</w:t>
      </w:r>
    </w:p>
    <w:p w14:paraId="618051ED" w14:textId="77777777" w:rsidR="0024310F" w:rsidRPr="0024310F" w:rsidRDefault="0024310F" w:rsidP="0024310F">
      <w:pPr>
        <w:numPr>
          <w:ilvl w:val="0"/>
          <w:numId w:val="45"/>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more public controversies similar to Bovaer, heightened scrutiny on “chemicals in food chain,” and reputational risks.</w:t>
      </w:r>
    </w:p>
    <w:p w14:paraId="12D3E1CB" w14:textId="77777777" w:rsidR="0024310F" w:rsidRPr="0024310F" w:rsidRDefault="0024310F" w:rsidP="0024310F">
      <w:p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Action:</w:t>
      </w:r>
    </w:p>
    <w:p w14:paraId="6589E36A" w14:textId="77777777" w:rsidR="0024310F" w:rsidRPr="0024310F" w:rsidRDefault="0024310F" w:rsidP="0024310F">
      <w:pPr>
        <w:numPr>
          <w:ilvl w:val="0"/>
          <w:numId w:val="46"/>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pre-build a transparent science communication package:</w:t>
      </w:r>
    </w:p>
    <w:p w14:paraId="75E63BF6" w14:textId="77777777" w:rsidR="0024310F" w:rsidRPr="0024310F" w:rsidRDefault="0024310F" w:rsidP="0024310F">
      <w:pPr>
        <w:numPr>
          <w:ilvl w:val="1"/>
          <w:numId w:val="46"/>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safety narrative,</w:t>
      </w:r>
    </w:p>
    <w:p w14:paraId="1C974022" w14:textId="77777777" w:rsidR="0024310F" w:rsidRPr="0024310F" w:rsidRDefault="0024310F" w:rsidP="0024310F">
      <w:pPr>
        <w:numPr>
          <w:ilvl w:val="1"/>
          <w:numId w:val="46"/>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handling guidance,</w:t>
      </w:r>
    </w:p>
    <w:p w14:paraId="71842440" w14:textId="77777777" w:rsidR="0024310F" w:rsidRPr="0024310F" w:rsidRDefault="0024310F" w:rsidP="0024310F">
      <w:pPr>
        <w:numPr>
          <w:ilvl w:val="1"/>
          <w:numId w:val="46"/>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residue and food safety summaries,</w:t>
      </w:r>
    </w:p>
    <w:p w14:paraId="756FAB86" w14:textId="77777777" w:rsidR="0024310F" w:rsidRPr="0024310F" w:rsidRDefault="0024310F" w:rsidP="0024310F">
      <w:pPr>
        <w:numPr>
          <w:ilvl w:val="1"/>
          <w:numId w:val="46"/>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and third-party validation where possible.</w:t>
      </w:r>
    </w:p>
    <w:p w14:paraId="581432AF" w14:textId="77777777" w:rsidR="0024310F" w:rsidRPr="0024310F" w:rsidRDefault="00D737E8" w:rsidP="0024310F">
      <w:pPr>
        <w:rPr>
          <w:rFonts w:ascii="Times New Roman" w:eastAsia="Times New Roman" w:hAnsi="Times New Roman" w:cs="Times New Roman"/>
          <w:lang w:eastAsia="en-GB"/>
        </w:rPr>
      </w:pPr>
      <w:r>
        <w:rPr>
          <w:rFonts w:ascii="Times New Roman" w:eastAsia="Times New Roman" w:hAnsi="Times New Roman" w:cs="Times New Roman"/>
          <w:noProof/>
          <w:lang w:eastAsia="en-GB"/>
        </w:rPr>
        <w:pict w14:anchorId="78083176">
          <v:rect id="_x0000_i1029" alt="" style="width:451.3pt;height:.05pt;mso-width-percent:0;mso-height-percent:0;mso-width-percent:0;mso-height-percent:0" o:hralign="center" o:hrstd="t" o:hr="t" fillcolor="#a0a0a0" stroked="f"/>
        </w:pict>
      </w:r>
    </w:p>
    <w:p w14:paraId="19E938EC" w14:textId="77777777" w:rsidR="0024310F" w:rsidRPr="0024310F" w:rsidRDefault="0024310F" w:rsidP="0024310F">
      <w:pPr>
        <w:spacing w:before="100" w:beforeAutospacing="1" w:after="100" w:afterAutospacing="1"/>
        <w:outlineLvl w:val="0"/>
        <w:rPr>
          <w:rFonts w:ascii="Times New Roman" w:eastAsia="Times New Roman" w:hAnsi="Times New Roman" w:cs="Times New Roman"/>
          <w:b/>
          <w:bCs/>
          <w:kern w:val="36"/>
          <w:sz w:val="48"/>
          <w:szCs w:val="48"/>
          <w:lang w:eastAsia="en-GB"/>
        </w:rPr>
      </w:pPr>
      <w:r w:rsidRPr="0024310F">
        <w:rPr>
          <w:rFonts w:ascii="Times New Roman" w:eastAsia="Times New Roman" w:hAnsi="Times New Roman" w:cs="Times New Roman"/>
          <w:b/>
          <w:bCs/>
          <w:kern w:val="36"/>
          <w:sz w:val="48"/>
          <w:szCs w:val="48"/>
          <w:lang w:eastAsia="en-GB"/>
        </w:rPr>
        <w:t>Appendix A: Regulatory strategy one-pager template (copy and paste)</w:t>
      </w:r>
    </w:p>
    <w:p w14:paraId="233964F1" w14:textId="77777777" w:rsidR="0024310F" w:rsidRPr="0024310F" w:rsidRDefault="0024310F" w:rsidP="0024310F">
      <w:p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b/>
          <w:bCs/>
          <w:lang w:eastAsia="en-GB"/>
        </w:rPr>
        <w:t>Product name:</w:t>
      </w:r>
      <w:r w:rsidRPr="0024310F">
        <w:rPr>
          <w:rFonts w:ascii="Times New Roman" w:eastAsia="Times New Roman" w:hAnsi="Times New Roman" w:cs="Times New Roman"/>
          <w:lang w:eastAsia="en-GB"/>
        </w:rPr>
        <w:br/>
      </w:r>
      <w:r w:rsidRPr="0024310F">
        <w:rPr>
          <w:rFonts w:ascii="Times New Roman" w:eastAsia="Times New Roman" w:hAnsi="Times New Roman" w:cs="Times New Roman"/>
          <w:b/>
          <w:bCs/>
          <w:lang w:eastAsia="en-GB"/>
        </w:rPr>
        <w:t>Species / lifecycle stage:</w:t>
      </w:r>
      <w:r w:rsidRPr="0024310F">
        <w:rPr>
          <w:rFonts w:ascii="Times New Roman" w:eastAsia="Times New Roman" w:hAnsi="Times New Roman" w:cs="Times New Roman"/>
          <w:lang w:eastAsia="en-GB"/>
        </w:rPr>
        <w:br/>
      </w:r>
      <w:r w:rsidRPr="0024310F">
        <w:rPr>
          <w:rFonts w:ascii="Times New Roman" w:eastAsia="Times New Roman" w:hAnsi="Times New Roman" w:cs="Times New Roman"/>
          <w:b/>
          <w:bCs/>
          <w:lang w:eastAsia="en-GB"/>
        </w:rPr>
        <w:t>Form:</w:t>
      </w:r>
      <w:r w:rsidRPr="0024310F">
        <w:rPr>
          <w:rFonts w:ascii="Times New Roman" w:eastAsia="Times New Roman" w:hAnsi="Times New Roman" w:cs="Times New Roman"/>
          <w:lang w:eastAsia="en-GB"/>
        </w:rPr>
        <w:t xml:space="preserve"> (premix, top-dress, bolus, water additive, injectable, etc)</w:t>
      </w:r>
      <w:r w:rsidRPr="0024310F">
        <w:rPr>
          <w:rFonts w:ascii="Times New Roman" w:eastAsia="Times New Roman" w:hAnsi="Times New Roman" w:cs="Times New Roman"/>
          <w:lang w:eastAsia="en-GB"/>
        </w:rPr>
        <w:br/>
      </w:r>
      <w:r w:rsidRPr="0024310F">
        <w:rPr>
          <w:rFonts w:ascii="Times New Roman" w:eastAsia="Times New Roman" w:hAnsi="Times New Roman" w:cs="Times New Roman"/>
          <w:b/>
          <w:bCs/>
          <w:lang w:eastAsia="en-GB"/>
        </w:rPr>
        <w:t>Active(s):</w:t>
      </w:r>
      <w:r w:rsidRPr="0024310F">
        <w:rPr>
          <w:rFonts w:ascii="Times New Roman" w:eastAsia="Times New Roman" w:hAnsi="Times New Roman" w:cs="Times New Roman"/>
          <w:lang w:eastAsia="en-GB"/>
        </w:rPr>
        <w:br/>
      </w:r>
      <w:r w:rsidRPr="0024310F">
        <w:rPr>
          <w:rFonts w:ascii="Times New Roman" w:eastAsia="Times New Roman" w:hAnsi="Times New Roman" w:cs="Times New Roman"/>
          <w:b/>
          <w:bCs/>
          <w:lang w:eastAsia="en-GB"/>
        </w:rPr>
        <w:t>Mechanism of action:</w:t>
      </w:r>
      <w:r w:rsidRPr="0024310F">
        <w:rPr>
          <w:rFonts w:ascii="Times New Roman" w:eastAsia="Times New Roman" w:hAnsi="Times New Roman" w:cs="Times New Roman"/>
          <w:lang w:eastAsia="en-GB"/>
        </w:rPr>
        <w:t xml:space="preserve"> (gut-only vs systemic; key pathways)</w:t>
      </w:r>
      <w:r w:rsidRPr="0024310F">
        <w:rPr>
          <w:rFonts w:ascii="Times New Roman" w:eastAsia="Times New Roman" w:hAnsi="Times New Roman" w:cs="Times New Roman"/>
          <w:lang w:eastAsia="en-GB"/>
        </w:rPr>
        <w:br/>
      </w:r>
      <w:r w:rsidRPr="0024310F">
        <w:rPr>
          <w:rFonts w:ascii="Times New Roman" w:eastAsia="Times New Roman" w:hAnsi="Times New Roman" w:cs="Times New Roman"/>
          <w:b/>
          <w:bCs/>
          <w:lang w:eastAsia="en-GB"/>
        </w:rPr>
        <w:t>Primary outcome:</w:t>
      </w:r>
      <w:r w:rsidRPr="0024310F">
        <w:rPr>
          <w:rFonts w:ascii="Times New Roman" w:eastAsia="Times New Roman" w:hAnsi="Times New Roman" w:cs="Times New Roman"/>
          <w:lang w:eastAsia="en-GB"/>
        </w:rPr>
        <w:t xml:space="preserve"> (performance, food safety, environmental, nutritional)</w:t>
      </w:r>
      <w:r w:rsidRPr="0024310F">
        <w:rPr>
          <w:rFonts w:ascii="Times New Roman" w:eastAsia="Times New Roman" w:hAnsi="Times New Roman" w:cs="Times New Roman"/>
          <w:lang w:eastAsia="en-GB"/>
        </w:rPr>
        <w:br/>
      </w:r>
      <w:r w:rsidRPr="0024310F">
        <w:rPr>
          <w:rFonts w:ascii="Times New Roman" w:eastAsia="Times New Roman" w:hAnsi="Times New Roman" w:cs="Times New Roman"/>
          <w:b/>
          <w:bCs/>
          <w:lang w:eastAsia="en-GB"/>
        </w:rPr>
        <w:t>Intended claims (exact wording):</w:t>
      </w:r>
      <w:r w:rsidRPr="0024310F">
        <w:rPr>
          <w:rFonts w:ascii="Times New Roman" w:eastAsia="Times New Roman" w:hAnsi="Times New Roman" w:cs="Times New Roman"/>
          <w:lang w:eastAsia="en-GB"/>
        </w:rPr>
        <w:br/>
      </w:r>
      <w:r w:rsidRPr="0024310F">
        <w:rPr>
          <w:rFonts w:ascii="Times New Roman" w:eastAsia="Times New Roman" w:hAnsi="Times New Roman" w:cs="Times New Roman"/>
          <w:b/>
          <w:bCs/>
          <w:lang w:eastAsia="en-GB"/>
        </w:rPr>
        <w:t>Jurisdiction targets:</w:t>
      </w:r>
      <w:r w:rsidRPr="0024310F">
        <w:rPr>
          <w:rFonts w:ascii="Times New Roman" w:eastAsia="Times New Roman" w:hAnsi="Times New Roman" w:cs="Times New Roman"/>
          <w:lang w:eastAsia="en-GB"/>
        </w:rPr>
        <w:t xml:space="preserve"> US / EU / UK / Canada / etc</w:t>
      </w:r>
      <w:r w:rsidRPr="0024310F">
        <w:rPr>
          <w:rFonts w:ascii="Times New Roman" w:eastAsia="Times New Roman" w:hAnsi="Times New Roman" w:cs="Times New Roman"/>
          <w:lang w:eastAsia="en-GB"/>
        </w:rPr>
        <w:br/>
      </w:r>
      <w:r w:rsidRPr="0024310F">
        <w:rPr>
          <w:rFonts w:ascii="Times New Roman" w:eastAsia="Times New Roman" w:hAnsi="Times New Roman" w:cs="Times New Roman"/>
          <w:b/>
          <w:bCs/>
          <w:lang w:eastAsia="en-GB"/>
        </w:rPr>
        <w:t>Proposed regulatory lane per jurisdiction:</w:t>
      </w:r>
      <w:r w:rsidRPr="0024310F">
        <w:rPr>
          <w:rFonts w:ascii="Times New Roman" w:eastAsia="Times New Roman" w:hAnsi="Times New Roman" w:cs="Times New Roman"/>
          <w:lang w:eastAsia="en-GB"/>
        </w:rPr>
        <w:br/>
      </w:r>
      <w:r w:rsidRPr="0024310F">
        <w:rPr>
          <w:rFonts w:ascii="Times New Roman" w:eastAsia="Times New Roman" w:hAnsi="Times New Roman" w:cs="Times New Roman"/>
          <w:b/>
          <w:bCs/>
          <w:lang w:eastAsia="en-GB"/>
        </w:rPr>
        <w:t>Evidence plan:</w:t>
      </w:r>
      <w:r w:rsidRPr="0024310F">
        <w:rPr>
          <w:rFonts w:ascii="Times New Roman" w:eastAsia="Times New Roman" w:hAnsi="Times New Roman" w:cs="Times New Roman"/>
          <w:lang w:eastAsia="en-GB"/>
        </w:rPr>
        <w:t xml:space="preserve"> (studies, endpoints, timelines)</w:t>
      </w:r>
      <w:r w:rsidRPr="0024310F">
        <w:rPr>
          <w:rFonts w:ascii="Times New Roman" w:eastAsia="Times New Roman" w:hAnsi="Times New Roman" w:cs="Times New Roman"/>
          <w:lang w:eastAsia="en-GB"/>
        </w:rPr>
        <w:br/>
      </w:r>
      <w:r w:rsidRPr="0024310F">
        <w:rPr>
          <w:rFonts w:ascii="Times New Roman" w:eastAsia="Times New Roman" w:hAnsi="Times New Roman" w:cs="Times New Roman"/>
          <w:b/>
          <w:bCs/>
          <w:lang w:eastAsia="en-GB"/>
        </w:rPr>
        <w:t>Manufacturing plan:</w:t>
      </w:r>
      <w:r w:rsidRPr="0024310F">
        <w:rPr>
          <w:rFonts w:ascii="Times New Roman" w:eastAsia="Times New Roman" w:hAnsi="Times New Roman" w:cs="Times New Roman"/>
          <w:lang w:eastAsia="en-GB"/>
        </w:rPr>
        <w:t xml:space="preserve"> (site, quality system, release specs)</w:t>
      </w:r>
      <w:r w:rsidRPr="0024310F">
        <w:rPr>
          <w:rFonts w:ascii="Times New Roman" w:eastAsia="Times New Roman" w:hAnsi="Times New Roman" w:cs="Times New Roman"/>
          <w:lang w:eastAsia="en-GB"/>
        </w:rPr>
        <w:br/>
      </w:r>
      <w:r w:rsidRPr="0024310F">
        <w:rPr>
          <w:rFonts w:ascii="Times New Roman" w:eastAsia="Times New Roman" w:hAnsi="Times New Roman" w:cs="Times New Roman"/>
          <w:b/>
          <w:bCs/>
          <w:lang w:eastAsia="en-GB"/>
        </w:rPr>
        <w:t>Risk register:</w:t>
      </w:r>
      <w:r w:rsidRPr="0024310F">
        <w:rPr>
          <w:rFonts w:ascii="Times New Roman" w:eastAsia="Times New Roman" w:hAnsi="Times New Roman" w:cs="Times New Roman"/>
          <w:lang w:eastAsia="en-GB"/>
        </w:rPr>
        <w:t xml:space="preserve"> (claims risk, residues, user safety, resistance, labeling)</w:t>
      </w:r>
      <w:r w:rsidRPr="0024310F">
        <w:rPr>
          <w:rFonts w:ascii="Times New Roman" w:eastAsia="Times New Roman" w:hAnsi="Times New Roman" w:cs="Times New Roman"/>
          <w:lang w:eastAsia="en-GB"/>
        </w:rPr>
        <w:br/>
      </w:r>
      <w:r w:rsidRPr="0024310F">
        <w:rPr>
          <w:rFonts w:ascii="Times New Roman" w:eastAsia="Times New Roman" w:hAnsi="Times New Roman" w:cs="Times New Roman"/>
          <w:b/>
          <w:bCs/>
          <w:lang w:eastAsia="en-GB"/>
        </w:rPr>
        <w:t>Regulatory engagement plan:</w:t>
      </w:r>
      <w:r w:rsidRPr="0024310F">
        <w:rPr>
          <w:rFonts w:ascii="Times New Roman" w:eastAsia="Times New Roman" w:hAnsi="Times New Roman" w:cs="Times New Roman"/>
          <w:lang w:eastAsia="en-GB"/>
        </w:rPr>
        <w:t xml:space="preserve"> (pre-sub meetings, dossier milestones)</w:t>
      </w:r>
    </w:p>
    <w:p w14:paraId="6BE235A9" w14:textId="77777777" w:rsidR="0024310F" w:rsidRPr="0024310F" w:rsidRDefault="00D737E8" w:rsidP="0024310F">
      <w:pPr>
        <w:rPr>
          <w:rFonts w:ascii="Times New Roman" w:eastAsia="Times New Roman" w:hAnsi="Times New Roman" w:cs="Times New Roman"/>
          <w:lang w:eastAsia="en-GB"/>
        </w:rPr>
      </w:pPr>
      <w:r>
        <w:rPr>
          <w:rFonts w:ascii="Times New Roman" w:eastAsia="Times New Roman" w:hAnsi="Times New Roman" w:cs="Times New Roman"/>
          <w:noProof/>
          <w:lang w:eastAsia="en-GB"/>
        </w:rPr>
        <w:pict w14:anchorId="67D0A009">
          <v:rect id="_x0000_i1028" alt="" style="width:451.3pt;height:.05pt;mso-width-percent:0;mso-height-percent:0;mso-width-percent:0;mso-height-percent:0" o:hralign="center" o:hrstd="t" o:hr="t" fillcolor="#a0a0a0" stroked="f"/>
        </w:pict>
      </w:r>
    </w:p>
    <w:p w14:paraId="60317281" w14:textId="77777777" w:rsidR="0024310F" w:rsidRPr="0024310F" w:rsidRDefault="0024310F" w:rsidP="0024310F">
      <w:pPr>
        <w:spacing w:before="100" w:beforeAutospacing="1" w:after="100" w:afterAutospacing="1"/>
        <w:outlineLvl w:val="0"/>
        <w:rPr>
          <w:rFonts w:ascii="Times New Roman" w:eastAsia="Times New Roman" w:hAnsi="Times New Roman" w:cs="Times New Roman"/>
          <w:b/>
          <w:bCs/>
          <w:kern w:val="36"/>
          <w:sz w:val="48"/>
          <w:szCs w:val="48"/>
          <w:lang w:eastAsia="en-GB"/>
        </w:rPr>
      </w:pPr>
      <w:r w:rsidRPr="0024310F">
        <w:rPr>
          <w:rFonts w:ascii="Times New Roman" w:eastAsia="Times New Roman" w:hAnsi="Times New Roman" w:cs="Times New Roman"/>
          <w:b/>
          <w:bCs/>
          <w:kern w:val="36"/>
          <w:sz w:val="48"/>
          <w:szCs w:val="48"/>
          <w:lang w:eastAsia="en-GB"/>
        </w:rPr>
        <w:t>Appendix B: Claim review checklist (website, label, sales scripts)</w:t>
      </w:r>
    </w:p>
    <w:p w14:paraId="64029E18" w14:textId="77777777" w:rsidR="0024310F" w:rsidRPr="0024310F" w:rsidRDefault="0024310F" w:rsidP="0024310F">
      <w:pPr>
        <w:numPr>
          <w:ilvl w:val="0"/>
          <w:numId w:val="47"/>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Do any claims mention diseases or disease proxies (mastitis, scours, pneumonia, etc)?</w:t>
      </w:r>
    </w:p>
    <w:p w14:paraId="5377F9C0" w14:textId="77777777" w:rsidR="0024310F" w:rsidRPr="0024310F" w:rsidRDefault="0024310F" w:rsidP="0024310F">
      <w:pPr>
        <w:numPr>
          <w:ilvl w:val="0"/>
          <w:numId w:val="47"/>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lastRenderedPageBreak/>
        <w:t>Do testimonials mention disease outcomes you are implicitly endorsing?</w:t>
      </w:r>
    </w:p>
    <w:p w14:paraId="3CB51E55" w14:textId="77777777" w:rsidR="0024310F" w:rsidRPr="0024310F" w:rsidRDefault="0024310F" w:rsidP="0024310F">
      <w:pPr>
        <w:numPr>
          <w:ilvl w:val="0"/>
          <w:numId w:val="47"/>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Do protocol charts recommend use “when sick” or “for outbreak control”?</w:t>
      </w:r>
    </w:p>
    <w:p w14:paraId="0B5965B8" w14:textId="77777777" w:rsidR="0024310F" w:rsidRPr="0024310F" w:rsidRDefault="0024310F" w:rsidP="0024310F">
      <w:pPr>
        <w:numPr>
          <w:ilvl w:val="0"/>
          <w:numId w:val="47"/>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Are you implying antimicrobial or therapeutic action?</w:t>
      </w:r>
    </w:p>
    <w:p w14:paraId="7F9FF837" w14:textId="77777777" w:rsidR="0024310F" w:rsidRPr="0024310F" w:rsidRDefault="0024310F" w:rsidP="0024310F">
      <w:pPr>
        <w:numPr>
          <w:ilvl w:val="0"/>
          <w:numId w:val="47"/>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Do distributors or resellers use prohibited language?</w:t>
      </w:r>
    </w:p>
    <w:p w14:paraId="370254E9" w14:textId="77777777" w:rsidR="0024310F" w:rsidRPr="0024310F" w:rsidRDefault="0024310F" w:rsidP="0024310F">
      <w:pPr>
        <w:numPr>
          <w:ilvl w:val="0"/>
          <w:numId w:val="47"/>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Are disclaimers being used as a substitute for compliant claims (high risk)?</w:t>
      </w:r>
    </w:p>
    <w:p w14:paraId="6F803CF1" w14:textId="77777777" w:rsidR="0024310F" w:rsidRPr="0024310F" w:rsidRDefault="00D737E8" w:rsidP="0024310F">
      <w:pPr>
        <w:rPr>
          <w:rFonts w:ascii="Times New Roman" w:eastAsia="Times New Roman" w:hAnsi="Times New Roman" w:cs="Times New Roman"/>
          <w:lang w:eastAsia="en-GB"/>
        </w:rPr>
      </w:pPr>
      <w:r>
        <w:rPr>
          <w:rFonts w:ascii="Times New Roman" w:eastAsia="Times New Roman" w:hAnsi="Times New Roman" w:cs="Times New Roman"/>
          <w:noProof/>
          <w:lang w:eastAsia="en-GB"/>
        </w:rPr>
        <w:pict w14:anchorId="5671A166">
          <v:rect id="_x0000_i1027" alt="" style="width:451.3pt;height:.05pt;mso-width-percent:0;mso-height-percent:0;mso-width-percent:0;mso-height-percent:0" o:hralign="center" o:hrstd="t" o:hr="t" fillcolor="#a0a0a0" stroked="f"/>
        </w:pict>
      </w:r>
    </w:p>
    <w:p w14:paraId="25AEE2A3" w14:textId="77777777" w:rsidR="0024310F" w:rsidRPr="0024310F" w:rsidRDefault="0024310F" w:rsidP="0024310F">
      <w:pPr>
        <w:spacing w:before="100" w:beforeAutospacing="1" w:after="100" w:afterAutospacing="1"/>
        <w:outlineLvl w:val="0"/>
        <w:rPr>
          <w:rFonts w:ascii="Times New Roman" w:eastAsia="Times New Roman" w:hAnsi="Times New Roman" w:cs="Times New Roman"/>
          <w:b/>
          <w:bCs/>
          <w:kern w:val="36"/>
          <w:sz w:val="48"/>
          <w:szCs w:val="48"/>
          <w:lang w:eastAsia="en-GB"/>
        </w:rPr>
      </w:pPr>
      <w:r w:rsidRPr="0024310F">
        <w:rPr>
          <w:rFonts w:ascii="Times New Roman" w:eastAsia="Times New Roman" w:hAnsi="Times New Roman" w:cs="Times New Roman"/>
          <w:b/>
          <w:bCs/>
          <w:kern w:val="36"/>
          <w:sz w:val="48"/>
          <w:szCs w:val="48"/>
          <w:lang w:eastAsia="en-GB"/>
        </w:rPr>
        <w:t>Appendix C: Dossier checklists (high level)</w:t>
      </w:r>
    </w:p>
    <w:p w14:paraId="41394F12" w14:textId="77777777" w:rsidR="0024310F" w:rsidRPr="0024310F" w:rsidRDefault="0024310F" w:rsidP="0024310F">
      <w:pPr>
        <w:spacing w:before="100" w:beforeAutospacing="1" w:after="100" w:afterAutospacing="1"/>
        <w:outlineLvl w:val="2"/>
        <w:rPr>
          <w:rFonts w:ascii="Times New Roman" w:eastAsia="Times New Roman" w:hAnsi="Times New Roman" w:cs="Times New Roman"/>
          <w:b/>
          <w:bCs/>
          <w:sz w:val="27"/>
          <w:szCs w:val="27"/>
          <w:lang w:eastAsia="en-GB"/>
        </w:rPr>
      </w:pPr>
      <w:r w:rsidRPr="0024310F">
        <w:rPr>
          <w:rFonts w:ascii="Times New Roman" w:eastAsia="Times New Roman" w:hAnsi="Times New Roman" w:cs="Times New Roman"/>
          <w:b/>
          <w:bCs/>
          <w:sz w:val="27"/>
          <w:szCs w:val="27"/>
          <w:lang w:eastAsia="en-GB"/>
        </w:rPr>
        <w:t>US animal food ingredient file (GRAS / AAFCO style)</w:t>
      </w:r>
    </w:p>
    <w:p w14:paraId="4E9B46CC" w14:textId="77777777" w:rsidR="0024310F" w:rsidRPr="0024310F" w:rsidRDefault="0024310F" w:rsidP="0024310F">
      <w:pPr>
        <w:numPr>
          <w:ilvl w:val="0"/>
          <w:numId w:val="48"/>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Identity/specs</w:t>
      </w:r>
    </w:p>
    <w:p w14:paraId="35F7D11C" w14:textId="77777777" w:rsidR="0024310F" w:rsidRPr="0024310F" w:rsidRDefault="0024310F" w:rsidP="0024310F">
      <w:pPr>
        <w:numPr>
          <w:ilvl w:val="0"/>
          <w:numId w:val="48"/>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Manufacturing process</w:t>
      </w:r>
    </w:p>
    <w:p w14:paraId="7F1DE035" w14:textId="77777777" w:rsidR="0024310F" w:rsidRPr="0024310F" w:rsidRDefault="0024310F" w:rsidP="0024310F">
      <w:pPr>
        <w:numPr>
          <w:ilvl w:val="0"/>
          <w:numId w:val="48"/>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Contaminant profile</w:t>
      </w:r>
    </w:p>
    <w:p w14:paraId="382F4492" w14:textId="77777777" w:rsidR="0024310F" w:rsidRPr="0024310F" w:rsidRDefault="0024310F" w:rsidP="0024310F">
      <w:pPr>
        <w:numPr>
          <w:ilvl w:val="0"/>
          <w:numId w:val="48"/>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Safety basis and margins</w:t>
      </w:r>
    </w:p>
    <w:p w14:paraId="08665D80" w14:textId="77777777" w:rsidR="0024310F" w:rsidRPr="0024310F" w:rsidRDefault="0024310F" w:rsidP="0024310F">
      <w:pPr>
        <w:numPr>
          <w:ilvl w:val="0"/>
          <w:numId w:val="48"/>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Intended use statement aligned to lawful claims</w:t>
      </w:r>
    </w:p>
    <w:p w14:paraId="5A1D9D6A" w14:textId="77777777" w:rsidR="0024310F" w:rsidRPr="0024310F" w:rsidRDefault="0024310F" w:rsidP="0024310F">
      <w:pPr>
        <w:numPr>
          <w:ilvl w:val="0"/>
          <w:numId w:val="48"/>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Substantiation for every claim</w:t>
      </w:r>
    </w:p>
    <w:p w14:paraId="3D2CC1E7" w14:textId="77777777" w:rsidR="0024310F" w:rsidRPr="0024310F" w:rsidRDefault="0024310F" w:rsidP="0024310F">
      <w:pPr>
        <w:numPr>
          <w:ilvl w:val="0"/>
          <w:numId w:val="48"/>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Label and marketing governance SOP</w:t>
      </w:r>
    </w:p>
    <w:p w14:paraId="79177EF3" w14:textId="77777777" w:rsidR="0024310F" w:rsidRPr="0024310F" w:rsidRDefault="0024310F" w:rsidP="0024310F">
      <w:pPr>
        <w:spacing w:before="100" w:beforeAutospacing="1" w:after="100" w:afterAutospacing="1"/>
        <w:outlineLvl w:val="2"/>
        <w:rPr>
          <w:rFonts w:ascii="Times New Roman" w:eastAsia="Times New Roman" w:hAnsi="Times New Roman" w:cs="Times New Roman"/>
          <w:b/>
          <w:bCs/>
          <w:sz w:val="27"/>
          <w:szCs w:val="27"/>
          <w:lang w:eastAsia="en-GB"/>
        </w:rPr>
      </w:pPr>
      <w:r w:rsidRPr="0024310F">
        <w:rPr>
          <w:rFonts w:ascii="Times New Roman" w:eastAsia="Times New Roman" w:hAnsi="Times New Roman" w:cs="Times New Roman"/>
          <w:b/>
          <w:bCs/>
          <w:sz w:val="27"/>
          <w:szCs w:val="27"/>
          <w:lang w:eastAsia="en-GB"/>
        </w:rPr>
        <w:t>US NADA-style file</w:t>
      </w:r>
    </w:p>
    <w:p w14:paraId="156E2DC9" w14:textId="77777777" w:rsidR="0024310F" w:rsidRPr="0024310F" w:rsidRDefault="0024310F" w:rsidP="0024310F">
      <w:pPr>
        <w:numPr>
          <w:ilvl w:val="0"/>
          <w:numId w:val="49"/>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Target animal safety</w:t>
      </w:r>
    </w:p>
    <w:p w14:paraId="3EDF3516" w14:textId="77777777" w:rsidR="0024310F" w:rsidRPr="0024310F" w:rsidRDefault="0024310F" w:rsidP="0024310F">
      <w:pPr>
        <w:numPr>
          <w:ilvl w:val="0"/>
          <w:numId w:val="49"/>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Effectiveness (substantial evidence)</w:t>
      </w:r>
    </w:p>
    <w:p w14:paraId="14046842" w14:textId="77777777" w:rsidR="0024310F" w:rsidRPr="0024310F" w:rsidRDefault="0024310F" w:rsidP="0024310F">
      <w:pPr>
        <w:numPr>
          <w:ilvl w:val="0"/>
          <w:numId w:val="49"/>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Human food safety (residues, withdrawal)</w:t>
      </w:r>
    </w:p>
    <w:p w14:paraId="08206899" w14:textId="77777777" w:rsidR="0024310F" w:rsidRPr="0024310F" w:rsidRDefault="0024310F" w:rsidP="0024310F">
      <w:pPr>
        <w:numPr>
          <w:ilvl w:val="0"/>
          <w:numId w:val="49"/>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User safety</w:t>
      </w:r>
    </w:p>
    <w:p w14:paraId="5E596708" w14:textId="77777777" w:rsidR="0024310F" w:rsidRPr="0024310F" w:rsidRDefault="0024310F" w:rsidP="0024310F">
      <w:pPr>
        <w:numPr>
          <w:ilvl w:val="0"/>
          <w:numId w:val="49"/>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Environmental</w:t>
      </w:r>
    </w:p>
    <w:p w14:paraId="26D2999D" w14:textId="77777777" w:rsidR="0024310F" w:rsidRPr="0024310F" w:rsidRDefault="0024310F" w:rsidP="0024310F">
      <w:pPr>
        <w:numPr>
          <w:ilvl w:val="0"/>
          <w:numId w:val="49"/>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CMC and stability</w:t>
      </w:r>
    </w:p>
    <w:p w14:paraId="785BF19A" w14:textId="77777777" w:rsidR="0024310F" w:rsidRPr="0024310F" w:rsidRDefault="0024310F" w:rsidP="0024310F">
      <w:pPr>
        <w:numPr>
          <w:ilvl w:val="0"/>
          <w:numId w:val="49"/>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Labeling and Rx/OTC decisions</w:t>
      </w:r>
      <w:r w:rsidRPr="0024310F">
        <w:rPr>
          <w:rFonts w:ascii="Times New Roman" w:eastAsia="Times New Roman" w:hAnsi="Times New Roman" w:cs="Times New Roman"/>
          <w:lang w:eastAsia="en-GB"/>
        </w:rPr>
        <w:br/>
        <w:t>(Multimin FOI summary illustrates these components in practice.)</w:t>
      </w:r>
    </w:p>
    <w:p w14:paraId="7A508B6A" w14:textId="77777777" w:rsidR="0024310F" w:rsidRPr="0024310F" w:rsidRDefault="0024310F" w:rsidP="0024310F">
      <w:pPr>
        <w:spacing w:before="100" w:beforeAutospacing="1" w:after="100" w:afterAutospacing="1"/>
        <w:outlineLvl w:val="2"/>
        <w:rPr>
          <w:rFonts w:ascii="Times New Roman" w:eastAsia="Times New Roman" w:hAnsi="Times New Roman" w:cs="Times New Roman"/>
          <w:b/>
          <w:bCs/>
          <w:sz w:val="27"/>
          <w:szCs w:val="27"/>
          <w:lang w:eastAsia="en-GB"/>
        </w:rPr>
      </w:pPr>
      <w:r w:rsidRPr="0024310F">
        <w:rPr>
          <w:rFonts w:ascii="Times New Roman" w:eastAsia="Times New Roman" w:hAnsi="Times New Roman" w:cs="Times New Roman"/>
          <w:b/>
          <w:bCs/>
          <w:sz w:val="27"/>
          <w:szCs w:val="27"/>
          <w:lang w:eastAsia="en-GB"/>
        </w:rPr>
        <w:t>EU feed additive authorization file</w:t>
      </w:r>
    </w:p>
    <w:p w14:paraId="7F01660D" w14:textId="77777777" w:rsidR="0024310F" w:rsidRPr="0024310F" w:rsidRDefault="0024310F" w:rsidP="0024310F">
      <w:pPr>
        <w:numPr>
          <w:ilvl w:val="0"/>
          <w:numId w:val="50"/>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Characterization and manufacturing</w:t>
      </w:r>
    </w:p>
    <w:p w14:paraId="73B50D5C" w14:textId="77777777" w:rsidR="0024310F" w:rsidRPr="0024310F" w:rsidRDefault="0024310F" w:rsidP="0024310F">
      <w:pPr>
        <w:numPr>
          <w:ilvl w:val="0"/>
          <w:numId w:val="50"/>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Safety: animal, consumer, user, environment</w:t>
      </w:r>
    </w:p>
    <w:p w14:paraId="03CE8061" w14:textId="77777777" w:rsidR="0024310F" w:rsidRPr="0024310F" w:rsidRDefault="0024310F" w:rsidP="0024310F">
      <w:pPr>
        <w:numPr>
          <w:ilvl w:val="0"/>
          <w:numId w:val="50"/>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Efficacy for functional group</w:t>
      </w:r>
    </w:p>
    <w:p w14:paraId="241FC9C1" w14:textId="77777777" w:rsidR="0024310F" w:rsidRPr="0024310F" w:rsidRDefault="0024310F" w:rsidP="0024310F">
      <w:pPr>
        <w:numPr>
          <w:ilvl w:val="0"/>
          <w:numId w:val="50"/>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Stability/homogeneity</w:t>
      </w:r>
    </w:p>
    <w:p w14:paraId="728BB3A6" w14:textId="77777777" w:rsidR="0024310F" w:rsidRPr="0024310F" w:rsidRDefault="0024310F" w:rsidP="0024310F">
      <w:pPr>
        <w:numPr>
          <w:ilvl w:val="0"/>
          <w:numId w:val="50"/>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Methods of analysis</w:t>
      </w:r>
    </w:p>
    <w:p w14:paraId="7477CC88" w14:textId="77777777" w:rsidR="0024310F" w:rsidRPr="0024310F" w:rsidRDefault="0024310F" w:rsidP="0024310F">
      <w:pPr>
        <w:numPr>
          <w:ilvl w:val="0"/>
          <w:numId w:val="50"/>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Post-market monitoring plan where required</w:t>
      </w:r>
    </w:p>
    <w:p w14:paraId="32EE6688" w14:textId="77777777" w:rsidR="0024310F" w:rsidRPr="0024310F" w:rsidRDefault="00D737E8" w:rsidP="0024310F">
      <w:pPr>
        <w:rPr>
          <w:rFonts w:ascii="Times New Roman" w:eastAsia="Times New Roman" w:hAnsi="Times New Roman" w:cs="Times New Roman"/>
          <w:lang w:eastAsia="en-GB"/>
        </w:rPr>
      </w:pPr>
      <w:r>
        <w:rPr>
          <w:rFonts w:ascii="Times New Roman" w:eastAsia="Times New Roman" w:hAnsi="Times New Roman" w:cs="Times New Roman"/>
          <w:noProof/>
          <w:lang w:eastAsia="en-GB"/>
        </w:rPr>
        <w:pict w14:anchorId="18474379">
          <v:rect id="_x0000_i1026" alt="" style="width:451.3pt;height:.05pt;mso-width-percent:0;mso-height-percent:0;mso-width-percent:0;mso-height-percent:0" o:hralign="center" o:hrstd="t" o:hr="t" fillcolor="#a0a0a0" stroked="f"/>
        </w:pict>
      </w:r>
    </w:p>
    <w:p w14:paraId="7EE0433F" w14:textId="77777777" w:rsidR="0024310F" w:rsidRPr="0024310F" w:rsidRDefault="0024310F" w:rsidP="0024310F">
      <w:pPr>
        <w:spacing w:before="100" w:beforeAutospacing="1" w:after="100" w:afterAutospacing="1"/>
        <w:outlineLvl w:val="0"/>
        <w:rPr>
          <w:rFonts w:ascii="Times New Roman" w:eastAsia="Times New Roman" w:hAnsi="Times New Roman" w:cs="Times New Roman"/>
          <w:b/>
          <w:bCs/>
          <w:kern w:val="36"/>
          <w:sz w:val="48"/>
          <w:szCs w:val="48"/>
          <w:lang w:eastAsia="en-GB"/>
        </w:rPr>
      </w:pPr>
      <w:r w:rsidRPr="0024310F">
        <w:rPr>
          <w:rFonts w:ascii="Times New Roman" w:eastAsia="Times New Roman" w:hAnsi="Times New Roman" w:cs="Times New Roman"/>
          <w:b/>
          <w:bCs/>
          <w:kern w:val="36"/>
          <w:sz w:val="48"/>
          <w:szCs w:val="48"/>
          <w:lang w:eastAsia="en-GB"/>
        </w:rPr>
        <w:t>Appendix D: Investor/acquirer diligence questionnaire (condensed)</w:t>
      </w:r>
    </w:p>
    <w:p w14:paraId="7C80D1E7" w14:textId="77777777" w:rsidR="0024310F" w:rsidRPr="0024310F" w:rsidRDefault="0024310F" w:rsidP="0024310F">
      <w:pPr>
        <w:numPr>
          <w:ilvl w:val="0"/>
          <w:numId w:val="51"/>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List every claim in market (label, web, reseller, social).</w:t>
      </w:r>
    </w:p>
    <w:p w14:paraId="75017B15" w14:textId="77777777" w:rsidR="0024310F" w:rsidRPr="0024310F" w:rsidRDefault="0024310F" w:rsidP="0024310F">
      <w:pPr>
        <w:numPr>
          <w:ilvl w:val="0"/>
          <w:numId w:val="51"/>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Provide substantiation files per claim.</w:t>
      </w:r>
    </w:p>
    <w:p w14:paraId="54DBD1AF" w14:textId="77777777" w:rsidR="0024310F" w:rsidRPr="0024310F" w:rsidRDefault="0024310F" w:rsidP="0024310F">
      <w:pPr>
        <w:numPr>
          <w:ilvl w:val="0"/>
          <w:numId w:val="51"/>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lastRenderedPageBreak/>
        <w:t>Provide regulatory classification memo per jurisdiction.</w:t>
      </w:r>
    </w:p>
    <w:p w14:paraId="10080690" w14:textId="77777777" w:rsidR="0024310F" w:rsidRPr="0024310F" w:rsidRDefault="0024310F" w:rsidP="0024310F">
      <w:pPr>
        <w:numPr>
          <w:ilvl w:val="0"/>
          <w:numId w:val="51"/>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Provide manufacturing documentation (specs, COAs, batch records, stability).</w:t>
      </w:r>
    </w:p>
    <w:p w14:paraId="1EF06994" w14:textId="77777777" w:rsidR="0024310F" w:rsidRPr="0024310F" w:rsidRDefault="0024310F" w:rsidP="0024310F">
      <w:pPr>
        <w:numPr>
          <w:ilvl w:val="0"/>
          <w:numId w:val="51"/>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Provide complaint history and adverse events (if tracked).</w:t>
      </w:r>
    </w:p>
    <w:p w14:paraId="080F0D23" w14:textId="77777777" w:rsidR="0024310F" w:rsidRPr="0024310F" w:rsidRDefault="0024310F" w:rsidP="0024310F">
      <w:pPr>
        <w:numPr>
          <w:ilvl w:val="0"/>
          <w:numId w:val="51"/>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Provide any regulator correspondence, inspections, warnings.</w:t>
      </w:r>
    </w:p>
    <w:p w14:paraId="4477BE4C" w14:textId="77777777" w:rsidR="0024310F" w:rsidRPr="0024310F" w:rsidRDefault="0024310F" w:rsidP="0024310F">
      <w:pPr>
        <w:numPr>
          <w:ilvl w:val="0"/>
          <w:numId w:val="51"/>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lang w:eastAsia="en-GB"/>
        </w:rPr>
        <w:t>Provide IP and exclusivity position (patents, data, approvals).</w:t>
      </w:r>
    </w:p>
    <w:p w14:paraId="40CC477F" w14:textId="77777777" w:rsidR="0024310F" w:rsidRPr="0024310F" w:rsidRDefault="00D737E8" w:rsidP="0024310F">
      <w:pPr>
        <w:rPr>
          <w:rFonts w:ascii="Times New Roman" w:eastAsia="Times New Roman" w:hAnsi="Times New Roman" w:cs="Times New Roman"/>
          <w:lang w:eastAsia="en-GB"/>
        </w:rPr>
      </w:pPr>
      <w:r>
        <w:rPr>
          <w:rFonts w:ascii="Times New Roman" w:eastAsia="Times New Roman" w:hAnsi="Times New Roman" w:cs="Times New Roman"/>
          <w:noProof/>
          <w:lang w:eastAsia="en-GB"/>
        </w:rPr>
        <w:pict w14:anchorId="6E208161">
          <v:rect id="_x0000_i1025" alt="" style="width:451.3pt;height:.05pt;mso-width-percent:0;mso-height-percent:0;mso-width-percent:0;mso-height-percent:0" o:hralign="center" o:hrstd="t" o:hr="t" fillcolor="#a0a0a0" stroked="f"/>
        </w:pict>
      </w:r>
    </w:p>
    <w:p w14:paraId="77DF9D76" w14:textId="77777777" w:rsidR="0024310F" w:rsidRPr="0024310F" w:rsidRDefault="0024310F" w:rsidP="0024310F">
      <w:pPr>
        <w:spacing w:before="100" w:beforeAutospacing="1" w:after="100" w:afterAutospacing="1"/>
        <w:outlineLvl w:val="0"/>
        <w:rPr>
          <w:rFonts w:ascii="Times New Roman" w:eastAsia="Times New Roman" w:hAnsi="Times New Roman" w:cs="Times New Roman"/>
          <w:b/>
          <w:bCs/>
          <w:kern w:val="36"/>
          <w:sz w:val="48"/>
          <w:szCs w:val="48"/>
          <w:lang w:eastAsia="en-GB"/>
        </w:rPr>
      </w:pPr>
      <w:r w:rsidRPr="0024310F">
        <w:rPr>
          <w:rFonts w:ascii="Times New Roman" w:eastAsia="Times New Roman" w:hAnsi="Times New Roman" w:cs="Times New Roman"/>
          <w:b/>
          <w:bCs/>
          <w:kern w:val="36"/>
          <w:sz w:val="48"/>
          <w:szCs w:val="48"/>
          <w:lang w:eastAsia="en-GB"/>
        </w:rPr>
        <w:t>Appendix E: Glossary (selected)</w:t>
      </w:r>
    </w:p>
    <w:p w14:paraId="58A8BF43" w14:textId="77777777" w:rsidR="0024310F" w:rsidRPr="0024310F" w:rsidRDefault="0024310F" w:rsidP="0024310F">
      <w:pPr>
        <w:numPr>
          <w:ilvl w:val="0"/>
          <w:numId w:val="52"/>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b/>
          <w:bCs/>
          <w:lang w:eastAsia="en-GB"/>
        </w:rPr>
        <w:t>Intended use:</w:t>
      </w:r>
      <w:r w:rsidRPr="0024310F">
        <w:rPr>
          <w:rFonts w:ascii="Times New Roman" w:eastAsia="Times New Roman" w:hAnsi="Times New Roman" w:cs="Times New Roman"/>
          <w:lang w:eastAsia="en-GB"/>
        </w:rPr>
        <w:t xml:space="preserve"> the regulator-inferred purpose of the product, derived from total communications.</w:t>
      </w:r>
    </w:p>
    <w:p w14:paraId="5CBE4FDE" w14:textId="77777777" w:rsidR="0024310F" w:rsidRPr="0024310F" w:rsidRDefault="0024310F" w:rsidP="0024310F">
      <w:pPr>
        <w:numPr>
          <w:ilvl w:val="0"/>
          <w:numId w:val="52"/>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b/>
          <w:bCs/>
          <w:lang w:eastAsia="en-GB"/>
        </w:rPr>
        <w:t>Zootechnical additive (EU):</w:t>
      </w:r>
      <w:r w:rsidRPr="0024310F">
        <w:rPr>
          <w:rFonts w:ascii="Times New Roman" w:eastAsia="Times New Roman" w:hAnsi="Times New Roman" w:cs="Times New Roman"/>
          <w:lang w:eastAsia="en-GB"/>
        </w:rPr>
        <w:t xml:space="preserve"> feed additive category under Regulation 1831/2003 aimed at performance/environment outcomes.</w:t>
      </w:r>
    </w:p>
    <w:p w14:paraId="0C0AF262" w14:textId="77777777" w:rsidR="0024310F" w:rsidRPr="0024310F" w:rsidRDefault="0024310F" w:rsidP="0024310F">
      <w:pPr>
        <w:numPr>
          <w:ilvl w:val="0"/>
          <w:numId w:val="52"/>
        </w:numPr>
        <w:spacing w:before="100" w:beforeAutospacing="1" w:after="100" w:afterAutospacing="1"/>
        <w:rPr>
          <w:rFonts w:ascii="Times New Roman" w:eastAsia="Times New Roman" w:hAnsi="Times New Roman" w:cs="Times New Roman"/>
          <w:lang w:eastAsia="en-GB"/>
        </w:rPr>
      </w:pPr>
      <w:r w:rsidRPr="0024310F">
        <w:rPr>
          <w:rFonts w:ascii="Times New Roman" w:eastAsia="Times New Roman" w:hAnsi="Times New Roman" w:cs="Times New Roman"/>
          <w:b/>
          <w:bCs/>
          <w:lang w:eastAsia="en-GB"/>
        </w:rPr>
        <w:t>Zootechnical animal food substance (proposed US):</w:t>
      </w:r>
      <w:r w:rsidRPr="0024310F">
        <w:rPr>
          <w:rFonts w:ascii="Times New Roman" w:eastAsia="Times New Roman" w:hAnsi="Times New Roman" w:cs="Times New Roman"/>
          <w:lang w:eastAsia="en-GB"/>
        </w:rPr>
        <w:t xml:space="preserve"> category proposed in Innovative FEED Act bills for gut-only functional substances to be regulated as food additives.</w:t>
      </w:r>
    </w:p>
    <w:p w14:paraId="34214A15" w14:textId="77777777" w:rsidR="009F7625" w:rsidRDefault="009F7625"/>
    <w:p w14:paraId="36FCCDB6" w14:textId="77777777" w:rsidR="006F70B5" w:rsidRDefault="006F70B5"/>
    <w:p w14:paraId="2F462B69" w14:textId="77777777" w:rsidR="006F70B5" w:rsidRDefault="006F70B5"/>
    <w:p w14:paraId="32FC9F8F" w14:textId="77777777" w:rsidR="006F70B5" w:rsidRDefault="006F70B5"/>
    <w:p w14:paraId="4A02AEE6" w14:textId="77777777" w:rsidR="006F70B5" w:rsidRPr="006F70B5" w:rsidRDefault="006F70B5" w:rsidP="006F70B5">
      <w:pPr>
        <w:rPr>
          <w:b/>
          <w:bCs/>
        </w:rPr>
      </w:pPr>
      <w:r w:rsidRPr="006F70B5">
        <w:rPr>
          <w:b/>
          <w:bCs/>
        </w:rPr>
        <w:t>Multimin 90 and the Axiota precedent</w:t>
      </w:r>
    </w:p>
    <w:p w14:paraId="63FC8F09" w14:textId="77777777" w:rsidR="006F70B5" w:rsidRPr="006F70B5" w:rsidRDefault="006F70B5" w:rsidP="006F70B5">
      <w:r w:rsidRPr="006F70B5">
        <w:t>FDA Animal Drugs @ FDA - FOI Summary for the Original Approval of NADA 141-582 (MULTIMIN 90) (PDF)</w:t>
      </w:r>
    </w:p>
    <w:p w14:paraId="6B08322B" w14:textId="77777777" w:rsidR="006F70B5" w:rsidRPr="006F70B5" w:rsidRDefault="006F70B5" w:rsidP="006F70B5">
      <w:r w:rsidRPr="006F70B5">
        <w:t>https://animaldrugsatfda.fda.gov/adafda/app/search/public/document/downloadFoi/15347</w:t>
      </w:r>
    </w:p>
    <w:p w14:paraId="34799D06" w14:textId="77777777" w:rsidR="006F70B5" w:rsidRPr="006F70B5" w:rsidRDefault="006F70B5" w:rsidP="006F70B5"/>
    <w:p w14:paraId="3889BD55" w14:textId="77777777" w:rsidR="006F70B5" w:rsidRPr="006F70B5" w:rsidRDefault="006F70B5" w:rsidP="006F70B5">
      <w:r w:rsidRPr="006F70B5">
        <w:t>FDA Animal Drugs @ FDA - Green Book Monthly Update (May 2024) (PDF)</w:t>
      </w:r>
    </w:p>
    <w:p w14:paraId="17312AAA" w14:textId="77777777" w:rsidR="006F70B5" w:rsidRPr="006F70B5" w:rsidRDefault="006F70B5" w:rsidP="006F70B5">
      <w:r w:rsidRPr="006F70B5">
        <w:t>https://animaldrugsatfda.fda.gov/adafda/app/search/public/monthlyUpdates/downloadMonthlyUpdate/1801</w:t>
      </w:r>
    </w:p>
    <w:p w14:paraId="543E8BDB" w14:textId="77777777" w:rsidR="006F70B5" w:rsidRPr="006F70B5" w:rsidRDefault="006F70B5" w:rsidP="006F70B5"/>
    <w:p w14:paraId="7E883110" w14:textId="77777777" w:rsidR="006F70B5" w:rsidRPr="006F70B5" w:rsidRDefault="006F70B5" w:rsidP="006F70B5">
      <w:r w:rsidRPr="006F70B5">
        <w:t>FDA Animal Drugs @ FDA - Green Book Section 4: Exclusivity Periods (PDF)</w:t>
      </w:r>
    </w:p>
    <w:p w14:paraId="49CF3137" w14:textId="77777777" w:rsidR="006F70B5" w:rsidRPr="006F70B5" w:rsidRDefault="006F70B5" w:rsidP="006F70B5">
      <w:r w:rsidRPr="006F70B5">
        <w:t>https://animaldrugsatfda.fda.gov/adafda/app/search/public/exclusivityInformationPdf/Section4ExclusivityPeriods</w:t>
      </w:r>
    </w:p>
    <w:p w14:paraId="2C9FF54E" w14:textId="77777777" w:rsidR="006F70B5" w:rsidRPr="006F70B5" w:rsidRDefault="006F70B5" w:rsidP="006F70B5"/>
    <w:p w14:paraId="0F928183" w14:textId="77777777" w:rsidR="006F70B5" w:rsidRPr="006F70B5" w:rsidRDefault="006F70B5" w:rsidP="006F70B5">
      <w:r w:rsidRPr="006F70B5">
        <w:t>FDA Animal Drugs @ FDA - Green Book Section 3: Patent Information (PDF)</w:t>
      </w:r>
    </w:p>
    <w:p w14:paraId="027F3FB5" w14:textId="77777777" w:rsidR="006F70B5" w:rsidRPr="006F70B5" w:rsidRDefault="006F70B5" w:rsidP="006F70B5">
      <w:r w:rsidRPr="006F70B5">
        <w:t>https://animaldrugsatfda.fda.gov/adafda/app/search/public/patentInformationPdf/Section3PatentInformation</w:t>
      </w:r>
    </w:p>
    <w:p w14:paraId="66BBB04F" w14:textId="77777777" w:rsidR="006F70B5" w:rsidRPr="006F70B5" w:rsidRDefault="006F70B5" w:rsidP="006F70B5"/>
    <w:p w14:paraId="4967B153" w14:textId="77777777" w:rsidR="006F70B5" w:rsidRPr="006F70B5" w:rsidRDefault="006F70B5" w:rsidP="006F70B5">
      <w:r w:rsidRPr="006F70B5">
        <w:t>DailyMed (NIH) - MULTIMIN 90 label</w:t>
      </w:r>
    </w:p>
    <w:p w14:paraId="2A0A99D7" w14:textId="77777777" w:rsidR="006F70B5" w:rsidRPr="006F70B5" w:rsidRDefault="006F70B5" w:rsidP="006F70B5">
      <w:r w:rsidRPr="006F70B5">
        <w:t>https://dailymed.nlm.nih.gov/dailymed/fda/fdaDrugXsl.cfm?setid=c1d76049-a036-48f7-bf3a-0aab5ddfff7c</w:t>
      </w:r>
    </w:p>
    <w:p w14:paraId="73BC9B07" w14:textId="77777777" w:rsidR="006F70B5" w:rsidRPr="006F70B5" w:rsidRDefault="006F70B5" w:rsidP="006F70B5"/>
    <w:p w14:paraId="25945827" w14:textId="77777777" w:rsidR="006F70B5" w:rsidRPr="006F70B5" w:rsidRDefault="006F70B5" w:rsidP="006F70B5">
      <w:r w:rsidRPr="006F70B5">
        <w:t>Axiota - Press release: FDA Approval of Multimin 90</w:t>
      </w:r>
    </w:p>
    <w:p w14:paraId="47068657" w14:textId="77777777" w:rsidR="006F70B5" w:rsidRPr="006F70B5" w:rsidRDefault="006F70B5" w:rsidP="006F70B5">
      <w:r w:rsidRPr="006F70B5">
        <w:t>https://axiota.com/axiota-animal-health-announces-fda-approval-of-multimin-90/</w:t>
      </w:r>
    </w:p>
    <w:p w14:paraId="605C9DF5" w14:textId="77777777" w:rsidR="006F70B5" w:rsidRPr="006F70B5" w:rsidRDefault="006F70B5" w:rsidP="006F70B5"/>
    <w:p w14:paraId="5C249E7D" w14:textId="77777777" w:rsidR="006F70B5" w:rsidRPr="006F70B5" w:rsidRDefault="006F70B5" w:rsidP="006F70B5">
      <w:r w:rsidRPr="006F70B5">
        <w:lastRenderedPageBreak/>
        <w:t>Axiota - Multimin 90 patent listing page</w:t>
      </w:r>
    </w:p>
    <w:p w14:paraId="03E0FD20" w14:textId="77777777" w:rsidR="006F70B5" w:rsidRPr="006F70B5" w:rsidRDefault="006F70B5" w:rsidP="006F70B5">
      <w:r w:rsidRPr="006F70B5">
        <w:t>https://axiota.com/patent/</w:t>
      </w:r>
    </w:p>
    <w:p w14:paraId="695B74B0" w14:textId="77777777" w:rsidR="006F70B5" w:rsidRPr="006F70B5" w:rsidRDefault="006F70B5" w:rsidP="006F70B5"/>
    <w:p w14:paraId="74986963" w14:textId="77777777" w:rsidR="006F70B5" w:rsidRPr="006F70B5" w:rsidRDefault="006F70B5" w:rsidP="006F70B5">
      <w:r w:rsidRPr="006F70B5">
        <w:t>FDA - Approved Animal Drug Products (Green Book) overview page</w:t>
      </w:r>
    </w:p>
    <w:p w14:paraId="160FF8EC" w14:textId="77777777" w:rsidR="006F70B5" w:rsidRPr="006F70B5" w:rsidRDefault="006F70B5" w:rsidP="006F70B5">
      <w:r w:rsidRPr="006F70B5">
        <w:t>https://www.fda.gov/animal-veterinary/products/approved-animal-drug-products-green-book</w:t>
      </w:r>
    </w:p>
    <w:p w14:paraId="7DCD363F" w14:textId="77777777" w:rsidR="006F70B5" w:rsidRPr="006F70B5" w:rsidRDefault="006F70B5" w:rsidP="006F70B5"/>
    <w:p w14:paraId="44A6F7C9" w14:textId="77777777" w:rsidR="006F70B5" w:rsidRPr="006F70B5" w:rsidRDefault="006F70B5" w:rsidP="006F70B5">
      <w:r w:rsidRPr="006F70B5">
        <w:t>FDA Animal Drugs @ FDA portal (search tool that hosts Green Book PDFs, FOI summaries, etc.)</w:t>
      </w:r>
    </w:p>
    <w:p w14:paraId="547CBF3F" w14:textId="77777777" w:rsidR="006F70B5" w:rsidRPr="006F70B5" w:rsidRDefault="006F70B5" w:rsidP="006F70B5">
      <w:r w:rsidRPr="006F70B5">
        <w:t>https://animaldrugsatfda.fda.gov/adafda/views/</w:t>
      </w:r>
    </w:p>
    <w:p w14:paraId="50C1BCEF" w14:textId="77777777" w:rsidR="006F70B5" w:rsidRPr="006F70B5" w:rsidRDefault="006F70B5" w:rsidP="006F70B5">
      <w:pPr>
        <w:rPr>
          <w:b/>
          <w:bCs/>
        </w:rPr>
      </w:pPr>
      <w:r w:rsidRPr="006F70B5">
        <w:rPr>
          <w:b/>
          <w:bCs/>
        </w:rPr>
        <w:t>FDA policy shift on animal food claims and “gut-only” products</w:t>
      </w:r>
    </w:p>
    <w:p w14:paraId="337A0FFD" w14:textId="77777777" w:rsidR="006F70B5" w:rsidRPr="006F70B5" w:rsidRDefault="006F70B5" w:rsidP="006F70B5">
      <w:r w:rsidRPr="006F70B5">
        <w:t>FDA - Letter to Industry (Novel Animal Foods with Drug Claims) (May 21, 2024)</w:t>
      </w:r>
    </w:p>
    <w:p w14:paraId="6CC43DB7" w14:textId="77777777" w:rsidR="006F70B5" w:rsidRPr="006F70B5" w:rsidRDefault="006F70B5" w:rsidP="006F70B5">
      <w:r w:rsidRPr="006F70B5">
        <w:t>https://www.fda.gov/animal-veterinary/resources-you/fda-letter-industry-industry-encouraged-contact-fda-regarding-novel-animal-foods-drug-claims</w:t>
      </w:r>
    </w:p>
    <w:p w14:paraId="3F808965" w14:textId="77777777" w:rsidR="006F70B5" w:rsidRPr="006F70B5" w:rsidRDefault="006F70B5" w:rsidP="006F70B5"/>
    <w:p w14:paraId="4123C188" w14:textId="77777777" w:rsidR="006F70B5" w:rsidRPr="006F70B5" w:rsidRDefault="006F70B5" w:rsidP="006F70B5">
      <w:r w:rsidRPr="006F70B5">
        <w:t>Federal Register - Withdrawal of PPM 1240.3605 (May 20, 2024)</w:t>
      </w:r>
    </w:p>
    <w:p w14:paraId="13C45015" w14:textId="77777777" w:rsidR="006F70B5" w:rsidRPr="006F70B5" w:rsidRDefault="006F70B5" w:rsidP="006F70B5">
      <w:r w:rsidRPr="006F70B5">
        <w:t>https://www.federalregister.gov/documents/2024/05/20/2024-10936/program-policy-and-procedures-manual-guide-12403605-regulating-animal-foods-with-drug-claims</w:t>
      </w:r>
    </w:p>
    <w:p w14:paraId="6D40E8A7" w14:textId="77777777" w:rsidR="006F70B5" w:rsidRPr="006F70B5" w:rsidRDefault="006F70B5" w:rsidP="006F70B5"/>
    <w:p w14:paraId="6E2A4341" w14:textId="77777777" w:rsidR="006F70B5" w:rsidRPr="006F70B5" w:rsidRDefault="006F70B5" w:rsidP="006F70B5">
      <w:r w:rsidRPr="006F70B5">
        <w:t>FDA - PPM 1240.3605 “Regulating Animal Foods with Drug Claims” (PDF)</w:t>
      </w:r>
    </w:p>
    <w:p w14:paraId="666306BA" w14:textId="77777777" w:rsidR="006F70B5" w:rsidRPr="006F70B5" w:rsidRDefault="006F70B5" w:rsidP="006F70B5">
      <w:r w:rsidRPr="006F70B5">
        <w:t>https://www.fda.gov/media/69982/download</w:t>
      </w:r>
    </w:p>
    <w:p w14:paraId="0005FFFD" w14:textId="77777777" w:rsidR="006F70B5" w:rsidRPr="006F70B5" w:rsidRDefault="006F70B5" w:rsidP="006F70B5"/>
    <w:p w14:paraId="013A4E67" w14:textId="77777777" w:rsidR="006F70B5" w:rsidRPr="006F70B5" w:rsidRDefault="006F70B5" w:rsidP="006F70B5">
      <w:r w:rsidRPr="006F70B5">
        <w:t>FDA - “Guidances Under Development” (lists draft GFI 289 and draft GFI 291)</w:t>
      </w:r>
    </w:p>
    <w:p w14:paraId="34DE6F75" w14:textId="77777777" w:rsidR="006F70B5" w:rsidRPr="006F70B5" w:rsidRDefault="006F70B5" w:rsidP="006F70B5">
      <w:r w:rsidRPr="006F70B5">
        <w:t>https://www.fda.gov/animal-veterinary/guidance-industry/guidances-under-development</w:t>
      </w:r>
    </w:p>
    <w:p w14:paraId="546698D0" w14:textId="77777777" w:rsidR="006F70B5" w:rsidRPr="006F70B5" w:rsidRDefault="006F70B5" w:rsidP="006F70B5"/>
    <w:p w14:paraId="7F014BE6" w14:textId="77777777" w:rsidR="006F70B5" w:rsidRPr="006F70B5" w:rsidRDefault="006F70B5" w:rsidP="006F70B5">
      <w:r w:rsidRPr="006F70B5">
        <w:t>FDA - CVM GFI #293 (final) “FDA Enforcement Policy for AAFCO-Defined Animal Feed Ingredients”</w:t>
      </w:r>
    </w:p>
    <w:p w14:paraId="6FC9A11A" w14:textId="77777777" w:rsidR="006F70B5" w:rsidRPr="006F70B5" w:rsidRDefault="006F70B5" w:rsidP="006F70B5">
      <w:r w:rsidRPr="006F70B5">
        <w:t>https://www.fda.gov/regulatory-information/search-fda-guidance-documents/cvm-gfi-293-fda-enforcement-policy-aafco-defined-animal-feed-ingredients</w:t>
      </w:r>
    </w:p>
    <w:p w14:paraId="25364787" w14:textId="77777777" w:rsidR="006F70B5" w:rsidRPr="006F70B5" w:rsidRDefault="006F70B5" w:rsidP="006F70B5"/>
    <w:p w14:paraId="2E62BADE" w14:textId="77777777" w:rsidR="006F70B5" w:rsidRPr="006F70B5" w:rsidRDefault="006F70B5" w:rsidP="006F70B5">
      <w:r w:rsidRPr="006F70B5">
        <w:t>AAFCO - 2024 Official Publication Chapter 6 (PDF)</w:t>
      </w:r>
    </w:p>
    <w:p w14:paraId="1CA7B2AA" w14:textId="77777777" w:rsidR="006F70B5" w:rsidRPr="006F70B5" w:rsidRDefault="006F70B5" w:rsidP="006F70B5">
      <w:r w:rsidRPr="006F70B5">
        <w:t>https://www.aafco.org/wp-content/uploads/2025/04/2024_OP_Chapter_6_enc.pdf</w:t>
      </w:r>
    </w:p>
    <w:p w14:paraId="687DD954" w14:textId="77777777" w:rsidR="006F70B5" w:rsidRPr="006F70B5" w:rsidRDefault="006F70B5" w:rsidP="006F70B5"/>
    <w:p w14:paraId="3F0766D9" w14:textId="77777777" w:rsidR="006F70B5" w:rsidRPr="006F70B5" w:rsidRDefault="006F70B5" w:rsidP="006F70B5">
      <w:r w:rsidRPr="006F70B5">
        <w:t>FDA - Animal and Veterinary Innovation Agenda (AVIA)</w:t>
      </w:r>
    </w:p>
    <w:p w14:paraId="1A016BED" w14:textId="77777777" w:rsidR="006F70B5" w:rsidRPr="006F70B5" w:rsidRDefault="006F70B5" w:rsidP="006F70B5">
      <w:r w:rsidRPr="006F70B5">
        <w:t>https://www.fda.gov/animal-veterinary/products/animal-and-veterinary-innovation-agenda</w:t>
      </w:r>
    </w:p>
    <w:p w14:paraId="43961573" w14:textId="77777777" w:rsidR="006F70B5" w:rsidRPr="006F70B5" w:rsidRDefault="006F70B5" w:rsidP="006F70B5"/>
    <w:p w14:paraId="6FC1B903" w14:textId="77777777" w:rsidR="006F70B5" w:rsidRPr="006F70B5" w:rsidRDefault="006F70B5" w:rsidP="006F70B5">
      <w:r w:rsidRPr="006F70B5">
        <w:t>FDA - Virtual listening session page (Animal foods with certain types of claims, 10/18/2022)</w:t>
      </w:r>
    </w:p>
    <w:p w14:paraId="75E398EE" w14:textId="77777777" w:rsidR="006F70B5" w:rsidRPr="006F70B5" w:rsidRDefault="006F70B5" w:rsidP="006F70B5">
      <w:r w:rsidRPr="006F70B5">
        <w:t>https://www.fda.gov/animal-veterinary/workshops-conferences-meetings/fda-virtual-listening-session-regulation-animal-foods-certain-types-claims-10182022</w:t>
      </w:r>
    </w:p>
    <w:p w14:paraId="376ED16E" w14:textId="77777777" w:rsidR="006F70B5" w:rsidRPr="006F70B5" w:rsidRDefault="006F70B5" w:rsidP="006F70B5">
      <w:pPr>
        <w:rPr>
          <w:b/>
          <w:bCs/>
        </w:rPr>
      </w:pPr>
      <w:r w:rsidRPr="006F70B5">
        <w:rPr>
          <w:b/>
          <w:bCs/>
        </w:rPr>
        <w:t>Innovative FEED Act links (Congress.gov)</w:t>
      </w:r>
    </w:p>
    <w:p w14:paraId="31654340" w14:textId="77777777" w:rsidR="006F70B5" w:rsidRPr="006F70B5" w:rsidRDefault="006F70B5" w:rsidP="006F70B5">
      <w:r w:rsidRPr="006F70B5">
        <w:t>H.R. 2203 (119th Congress) - Innovative FEED Act of 2025 (bill page)</w:t>
      </w:r>
    </w:p>
    <w:p w14:paraId="14D1C35F" w14:textId="77777777" w:rsidR="006F70B5" w:rsidRPr="006F70B5" w:rsidRDefault="006F70B5" w:rsidP="006F70B5">
      <w:r w:rsidRPr="006F70B5">
        <w:t>https://www.congress.gov/bill/119th-congress/house-bill/2203</w:t>
      </w:r>
    </w:p>
    <w:p w14:paraId="4E40D42D" w14:textId="77777777" w:rsidR="006F70B5" w:rsidRPr="006F70B5" w:rsidRDefault="006F70B5" w:rsidP="006F70B5"/>
    <w:p w14:paraId="281892D3" w14:textId="77777777" w:rsidR="006F70B5" w:rsidRPr="006F70B5" w:rsidRDefault="006F70B5" w:rsidP="006F70B5">
      <w:r w:rsidRPr="006F70B5">
        <w:t>H.R. 2203 (119th Congress) - bill text</w:t>
      </w:r>
    </w:p>
    <w:p w14:paraId="51C55F46" w14:textId="77777777" w:rsidR="006F70B5" w:rsidRPr="006F70B5" w:rsidRDefault="006F70B5" w:rsidP="006F70B5">
      <w:r w:rsidRPr="006F70B5">
        <w:lastRenderedPageBreak/>
        <w:t>https://www.congress.gov/bill/119th-congress/house-bill/2203/text/ih</w:t>
      </w:r>
    </w:p>
    <w:p w14:paraId="1BE4EA3B" w14:textId="77777777" w:rsidR="006F70B5" w:rsidRPr="006F70B5" w:rsidRDefault="006F70B5" w:rsidP="006F70B5"/>
    <w:p w14:paraId="37FA9F31" w14:textId="77777777" w:rsidR="006F70B5" w:rsidRPr="006F70B5" w:rsidRDefault="006F70B5" w:rsidP="006F70B5">
      <w:r w:rsidRPr="006F70B5">
        <w:t>S. 1906 (119th Congress) - Innovative FEED Act of 2025 (bill page)</w:t>
      </w:r>
    </w:p>
    <w:p w14:paraId="24B9F8C3" w14:textId="77777777" w:rsidR="006F70B5" w:rsidRPr="006F70B5" w:rsidRDefault="006F70B5" w:rsidP="006F70B5">
      <w:r w:rsidRPr="006F70B5">
        <w:t>https://www.congress.gov/bill/119th-congress/senate-bill/1906</w:t>
      </w:r>
    </w:p>
    <w:p w14:paraId="0D892224" w14:textId="77777777" w:rsidR="006F70B5" w:rsidRPr="006F70B5" w:rsidRDefault="006F70B5" w:rsidP="006F70B5"/>
    <w:p w14:paraId="60EF75A0" w14:textId="77777777" w:rsidR="006F70B5" w:rsidRPr="006F70B5" w:rsidRDefault="006F70B5" w:rsidP="006F70B5">
      <w:r w:rsidRPr="006F70B5">
        <w:t>S. 1906 (119th Congress) - bill text</w:t>
      </w:r>
    </w:p>
    <w:p w14:paraId="5D805DF4" w14:textId="77777777" w:rsidR="006F70B5" w:rsidRPr="006F70B5" w:rsidRDefault="006F70B5" w:rsidP="006F70B5">
      <w:r w:rsidRPr="006F70B5">
        <w:t>https://www.congress.gov/bill/119th-congress/senate-bill/1906/text</w:t>
      </w:r>
    </w:p>
    <w:p w14:paraId="20A149E3" w14:textId="77777777" w:rsidR="006F70B5" w:rsidRPr="006F70B5" w:rsidRDefault="006F70B5" w:rsidP="006F70B5"/>
    <w:p w14:paraId="669C40AF" w14:textId="77777777" w:rsidR="006F70B5" w:rsidRPr="006F70B5" w:rsidRDefault="006F70B5" w:rsidP="006F70B5">
      <w:r w:rsidRPr="006F70B5">
        <w:t>S. 1842 (118th Congress) - Innovative FEED Act (bill page)</w:t>
      </w:r>
    </w:p>
    <w:p w14:paraId="136A74C2" w14:textId="77777777" w:rsidR="006F70B5" w:rsidRPr="006F70B5" w:rsidRDefault="006F70B5" w:rsidP="006F70B5">
      <w:r w:rsidRPr="006F70B5">
        <w:t>https://www.congress.gov/bill/118th-congress/senate-bill/1842</w:t>
      </w:r>
    </w:p>
    <w:p w14:paraId="760E01A0" w14:textId="77777777" w:rsidR="006F70B5" w:rsidRPr="006F70B5" w:rsidRDefault="006F70B5" w:rsidP="006F70B5"/>
    <w:p w14:paraId="12615E73" w14:textId="77777777" w:rsidR="006F70B5" w:rsidRPr="006F70B5" w:rsidRDefault="006F70B5" w:rsidP="006F70B5">
      <w:r w:rsidRPr="006F70B5">
        <w:t>S. 1842 (118th Congress) - bill text</w:t>
      </w:r>
    </w:p>
    <w:p w14:paraId="3C7116E7" w14:textId="77777777" w:rsidR="006F70B5" w:rsidRPr="006F70B5" w:rsidRDefault="006F70B5" w:rsidP="006F70B5">
      <w:r w:rsidRPr="006F70B5">
        <w:t>https://www.congress.gov/bill/118th-congress/senate-bill/1842/text</w:t>
      </w:r>
    </w:p>
    <w:p w14:paraId="59886D70" w14:textId="77777777" w:rsidR="006F70B5" w:rsidRPr="006F70B5" w:rsidRDefault="006F70B5" w:rsidP="006F70B5">
      <w:pPr>
        <w:rPr>
          <w:b/>
          <w:bCs/>
        </w:rPr>
      </w:pPr>
      <w:r w:rsidRPr="006F70B5">
        <w:rPr>
          <w:b/>
          <w:bCs/>
        </w:rPr>
        <w:t>Experior (lubabegron) sources</w:t>
      </w:r>
    </w:p>
    <w:p w14:paraId="61DB5380" w14:textId="77777777" w:rsidR="006F70B5" w:rsidRPr="006F70B5" w:rsidRDefault="006F70B5" w:rsidP="006F70B5">
      <w:r w:rsidRPr="006F70B5">
        <w:t>FDA - FDA Brief (Nov 6, 2018): approval of Experior, first animal drug reducing gas emissions from an animal or its waste</w:t>
      </w:r>
    </w:p>
    <w:p w14:paraId="361F5255" w14:textId="77777777" w:rsidR="006F70B5" w:rsidRPr="006F70B5" w:rsidRDefault="006F70B5" w:rsidP="006F70B5">
      <w:r w:rsidRPr="006F70B5">
        <w:t>https://www.fda.gov/news-events/fda-brief/fda-brief-fda-approves-first-animal-drug-reduces-gas-emissions-animal-or-its-waste</w:t>
      </w:r>
    </w:p>
    <w:p w14:paraId="6AA651E1" w14:textId="77777777" w:rsidR="006F70B5" w:rsidRPr="006F70B5" w:rsidRDefault="006F70B5" w:rsidP="006F70B5"/>
    <w:p w14:paraId="09A01E20" w14:textId="77777777" w:rsidR="006F70B5" w:rsidRPr="006F70B5" w:rsidRDefault="006F70B5" w:rsidP="006F70B5">
      <w:r w:rsidRPr="006F70B5">
        <w:t>DailyMed (NIH) - EXPERIOR 50 (lubabegron) label</w:t>
      </w:r>
    </w:p>
    <w:p w14:paraId="5EB06EFD" w14:textId="77777777" w:rsidR="006F70B5" w:rsidRPr="006F70B5" w:rsidRDefault="006F70B5" w:rsidP="006F70B5">
      <w:r w:rsidRPr="006F70B5">
        <w:t>https://dailymed.nlm.nih.gov/dailymed/drugInfo.cfm?setid=631a7444-8652-4bbd-907e-87f6b32cbac7</w:t>
      </w:r>
    </w:p>
    <w:p w14:paraId="319ED70C" w14:textId="77777777" w:rsidR="006F70B5" w:rsidRPr="006F70B5" w:rsidRDefault="006F70B5" w:rsidP="006F70B5"/>
    <w:p w14:paraId="35ACB9DB" w14:textId="77777777" w:rsidR="006F70B5" w:rsidRPr="006F70B5" w:rsidRDefault="006F70B5" w:rsidP="006F70B5">
      <w:r w:rsidRPr="006F70B5">
        <w:t>DailyMed (NIH) - EXPERIOR 10 (lubabegron) label</w:t>
      </w:r>
    </w:p>
    <w:p w14:paraId="3E62DFE0" w14:textId="77777777" w:rsidR="006F70B5" w:rsidRPr="006F70B5" w:rsidRDefault="006F70B5" w:rsidP="006F70B5">
      <w:r w:rsidRPr="006F70B5">
        <w:t>https://dailymed.nlm.nih.gov/dailymed/drugInfo.cfm?setid=b0c09fde-ee94-4ab4-9bd8-854eb96ec598</w:t>
      </w:r>
    </w:p>
    <w:p w14:paraId="72335BA1" w14:textId="77777777" w:rsidR="006F70B5" w:rsidRPr="006F70B5" w:rsidRDefault="006F70B5" w:rsidP="006F70B5">
      <w:pPr>
        <w:rPr>
          <w:b/>
          <w:bCs/>
        </w:rPr>
      </w:pPr>
      <w:r w:rsidRPr="006F70B5">
        <w:rPr>
          <w:b/>
          <w:bCs/>
        </w:rPr>
        <w:t>EU regulatory framework and approvals</w:t>
      </w:r>
    </w:p>
    <w:p w14:paraId="374F25BA" w14:textId="77777777" w:rsidR="006F70B5" w:rsidRPr="006F70B5" w:rsidRDefault="006F70B5" w:rsidP="006F70B5">
      <w:r w:rsidRPr="006F70B5">
        <w:t>EUR-Lex - Regulation (EC) No 1831/2003 (feed additives framework)</w:t>
      </w:r>
    </w:p>
    <w:p w14:paraId="72671C2C" w14:textId="77777777" w:rsidR="006F70B5" w:rsidRPr="006F70B5" w:rsidRDefault="006F70B5" w:rsidP="006F70B5">
      <w:r w:rsidRPr="006F70B5">
        <w:t>https://eur-lex.europa.eu/eli/reg/2003/1831/oj/eng</w:t>
      </w:r>
    </w:p>
    <w:p w14:paraId="78B0A863" w14:textId="77777777" w:rsidR="006F70B5" w:rsidRPr="006F70B5" w:rsidRDefault="006F70B5" w:rsidP="006F70B5"/>
    <w:p w14:paraId="2C38C717" w14:textId="77777777" w:rsidR="006F70B5" w:rsidRPr="006F70B5" w:rsidRDefault="006F70B5" w:rsidP="006F70B5">
      <w:r w:rsidRPr="006F70B5">
        <w:t>EUR-Lex - Commission Implementing Regulation (EU) 2022/565 (3-NOP authorisation) (ELI page)</w:t>
      </w:r>
    </w:p>
    <w:p w14:paraId="193A9134" w14:textId="77777777" w:rsidR="006F70B5" w:rsidRPr="006F70B5" w:rsidRDefault="006F70B5" w:rsidP="006F70B5">
      <w:r w:rsidRPr="006F70B5">
        <w:t>https://eur-lex.europa.eu/eli/reg_impl/2022/565/oj/eng</w:t>
      </w:r>
    </w:p>
    <w:p w14:paraId="76E1352E" w14:textId="77777777" w:rsidR="006F70B5" w:rsidRPr="006F70B5" w:rsidRDefault="006F70B5" w:rsidP="006F70B5"/>
    <w:p w14:paraId="38C215E1" w14:textId="77777777" w:rsidR="006F70B5" w:rsidRPr="006F70B5" w:rsidRDefault="006F70B5" w:rsidP="006F70B5">
      <w:r w:rsidRPr="006F70B5">
        <w:t>EUR-Lex - Commission Implementing Regulation (EU) 2022/565 (PDF)</w:t>
      </w:r>
    </w:p>
    <w:p w14:paraId="08CE2F6F" w14:textId="77777777" w:rsidR="006F70B5" w:rsidRPr="006F70B5" w:rsidRDefault="006F70B5" w:rsidP="006F70B5">
      <w:r w:rsidRPr="006F70B5">
        <w:t>https://eur-lex.europa.eu/legal-content/EN/TXT/PDF/?uri=CELEX%3A32022R0565</w:t>
      </w:r>
    </w:p>
    <w:p w14:paraId="68FE6EDE" w14:textId="77777777" w:rsidR="006F70B5" w:rsidRPr="006F70B5" w:rsidRDefault="006F70B5" w:rsidP="006F70B5"/>
    <w:p w14:paraId="03F027AC" w14:textId="77777777" w:rsidR="006F70B5" w:rsidRPr="006F70B5" w:rsidRDefault="006F70B5" w:rsidP="006F70B5">
      <w:r w:rsidRPr="006F70B5">
        <w:t>EUR-Lex - Commission Implementing Regulation (EU) 2025/1390 (bacteriophage preparation authorisation for poultry) (ELI page)</w:t>
      </w:r>
    </w:p>
    <w:p w14:paraId="2F2EAFFA" w14:textId="77777777" w:rsidR="006F70B5" w:rsidRPr="006F70B5" w:rsidRDefault="006F70B5" w:rsidP="006F70B5">
      <w:r w:rsidRPr="006F70B5">
        <w:t>https://eur-lex.europa.eu/eli/reg_impl/2025/1390/oj/eng</w:t>
      </w:r>
    </w:p>
    <w:p w14:paraId="2D21D008" w14:textId="77777777" w:rsidR="006F70B5" w:rsidRPr="006F70B5" w:rsidRDefault="006F70B5" w:rsidP="006F70B5"/>
    <w:p w14:paraId="05367DF4" w14:textId="77777777" w:rsidR="006F70B5" w:rsidRPr="006F70B5" w:rsidRDefault="006F70B5" w:rsidP="006F70B5">
      <w:r w:rsidRPr="006F70B5">
        <w:t>EUR-Lex - Commission Implementing Regulation (EU) 2025/1390 (PDF)</w:t>
      </w:r>
    </w:p>
    <w:p w14:paraId="168AB237" w14:textId="77777777" w:rsidR="006F70B5" w:rsidRPr="006F70B5" w:rsidRDefault="006F70B5" w:rsidP="006F70B5">
      <w:r w:rsidRPr="006F70B5">
        <w:t>https://eur-lex.europa.eu/legal-content/EN/TXT/PDF/?uri=OJ%3AL_202501390</w:t>
      </w:r>
    </w:p>
    <w:p w14:paraId="61E3A0C6" w14:textId="77777777" w:rsidR="006F70B5" w:rsidRPr="006F70B5" w:rsidRDefault="006F70B5" w:rsidP="006F70B5">
      <w:pPr>
        <w:rPr>
          <w:b/>
          <w:bCs/>
        </w:rPr>
      </w:pPr>
      <w:r w:rsidRPr="006F70B5">
        <w:rPr>
          <w:b/>
          <w:bCs/>
        </w:rPr>
        <w:t>EFSA and bacteriophage example (Bafasal) used to illustrate the “zootechnical” pathway</w:t>
      </w:r>
    </w:p>
    <w:p w14:paraId="749BBFFE" w14:textId="77777777" w:rsidR="006F70B5" w:rsidRPr="006F70B5" w:rsidRDefault="006F70B5" w:rsidP="006F70B5">
      <w:r w:rsidRPr="006F70B5">
        <w:t>PubMed Central (PMC) - EFSA Journal (2023): Safety and efficacy of Bafasal for all avian species (contains discussion of earlier data gaps and post-market monitoring)</w:t>
      </w:r>
    </w:p>
    <w:p w14:paraId="16215AFA" w14:textId="77777777" w:rsidR="006F70B5" w:rsidRPr="006F70B5" w:rsidRDefault="006F70B5" w:rsidP="006F70B5">
      <w:r w:rsidRPr="006F70B5">
        <w:lastRenderedPageBreak/>
        <w:t>https://pmc.ncbi.nlm.nih.gov/articles/PMC9978957/</w:t>
      </w:r>
    </w:p>
    <w:p w14:paraId="18ABEB49" w14:textId="77777777" w:rsidR="006F70B5" w:rsidRPr="006F70B5" w:rsidRDefault="006F70B5" w:rsidP="006F70B5"/>
    <w:p w14:paraId="166E076B" w14:textId="77777777" w:rsidR="006F70B5" w:rsidRPr="006F70B5" w:rsidRDefault="006F70B5" w:rsidP="006F70B5">
      <w:r w:rsidRPr="006F70B5">
        <w:t>PubMed Central (PMC) - 2020 paper: Comprehensive Evaluation of the Safety and Efficacy of BAFASAL bacteriophage preparation</w:t>
      </w:r>
    </w:p>
    <w:p w14:paraId="161F5AAE" w14:textId="77777777" w:rsidR="006F70B5" w:rsidRPr="006F70B5" w:rsidRDefault="006F70B5" w:rsidP="006F70B5">
      <w:r w:rsidRPr="006F70B5">
        <w:t>https://pmc.ncbi.nlm.nih.gov/articles/PMC7412135/</w:t>
      </w:r>
    </w:p>
    <w:p w14:paraId="4BE691A3" w14:textId="77777777" w:rsidR="006F70B5" w:rsidRPr="006F70B5" w:rsidRDefault="006F70B5" w:rsidP="006F70B5">
      <w:pPr>
        <w:rPr>
          <w:b/>
          <w:bCs/>
        </w:rPr>
      </w:pPr>
      <w:r w:rsidRPr="006F70B5">
        <w:rPr>
          <w:b/>
          <w:bCs/>
        </w:rPr>
        <w:t>Bovaer (3-NOP) sources used in the report</w:t>
      </w:r>
    </w:p>
    <w:p w14:paraId="676DFE8B" w14:textId="77777777" w:rsidR="006F70B5" w:rsidRPr="006F70B5" w:rsidRDefault="006F70B5" w:rsidP="006F70B5">
      <w:r w:rsidRPr="006F70B5">
        <w:t>FDA - CVM File: G-150438 (PDF letter including “at this time we do not intend to initiate enforcement action…” language and mixing directions)</w:t>
      </w:r>
    </w:p>
    <w:p w14:paraId="01CAFCA8" w14:textId="77777777" w:rsidR="006F70B5" w:rsidRPr="006F70B5" w:rsidRDefault="006F70B5" w:rsidP="006F70B5">
      <w:r w:rsidRPr="006F70B5">
        <w:t>https://www.fda.gov/media/178913/download</w:t>
      </w:r>
    </w:p>
    <w:p w14:paraId="634B6A8F" w14:textId="77777777" w:rsidR="006F70B5" w:rsidRPr="006F70B5" w:rsidRDefault="006F70B5" w:rsidP="006F70B5"/>
    <w:p w14:paraId="5F43CC43" w14:textId="77777777" w:rsidR="006F70B5" w:rsidRPr="006F70B5" w:rsidRDefault="006F70B5" w:rsidP="006F70B5">
      <w:r w:rsidRPr="006F70B5">
        <w:t>Elanco Investor Relations - press release (May 28, 2024): FDA has completed review of Bovaer for U.S. dairy</w:t>
      </w:r>
    </w:p>
    <w:p w14:paraId="47000ECA" w14:textId="77777777" w:rsidR="006F70B5" w:rsidRPr="006F70B5" w:rsidRDefault="006F70B5" w:rsidP="006F70B5">
      <w:r w:rsidRPr="006F70B5">
        <w:t>https://investor.elanco.com/press-releases/press-releases-details/2024/Elanco-Announces-FDA-Has-Completed-Review-of-Bovaer-First-in-Class-Methane-Reducing-Feed-Ingredient-for-U.S.-Dairy-Industry/default.aspx</w:t>
      </w:r>
    </w:p>
    <w:p w14:paraId="68443D29" w14:textId="77777777" w:rsidR="006F70B5" w:rsidRPr="006F70B5" w:rsidRDefault="006F70B5" w:rsidP="006F70B5"/>
    <w:p w14:paraId="1CEB4FAC" w14:textId="77777777" w:rsidR="006F70B5" w:rsidRPr="006F70B5" w:rsidRDefault="006F70B5" w:rsidP="006F70B5">
      <w:r w:rsidRPr="006F70B5">
        <w:t>DSM-firmenich - press release (May 29, 2024): Bovaer ready for U.S. market launch after FDA review completion</w:t>
      </w:r>
    </w:p>
    <w:p w14:paraId="0A5C440B" w14:textId="77777777" w:rsidR="006F70B5" w:rsidRPr="006F70B5" w:rsidRDefault="006F70B5" w:rsidP="006F70B5">
      <w:r w:rsidRPr="006F70B5">
        <w:t>https://our-company.dsm-firmenich.com/en/our-company/news/press-releases/2024/methane-reducing-feed-ingredient-bovaer-ready-for-us-market-launch.html</w:t>
      </w:r>
    </w:p>
    <w:p w14:paraId="10AB0336" w14:textId="77777777" w:rsidR="006F70B5" w:rsidRPr="006F70B5" w:rsidRDefault="006F70B5" w:rsidP="006F70B5"/>
    <w:p w14:paraId="0BA6DE5A" w14:textId="77777777" w:rsidR="006F70B5" w:rsidRPr="006F70B5" w:rsidRDefault="006F70B5" w:rsidP="006F70B5">
      <w:r w:rsidRPr="006F70B5">
        <w:t>Reuters - US FDA approves Elanco feed ingredient to cut methane emissions in dairy cows (May 28, 2024)</w:t>
      </w:r>
    </w:p>
    <w:p w14:paraId="1BACCADC" w14:textId="77777777" w:rsidR="006F70B5" w:rsidRPr="006F70B5" w:rsidRDefault="006F70B5" w:rsidP="006F70B5">
      <w:r w:rsidRPr="006F70B5">
        <w:t>https://www.reuters.com/business/environment/us-fda-approves-elancos-feed-ingredient-cut-methane-emissions-dairy-cows-2024-05-28/</w:t>
      </w:r>
    </w:p>
    <w:p w14:paraId="4EEF1B2F" w14:textId="77777777" w:rsidR="006F70B5" w:rsidRPr="006F70B5" w:rsidRDefault="006F70B5" w:rsidP="006F70B5"/>
    <w:p w14:paraId="45F2BBEE" w14:textId="77777777" w:rsidR="006F70B5" w:rsidRPr="006F70B5" w:rsidRDefault="006F70B5" w:rsidP="006F70B5">
      <w:r w:rsidRPr="006F70B5">
        <w:t>UK Food Standards Agency blog - “Bovaer cow feed additive explained” (Dec 5, 2024)</w:t>
      </w:r>
    </w:p>
    <w:p w14:paraId="0C207BD8" w14:textId="77777777" w:rsidR="006F70B5" w:rsidRPr="006F70B5" w:rsidRDefault="006F70B5" w:rsidP="006F70B5">
      <w:r w:rsidRPr="006F70B5">
        <w:t>https://food.blog.gov.uk/2024/12/05/bovaer-cow-feed-additive-explained/</w:t>
      </w:r>
    </w:p>
    <w:p w14:paraId="553BD3E6" w14:textId="77777777" w:rsidR="006F70B5" w:rsidRPr="006F70B5" w:rsidRDefault="006F70B5" w:rsidP="006F70B5"/>
    <w:p w14:paraId="733D14DD" w14:textId="77777777" w:rsidR="006F70B5" w:rsidRPr="006F70B5" w:rsidRDefault="006F70B5" w:rsidP="006F70B5">
      <w:r w:rsidRPr="006F70B5">
        <w:t>Reuters Fact Check - “Bovaer’s active ingredient not detected in dairy products…” (Jan 17, 2025)</w:t>
      </w:r>
    </w:p>
    <w:p w14:paraId="09565B39" w14:textId="77777777" w:rsidR="006F70B5" w:rsidRPr="006F70B5" w:rsidRDefault="006F70B5" w:rsidP="006F70B5">
      <w:r w:rsidRPr="006F70B5">
        <w:t>https://www.reuters.com/fact-check/bovaers-active-ingredient-not-detected-dairy-products-2025-01-17/</w:t>
      </w:r>
    </w:p>
    <w:p w14:paraId="50F653A0" w14:textId="77777777" w:rsidR="006F70B5" w:rsidRPr="006F70B5" w:rsidRDefault="006F70B5" w:rsidP="006F70B5"/>
    <w:p w14:paraId="14F30AA1" w14:textId="77777777" w:rsidR="006F70B5" w:rsidRPr="006F70B5" w:rsidRDefault="006F70B5" w:rsidP="006F70B5">
      <w:r w:rsidRPr="006F70B5">
        <w:t>Reuters Fact Check - “Feed additive Bovaer is approved in EU…” (Dec 13, 2024)</w:t>
      </w:r>
    </w:p>
    <w:p w14:paraId="4AEB6C5F" w14:textId="77777777" w:rsidR="006F70B5" w:rsidRPr="006F70B5" w:rsidRDefault="006F70B5" w:rsidP="006F70B5">
      <w:r w:rsidRPr="006F70B5">
        <w:t>https://www.reuters.com/fact-check/feed-additive-bovaer-is-approved-eu-contrary-online-claims-2024-12-13/</w:t>
      </w:r>
    </w:p>
    <w:p w14:paraId="44A966F5" w14:textId="77777777" w:rsidR="006F70B5" w:rsidRPr="006F70B5" w:rsidRDefault="006F70B5" w:rsidP="006F70B5"/>
    <w:p w14:paraId="31DF94CE" w14:textId="77777777" w:rsidR="006F70B5" w:rsidRPr="006F70B5" w:rsidRDefault="006F70B5" w:rsidP="006F70B5">
      <w:r w:rsidRPr="006F70B5">
        <w:t>DSM-firmenich - statement page: “Misinformation about Bovaer” (2025)</w:t>
      </w:r>
    </w:p>
    <w:p w14:paraId="695C6778" w14:textId="77777777" w:rsidR="006F70B5" w:rsidRPr="006F70B5" w:rsidRDefault="006F70B5" w:rsidP="006F70B5">
      <w:r w:rsidRPr="006F70B5">
        <w:t>https://our-company.dsm-firmenich.com/en/our-company/news/updates-and-statements/2025/misinformation-about-bovaer.html</w:t>
      </w:r>
    </w:p>
    <w:p w14:paraId="18FA4F1F" w14:textId="77777777" w:rsidR="006F70B5" w:rsidRPr="006F70B5" w:rsidRDefault="006F70B5" w:rsidP="006F70B5">
      <w:pPr>
        <w:rPr>
          <w:b/>
          <w:bCs/>
        </w:rPr>
      </w:pPr>
      <w:r w:rsidRPr="006F70B5">
        <w:rPr>
          <w:b/>
          <w:bCs/>
        </w:rPr>
        <w:t>FDA enforcement example used (warning letter)</w:t>
      </w:r>
    </w:p>
    <w:p w14:paraId="55BA1AA6" w14:textId="77777777" w:rsidR="006F70B5" w:rsidRPr="006F70B5" w:rsidRDefault="006F70B5" w:rsidP="006F70B5">
      <w:r w:rsidRPr="006F70B5">
        <w:t>FDA - Warning Letter: Synergy Animal Products, Inc. (Re: 712860, July 16, 2025)</w:t>
      </w:r>
    </w:p>
    <w:p w14:paraId="5F9D2998" w14:textId="77777777" w:rsidR="006F70B5" w:rsidRPr="006F70B5" w:rsidRDefault="006F70B5" w:rsidP="006F70B5">
      <w:r w:rsidRPr="006F70B5">
        <w:t>https://www.fda.gov/inspections-compliance-enforcement-and-criminal-investigations/warning-letters/synergy-animal-products-inc-712860-07162025</w:t>
      </w:r>
    </w:p>
    <w:p w14:paraId="2B519D83" w14:textId="77777777" w:rsidR="006F70B5" w:rsidRPr="006F70B5" w:rsidRDefault="006F70B5" w:rsidP="006F70B5"/>
    <w:p w14:paraId="751476A4" w14:textId="77777777" w:rsidR="006F70B5" w:rsidRPr="006F70B5" w:rsidRDefault="006F70B5" w:rsidP="006F70B5">
      <w:r w:rsidRPr="006F70B5">
        <w:lastRenderedPageBreak/>
        <w:t>FDA - CVM Warning Letters landing page</w:t>
      </w:r>
    </w:p>
    <w:p w14:paraId="2D18596E" w14:textId="77777777" w:rsidR="006F70B5" w:rsidRPr="006F70B5" w:rsidRDefault="006F70B5" w:rsidP="006F70B5">
      <w:r w:rsidRPr="006F70B5">
        <w:t>https://www.fda.gov/animal-veterinary/compliance-enforcement/cvm-warning-letters</w:t>
      </w:r>
    </w:p>
    <w:p w14:paraId="1A2BA15D" w14:textId="77777777" w:rsidR="006F70B5" w:rsidRPr="006F70B5" w:rsidRDefault="006F70B5" w:rsidP="006F70B5"/>
    <w:p w14:paraId="16DA1C71" w14:textId="77777777" w:rsidR="006F70B5" w:rsidRPr="006F70B5" w:rsidRDefault="006F70B5" w:rsidP="006F70B5">
      <w:r w:rsidRPr="006F70B5">
        <w:t>FDA - Regulatory Actions page (Unapproved Animal Drugs)</w:t>
      </w:r>
    </w:p>
    <w:p w14:paraId="4881E29B" w14:textId="77777777" w:rsidR="006F70B5" w:rsidRPr="006F70B5" w:rsidRDefault="006F70B5" w:rsidP="006F70B5">
      <w:r w:rsidRPr="006F70B5">
        <w:t>https://www.fda.gov/animal-veterinary/unapproved-animal-drugs/regulatory-actions</w:t>
      </w:r>
    </w:p>
    <w:p w14:paraId="3397CA96" w14:textId="77777777" w:rsidR="006F70B5" w:rsidRDefault="006F70B5"/>
    <w:sectPr w:rsidR="006F70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494B"/>
    <w:multiLevelType w:val="multilevel"/>
    <w:tmpl w:val="2CAA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F2151"/>
    <w:multiLevelType w:val="multilevel"/>
    <w:tmpl w:val="D19A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9783D"/>
    <w:multiLevelType w:val="multilevel"/>
    <w:tmpl w:val="08B6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D5E62"/>
    <w:multiLevelType w:val="multilevel"/>
    <w:tmpl w:val="49DE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F7A10"/>
    <w:multiLevelType w:val="multilevel"/>
    <w:tmpl w:val="F462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A2542B"/>
    <w:multiLevelType w:val="multilevel"/>
    <w:tmpl w:val="6144DD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7D1D83"/>
    <w:multiLevelType w:val="multilevel"/>
    <w:tmpl w:val="C6400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226D56"/>
    <w:multiLevelType w:val="multilevel"/>
    <w:tmpl w:val="7BA0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A90936"/>
    <w:multiLevelType w:val="multilevel"/>
    <w:tmpl w:val="2E46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F460D2"/>
    <w:multiLevelType w:val="multilevel"/>
    <w:tmpl w:val="48A2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8029B7"/>
    <w:multiLevelType w:val="multilevel"/>
    <w:tmpl w:val="0BE80F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305ADD"/>
    <w:multiLevelType w:val="multilevel"/>
    <w:tmpl w:val="49BC2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CF62A8"/>
    <w:multiLevelType w:val="multilevel"/>
    <w:tmpl w:val="0FEAD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C14F0A"/>
    <w:multiLevelType w:val="multilevel"/>
    <w:tmpl w:val="0B48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B324FA"/>
    <w:multiLevelType w:val="multilevel"/>
    <w:tmpl w:val="67D60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BA3271"/>
    <w:multiLevelType w:val="multilevel"/>
    <w:tmpl w:val="8B50F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972890"/>
    <w:multiLevelType w:val="multilevel"/>
    <w:tmpl w:val="CFE0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303747"/>
    <w:multiLevelType w:val="multilevel"/>
    <w:tmpl w:val="BAA4A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AA3F72"/>
    <w:multiLevelType w:val="multilevel"/>
    <w:tmpl w:val="8FC6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977ADE"/>
    <w:multiLevelType w:val="multilevel"/>
    <w:tmpl w:val="B972C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C56E1E"/>
    <w:multiLevelType w:val="multilevel"/>
    <w:tmpl w:val="A5901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C71F83"/>
    <w:multiLevelType w:val="multilevel"/>
    <w:tmpl w:val="5CF2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811B2D"/>
    <w:multiLevelType w:val="multilevel"/>
    <w:tmpl w:val="77B4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E3173F"/>
    <w:multiLevelType w:val="multilevel"/>
    <w:tmpl w:val="0CD0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34659A"/>
    <w:multiLevelType w:val="multilevel"/>
    <w:tmpl w:val="4560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457C5E"/>
    <w:multiLevelType w:val="multilevel"/>
    <w:tmpl w:val="CBC61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5726065"/>
    <w:multiLevelType w:val="multilevel"/>
    <w:tmpl w:val="7800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D52910"/>
    <w:multiLevelType w:val="multilevel"/>
    <w:tmpl w:val="0D38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1F7BEB"/>
    <w:multiLevelType w:val="multilevel"/>
    <w:tmpl w:val="632A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545262"/>
    <w:multiLevelType w:val="multilevel"/>
    <w:tmpl w:val="9BD0F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DA62D9"/>
    <w:multiLevelType w:val="multilevel"/>
    <w:tmpl w:val="CCFA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542DE7"/>
    <w:multiLevelType w:val="multilevel"/>
    <w:tmpl w:val="823E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E140DE"/>
    <w:multiLevelType w:val="multilevel"/>
    <w:tmpl w:val="9CCE3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F23E4A"/>
    <w:multiLevelType w:val="multilevel"/>
    <w:tmpl w:val="DDEC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A05614"/>
    <w:multiLevelType w:val="multilevel"/>
    <w:tmpl w:val="26748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0D583E"/>
    <w:multiLevelType w:val="multilevel"/>
    <w:tmpl w:val="F718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A038F0"/>
    <w:multiLevelType w:val="multilevel"/>
    <w:tmpl w:val="08F2A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B7750D"/>
    <w:multiLevelType w:val="multilevel"/>
    <w:tmpl w:val="93E4F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B45CE9"/>
    <w:multiLevelType w:val="multilevel"/>
    <w:tmpl w:val="49E6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0D59BE"/>
    <w:multiLevelType w:val="multilevel"/>
    <w:tmpl w:val="18F8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4401A6"/>
    <w:multiLevelType w:val="multilevel"/>
    <w:tmpl w:val="F0D25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836382"/>
    <w:multiLevelType w:val="multilevel"/>
    <w:tmpl w:val="5704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904C72"/>
    <w:multiLevelType w:val="multilevel"/>
    <w:tmpl w:val="CE0C1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1163F9"/>
    <w:multiLevelType w:val="multilevel"/>
    <w:tmpl w:val="44FE1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B047AD"/>
    <w:multiLevelType w:val="multilevel"/>
    <w:tmpl w:val="F0B88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F236D3"/>
    <w:multiLevelType w:val="multilevel"/>
    <w:tmpl w:val="EBE4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950F2C"/>
    <w:multiLevelType w:val="multilevel"/>
    <w:tmpl w:val="6080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9D2D4E"/>
    <w:multiLevelType w:val="multilevel"/>
    <w:tmpl w:val="67A8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534879"/>
    <w:multiLevelType w:val="multilevel"/>
    <w:tmpl w:val="3FCC0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59E750E"/>
    <w:multiLevelType w:val="multilevel"/>
    <w:tmpl w:val="DBBC7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BC22E2"/>
    <w:multiLevelType w:val="multilevel"/>
    <w:tmpl w:val="EB607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08254C"/>
    <w:multiLevelType w:val="multilevel"/>
    <w:tmpl w:val="3B742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919188">
    <w:abstractNumId w:val="19"/>
  </w:num>
  <w:num w:numId="2" w16cid:durableId="1829320434">
    <w:abstractNumId w:val="26"/>
  </w:num>
  <w:num w:numId="3" w16cid:durableId="1642150728">
    <w:abstractNumId w:val="13"/>
  </w:num>
  <w:num w:numId="4" w16cid:durableId="1272929468">
    <w:abstractNumId w:val="51"/>
  </w:num>
  <w:num w:numId="5" w16cid:durableId="1808432014">
    <w:abstractNumId w:val="31"/>
  </w:num>
  <w:num w:numId="6" w16cid:durableId="408693818">
    <w:abstractNumId w:val="25"/>
  </w:num>
  <w:num w:numId="7" w16cid:durableId="556942751">
    <w:abstractNumId w:val="37"/>
  </w:num>
  <w:num w:numId="8" w16cid:durableId="891384262">
    <w:abstractNumId w:val="11"/>
  </w:num>
  <w:num w:numId="9" w16cid:durableId="1142234411">
    <w:abstractNumId w:val="9"/>
  </w:num>
  <w:num w:numId="10" w16cid:durableId="1356537247">
    <w:abstractNumId w:val="20"/>
  </w:num>
  <w:num w:numId="11" w16cid:durableId="1664047807">
    <w:abstractNumId w:val="7"/>
  </w:num>
  <w:num w:numId="12" w16cid:durableId="838933800">
    <w:abstractNumId w:val="10"/>
  </w:num>
  <w:num w:numId="13" w16cid:durableId="570386795">
    <w:abstractNumId w:val="27"/>
  </w:num>
  <w:num w:numId="14" w16cid:durableId="769861622">
    <w:abstractNumId w:val="5"/>
  </w:num>
  <w:num w:numId="15" w16cid:durableId="1499344827">
    <w:abstractNumId w:val="29"/>
  </w:num>
  <w:num w:numId="16" w16cid:durableId="2093820379">
    <w:abstractNumId w:val="32"/>
  </w:num>
  <w:num w:numId="17" w16cid:durableId="7105712">
    <w:abstractNumId w:val="46"/>
  </w:num>
  <w:num w:numId="18" w16cid:durableId="678196014">
    <w:abstractNumId w:val="36"/>
  </w:num>
  <w:num w:numId="19" w16cid:durableId="1730883305">
    <w:abstractNumId w:val="1"/>
  </w:num>
  <w:num w:numId="20" w16cid:durableId="1783306500">
    <w:abstractNumId w:val="28"/>
  </w:num>
  <w:num w:numId="21" w16cid:durableId="65029447">
    <w:abstractNumId w:val="43"/>
  </w:num>
  <w:num w:numId="22" w16cid:durableId="1368683530">
    <w:abstractNumId w:val="3"/>
  </w:num>
  <w:num w:numId="23" w16cid:durableId="372078004">
    <w:abstractNumId w:val="49"/>
  </w:num>
  <w:num w:numId="24" w16cid:durableId="508638070">
    <w:abstractNumId w:val="30"/>
  </w:num>
  <w:num w:numId="25" w16cid:durableId="1029599644">
    <w:abstractNumId w:val="45"/>
  </w:num>
  <w:num w:numId="26" w16cid:durableId="197013107">
    <w:abstractNumId w:val="21"/>
  </w:num>
  <w:num w:numId="27" w16cid:durableId="124664944">
    <w:abstractNumId w:val="23"/>
  </w:num>
  <w:num w:numId="28" w16cid:durableId="209222377">
    <w:abstractNumId w:val="38"/>
  </w:num>
  <w:num w:numId="29" w16cid:durableId="1608151080">
    <w:abstractNumId w:val="15"/>
  </w:num>
  <w:num w:numId="30" w16cid:durableId="781530276">
    <w:abstractNumId w:val="42"/>
  </w:num>
  <w:num w:numId="31" w16cid:durableId="1534228740">
    <w:abstractNumId w:val="17"/>
  </w:num>
  <w:num w:numId="32" w16cid:durableId="839854546">
    <w:abstractNumId w:val="40"/>
  </w:num>
  <w:num w:numId="33" w16cid:durableId="890388204">
    <w:abstractNumId w:val="4"/>
  </w:num>
  <w:num w:numId="34" w16cid:durableId="263534367">
    <w:abstractNumId w:val="14"/>
  </w:num>
  <w:num w:numId="35" w16cid:durableId="1637830569">
    <w:abstractNumId w:val="44"/>
  </w:num>
  <w:num w:numId="36" w16cid:durableId="147021548">
    <w:abstractNumId w:val="22"/>
  </w:num>
  <w:num w:numId="37" w16cid:durableId="1753308112">
    <w:abstractNumId w:val="35"/>
  </w:num>
  <w:num w:numId="38" w16cid:durableId="1524784502">
    <w:abstractNumId w:val="50"/>
  </w:num>
  <w:num w:numId="39" w16cid:durableId="60687927">
    <w:abstractNumId w:val="33"/>
  </w:num>
  <w:num w:numId="40" w16cid:durableId="1215700437">
    <w:abstractNumId w:val="8"/>
  </w:num>
  <w:num w:numId="41" w16cid:durableId="1180701239">
    <w:abstractNumId w:val="16"/>
  </w:num>
  <w:num w:numId="42" w16cid:durableId="119305736">
    <w:abstractNumId w:val="47"/>
  </w:num>
  <w:num w:numId="43" w16cid:durableId="627706144">
    <w:abstractNumId w:val="34"/>
  </w:num>
  <w:num w:numId="44" w16cid:durableId="644042326">
    <w:abstractNumId w:val="24"/>
  </w:num>
  <w:num w:numId="45" w16cid:durableId="1098672518">
    <w:abstractNumId w:val="0"/>
  </w:num>
  <w:num w:numId="46" w16cid:durableId="1915160549">
    <w:abstractNumId w:val="6"/>
  </w:num>
  <w:num w:numId="47" w16cid:durableId="2122145827">
    <w:abstractNumId w:val="12"/>
  </w:num>
  <w:num w:numId="48" w16cid:durableId="252394719">
    <w:abstractNumId w:val="41"/>
  </w:num>
  <w:num w:numId="49" w16cid:durableId="145364790">
    <w:abstractNumId w:val="2"/>
  </w:num>
  <w:num w:numId="50" w16cid:durableId="2016422156">
    <w:abstractNumId w:val="18"/>
  </w:num>
  <w:num w:numId="51" w16cid:durableId="1885487494">
    <w:abstractNumId w:val="48"/>
  </w:num>
  <w:num w:numId="52" w16cid:durableId="1438913726">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10F"/>
    <w:rsid w:val="00074B3E"/>
    <w:rsid w:val="001D1570"/>
    <w:rsid w:val="0024310F"/>
    <w:rsid w:val="006F70B5"/>
    <w:rsid w:val="008E442B"/>
    <w:rsid w:val="008F580F"/>
    <w:rsid w:val="009F7625"/>
    <w:rsid w:val="00C27049"/>
    <w:rsid w:val="00D737E8"/>
    <w:rsid w:val="00E2007C"/>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C4281"/>
  <w15:chartTrackingRefBased/>
  <w15:docId w15:val="{507E80B7-A6F1-7045-9FB0-41485ED34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31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31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31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431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31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310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310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310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310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1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31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31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431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31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31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31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31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310F"/>
    <w:rPr>
      <w:rFonts w:eastAsiaTheme="majorEastAsia" w:cstheme="majorBidi"/>
      <w:color w:val="272727" w:themeColor="text1" w:themeTint="D8"/>
    </w:rPr>
  </w:style>
  <w:style w:type="paragraph" w:styleId="Title">
    <w:name w:val="Title"/>
    <w:basedOn w:val="Normal"/>
    <w:next w:val="Normal"/>
    <w:link w:val="TitleChar"/>
    <w:uiPriority w:val="10"/>
    <w:qFormat/>
    <w:rsid w:val="0024310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31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310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31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310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4310F"/>
    <w:rPr>
      <w:i/>
      <w:iCs/>
      <w:color w:val="404040" w:themeColor="text1" w:themeTint="BF"/>
    </w:rPr>
  </w:style>
  <w:style w:type="paragraph" w:styleId="ListParagraph">
    <w:name w:val="List Paragraph"/>
    <w:basedOn w:val="Normal"/>
    <w:uiPriority w:val="34"/>
    <w:qFormat/>
    <w:rsid w:val="0024310F"/>
    <w:pPr>
      <w:ind w:left="720"/>
      <w:contextualSpacing/>
    </w:pPr>
  </w:style>
  <w:style w:type="character" w:styleId="IntenseEmphasis">
    <w:name w:val="Intense Emphasis"/>
    <w:basedOn w:val="DefaultParagraphFont"/>
    <w:uiPriority w:val="21"/>
    <w:qFormat/>
    <w:rsid w:val="0024310F"/>
    <w:rPr>
      <w:i/>
      <w:iCs/>
      <w:color w:val="0F4761" w:themeColor="accent1" w:themeShade="BF"/>
    </w:rPr>
  </w:style>
  <w:style w:type="paragraph" w:styleId="IntenseQuote">
    <w:name w:val="Intense Quote"/>
    <w:basedOn w:val="Normal"/>
    <w:next w:val="Normal"/>
    <w:link w:val="IntenseQuoteChar"/>
    <w:uiPriority w:val="30"/>
    <w:qFormat/>
    <w:rsid w:val="002431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310F"/>
    <w:rPr>
      <w:i/>
      <w:iCs/>
      <w:color w:val="0F4761" w:themeColor="accent1" w:themeShade="BF"/>
    </w:rPr>
  </w:style>
  <w:style w:type="character" w:styleId="IntenseReference">
    <w:name w:val="Intense Reference"/>
    <w:basedOn w:val="DefaultParagraphFont"/>
    <w:uiPriority w:val="32"/>
    <w:qFormat/>
    <w:rsid w:val="0024310F"/>
    <w:rPr>
      <w:b/>
      <w:bCs/>
      <w:smallCaps/>
      <w:color w:val="0F4761" w:themeColor="accent1" w:themeShade="BF"/>
      <w:spacing w:val="5"/>
    </w:rPr>
  </w:style>
  <w:style w:type="paragraph" w:styleId="NormalWeb">
    <w:name w:val="Normal (Web)"/>
    <w:basedOn w:val="Normal"/>
    <w:uiPriority w:val="99"/>
    <w:semiHidden/>
    <w:unhideWhenUsed/>
    <w:rsid w:val="0024310F"/>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2431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5475</Words>
  <Characters>31211</Characters>
  <Application>Microsoft Office Word</Application>
  <DocSecurity>0</DocSecurity>
  <Lines>260</Lines>
  <Paragraphs>73</Paragraphs>
  <ScaleCrop>false</ScaleCrop>
  <Company/>
  <LinksUpToDate>false</LinksUpToDate>
  <CharactersWithSpaces>36613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Céline Collin</dc:creator>
  <cp:keywords/>
  <dc:description/>
  <cp:lastModifiedBy>Céline Collin</cp:lastModifiedBy>
  <cp:revision>2</cp:revision>
  <dcterms:created xsi:type="dcterms:W3CDTF">2026-01-22T08:50:00Z</dcterms:created>
  <dcterms:modified xsi:type="dcterms:W3CDTF">2026-01-22T08:50:00Z</dcterms:modified>
</cp:coreProperties>
</file>