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40DF" w14:textId="77777777" w:rsidR="008473A0" w:rsidRDefault="00000000">
      <w:pPr>
        <w:pStyle w:val="Title"/>
      </w:pPr>
      <w:r>
        <w:rPr>
          <w:b/>
        </w:rPr>
        <w:t>Nutrigenomics in Animal Nutrition and Health</w:t>
      </w:r>
    </w:p>
    <w:p w14:paraId="420A715F" w14:textId="77777777" w:rsidR="008473A0" w:rsidRDefault="00000000">
      <w:pPr>
        <w:pStyle w:val="Subtitle"/>
        <w:jc w:val="center"/>
      </w:pPr>
      <w:r>
        <w:t>Market, technology, and investment playbook (2026 update)</w:t>
      </w:r>
    </w:p>
    <w:p w14:paraId="25AC127E" w14:textId="77777777" w:rsidR="008473A0" w:rsidRDefault="00000000">
      <w:pPr>
        <w:jc w:val="center"/>
      </w:pPr>
      <w:r>
        <w:t>Version 1.1 | January 22, 2026</w:t>
      </w:r>
    </w:p>
    <w:p w14:paraId="554E4277" w14:textId="77777777" w:rsidR="008473A0" w:rsidRDefault="008473A0"/>
    <w:p w14:paraId="3658AF24" w14:textId="77777777" w:rsidR="008473A0" w:rsidRDefault="00000000">
      <w:pPr>
        <w:jc w:val="center"/>
      </w:pPr>
      <w:r>
        <w:t>Prepared from and expanding on the draft report: Nutrigenomics_Gemini.docx (provided by the user).</w:t>
      </w:r>
    </w:p>
    <w:p w14:paraId="0343BEBD" w14:textId="77777777" w:rsidR="008473A0" w:rsidRDefault="00000000">
      <w:r>
        <w:br w:type="page"/>
      </w:r>
    </w:p>
    <w:p w14:paraId="58F91726" w14:textId="77777777" w:rsidR="008473A0" w:rsidRDefault="00000000">
      <w:pPr>
        <w:pStyle w:val="Heading1"/>
      </w:pPr>
      <w:r>
        <w:lastRenderedPageBreak/>
        <w:t>Table of contents</w:t>
      </w:r>
    </w:p>
    <w:p w14:paraId="66F9F960" w14:textId="77777777" w:rsidR="008473A0" w:rsidRDefault="00000000">
      <w:r>
        <w:t>Word can generate an automatic TOC because this report uses heading styles. In Word: References → Table of Contents.</w:t>
      </w:r>
    </w:p>
    <w:p w14:paraId="1EE0D049" w14:textId="77777777" w:rsidR="008473A0" w:rsidRDefault="00000000">
      <w:r>
        <w:br w:type="page"/>
      </w:r>
    </w:p>
    <w:p w14:paraId="31A35663" w14:textId="77777777" w:rsidR="008473A0" w:rsidRDefault="00000000">
      <w:pPr>
        <w:pStyle w:val="Heading1"/>
      </w:pPr>
      <w:r>
        <w:lastRenderedPageBreak/>
        <w:t>1. Executive summary</w:t>
      </w:r>
    </w:p>
    <w:p w14:paraId="6235F3F2" w14:textId="77777777" w:rsidR="008473A0" w:rsidRDefault="00000000">
      <w:r>
        <w:t>Nutrigenomics is the study and application of how nutrients and bioactive feed ingredients change gene expression and downstream physiology. In animals, it enables a shift from feeding by breed or life stage to feeding by measurable biology (genotype, phenotype, microbiome, and metabolic state).</w:t>
      </w:r>
    </w:p>
    <w:p w14:paraId="4ADC7EE7" w14:textId="77777777" w:rsidR="008473A0" w:rsidRDefault="00000000">
      <w:r>
        <w:t>Investor lens: The DNA or microbiome test kit is rarely the durable profit pool. The durable profit pools are (1) the translator that converts biological data into actionable nutritional recommendations and (2) the recurring interventions (food, supplements, feed additives) that customers repurchase.</w:t>
      </w:r>
    </w:p>
    <w:p w14:paraId="07FD44A7" w14:textId="77777777" w:rsidR="008473A0" w:rsidRDefault="00000000">
      <w:r>
        <w:t>Core strategic construct: the Genomic Loop. A low- to mid-margin test is used as customer acquisition and data collection. The company then monetizes through a long-lived subscription or repeat purchase cycle, often reinforced by retesting and longitudinal outcome tracking.</w:t>
      </w:r>
    </w:p>
    <w:p w14:paraId="1A3F8141" w14:textId="77777777" w:rsidR="008473A0" w:rsidRDefault="00000000">
      <w:r>
        <w:rPr>
          <w:b/>
        </w:rPr>
        <w:t>Key market context (ranges reflect differences across analyst methodologies):</w:t>
      </w:r>
    </w:p>
    <w:p w14:paraId="114E5223" w14:textId="77777777" w:rsidR="008473A0" w:rsidRDefault="00000000">
      <w:pPr>
        <w:pStyle w:val="ListBullet"/>
      </w:pPr>
      <w:r>
        <w:t>Global nutrigenomics market estimates for 2025 cluster around roughly USD 0.54B to 0.80B, with many forecasts implying high teens growth through 2030 and beyond.</w:t>
      </w:r>
    </w:p>
    <w:p w14:paraId="04B1D30C" w14:textId="77777777" w:rsidR="008473A0" w:rsidRDefault="00000000">
      <w:pPr>
        <w:pStyle w:val="ListBullet"/>
      </w:pPr>
      <w:r>
        <w:t>Personalized nutrition (primarily human health and wellness) is materially larger: multiple analyst sources put 2025 at roughly USD 15B to 16B and 2030 around USD 31B.</w:t>
      </w:r>
    </w:p>
    <w:p w14:paraId="34FA2E07" w14:textId="77777777" w:rsidR="008473A0" w:rsidRDefault="00000000">
      <w:pPr>
        <w:pStyle w:val="ListBullet"/>
      </w:pPr>
      <w:r>
        <w:t>The global pet food market is the adjacent spending base (over USD 100B in recent estimates) and is being premiumized by pet humanization and by fast-growing 'fresh' and functional subsegments.</w:t>
      </w:r>
    </w:p>
    <w:p w14:paraId="7CC4A4FF" w14:textId="77777777" w:rsidR="008473A0" w:rsidRDefault="00000000">
      <w:pPr>
        <w:pStyle w:val="ListBullet"/>
      </w:pPr>
      <w:r>
        <w:t>In livestock, the relevant spending pools are feed additives and functional ingredients (for example, probiotics, prebiotics, postbiotics, yeast fractions) that increasingly rely on 'omics' evidence and antibiotic-reduction narratives.</w:t>
      </w:r>
    </w:p>
    <w:p w14:paraId="1EFABE67" w14:textId="77777777" w:rsidR="008473A0" w:rsidRDefault="00000000">
      <w:r>
        <w:rPr>
          <w:b/>
        </w:rPr>
        <w:t>Most investable wedges (in animals):</w:t>
      </w:r>
    </w:p>
    <w:p w14:paraId="14674153" w14:textId="77777777" w:rsidR="008473A0" w:rsidRDefault="00000000">
      <w:pPr>
        <w:pStyle w:val="ListBullet"/>
      </w:pPr>
      <w:r>
        <w:t>Translator-led subscription businesses (test → recommendation → recurring intervention).</w:t>
      </w:r>
    </w:p>
    <w:p w14:paraId="5841C0B4" w14:textId="77777777" w:rsidR="008473A0" w:rsidRDefault="00000000">
      <w:pPr>
        <w:pStyle w:val="ListBullet"/>
      </w:pPr>
      <w:r>
        <w:t>B2B ingredient platforms that can prove mechanism and ROI via transcriptomics or other 'omics' and then sell through feed and premix channels.</w:t>
      </w:r>
    </w:p>
    <w:p w14:paraId="6D8A9207" w14:textId="77777777" w:rsidR="008473A0" w:rsidRDefault="00000000">
      <w:pPr>
        <w:pStyle w:val="ListBullet"/>
      </w:pPr>
      <w:r>
        <w:t>Vet-channel individualized diets or protocols where the prescribing authority (veterinary recommendation) creates durable retention.</w:t>
      </w:r>
    </w:p>
    <w:p w14:paraId="7811122C" w14:textId="77777777" w:rsidR="008473A0" w:rsidRDefault="00000000">
      <w:r>
        <w:t>Implementation headline: Build the translator asset first, then wrap it in a product that creates measurable, repeatable outcomes and repeat purchase behavior.</w:t>
      </w:r>
    </w:p>
    <w:p w14:paraId="41F316F3" w14:textId="77777777" w:rsidR="008473A0" w:rsidRDefault="00000000">
      <w:pPr>
        <w:pStyle w:val="Heading1"/>
      </w:pPr>
      <w:r>
        <w:t>2. Definitions and scope</w:t>
      </w:r>
    </w:p>
    <w:p w14:paraId="25C43096" w14:textId="77777777" w:rsidR="008473A0" w:rsidRDefault="00000000">
      <w:r>
        <w:t>Because the term 'nutrigenomics' is used inconsistently in the market, this report uses the following practical definitions:</w:t>
      </w:r>
    </w:p>
    <w:p w14:paraId="7288A8D4" w14:textId="77777777" w:rsidR="008473A0" w:rsidRDefault="00000000">
      <w:pPr>
        <w:pStyle w:val="ListBullet"/>
      </w:pPr>
      <w:r>
        <w:lastRenderedPageBreak/>
        <w:t>Nutrigenomics: nutrient-driven changes in gene expression (for example, changes in mRNA abundance, pathway activation, inflammatory signaling) and the use of that knowledge to design diets, supplements, or feed additives.</w:t>
      </w:r>
    </w:p>
    <w:p w14:paraId="7FC1D203" w14:textId="77777777" w:rsidR="008473A0" w:rsidRDefault="00000000">
      <w:pPr>
        <w:pStyle w:val="ListBullet"/>
      </w:pPr>
      <w:r>
        <w:t>Nutrigenetics: differences in response to nutrients driven by genetic variants (for example, a mutation that changes appetite regulation).</w:t>
      </w:r>
    </w:p>
    <w:p w14:paraId="49A2A6D0" w14:textId="77777777" w:rsidR="008473A0" w:rsidRDefault="00000000">
      <w:pPr>
        <w:pStyle w:val="ListBullet"/>
      </w:pPr>
      <w:r>
        <w:t>Nutriepigenomics: nutrient-driven changes in epigenetic marks (for example, DNA methylation patterns) that can alter gene expression without changing DNA sequence.</w:t>
      </w:r>
    </w:p>
    <w:p w14:paraId="7FE65EC9" w14:textId="77777777" w:rsidR="008473A0" w:rsidRDefault="00000000">
      <w:pPr>
        <w:pStyle w:val="ListBullet"/>
      </w:pPr>
      <w:r>
        <w:t>Multi-omics: combined measurement of genomics, transcriptomics, microbiomics, proteomics, metabolomics, and clinical phenotypes.</w:t>
      </w:r>
    </w:p>
    <w:p w14:paraId="43CF546F" w14:textId="77777777" w:rsidR="008473A0" w:rsidRDefault="00000000">
      <w:r>
        <w:rPr>
          <w:b/>
        </w:rPr>
        <w:t>Practical scope in this report:</w:t>
      </w:r>
    </w:p>
    <w:p w14:paraId="03E6F321" w14:textId="77777777" w:rsidR="008473A0" w:rsidRDefault="00000000">
      <w:pPr>
        <w:pStyle w:val="ListBullet"/>
      </w:pPr>
      <w:r>
        <w:t>Companion animals (primarily dogs and cats): at-home tests, microbiome platforms, personalized food and supplement subscriptions, and veterinary protocols.</w:t>
      </w:r>
    </w:p>
    <w:p w14:paraId="4E09F36F" w14:textId="77777777" w:rsidR="008473A0" w:rsidRDefault="00000000">
      <w:pPr>
        <w:pStyle w:val="ListBullet"/>
      </w:pPr>
      <w:r>
        <w:t>Livestock and aquaculture: functional ingredients and feed programs that claim to improve health, performance, resilience, and sustainability, sometimes supported by 'omics' evidence.</w:t>
      </w:r>
    </w:p>
    <w:p w14:paraId="6ECCB6DF" w14:textId="77777777" w:rsidR="008473A0" w:rsidRDefault="00000000">
      <w:pPr>
        <w:pStyle w:val="ListBullet"/>
      </w:pPr>
      <w:r>
        <w:t>Platforms and enabling infrastructure: labs, bioinformatics, algorithms, data rights, and manufacturing.</w:t>
      </w:r>
    </w:p>
    <w:p w14:paraId="3E908924" w14:textId="77777777" w:rsidR="008473A0" w:rsidRDefault="00000000">
      <w:pPr>
        <w:pStyle w:val="Heading1"/>
      </w:pPr>
      <w:r>
        <w:t>3. Why now: the convergence creating nutrigenomics pull</w:t>
      </w:r>
    </w:p>
    <w:p w14:paraId="49E9F4C8" w14:textId="77777777" w:rsidR="008473A0" w:rsidRDefault="00000000">
      <w:r>
        <w:t>Three forces have converged to make nutrigenomics commercially relevant in animals:</w:t>
      </w:r>
    </w:p>
    <w:p w14:paraId="2F607A2B" w14:textId="77777777" w:rsidR="008473A0" w:rsidRDefault="00000000">
      <w:pPr>
        <w:pStyle w:val="ListNumber"/>
      </w:pPr>
      <w:r>
        <w:t>Cost curves: sequencing, genotyping, and microbiome assays have become cheap enough to use as customer acquisition or as part of a protocol rather than a luxury diagnostic.</w:t>
      </w:r>
    </w:p>
    <w:p w14:paraId="233B9179" w14:textId="77777777" w:rsidR="008473A0" w:rsidRDefault="00000000">
      <w:pPr>
        <w:pStyle w:val="ListNumber"/>
      </w:pPr>
      <w:r>
        <w:t>Evidence tooling: transcriptomics and related methods allow ingredient companies to show mechanistic signals (for example, immune or inflammatory pathway shifts) instead of relying only on proxy outcomes.</w:t>
      </w:r>
    </w:p>
    <w:p w14:paraId="3F489E3B" w14:textId="77777777" w:rsidR="008473A0" w:rsidRDefault="00000000">
      <w:pPr>
        <w:pStyle w:val="ListNumber"/>
      </w:pPr>
      <w:r>
        <w:t>Demand and regulation: premiumization in pets (owners paying for longevity narratives) and, in livestock, pressure to reduce antibiotic reliance and improve sustainability both raise willingness to pay for functional, evidence-backed interventions.</w:t>
      </w:r>
    </w:p>
    <w:p w14:paraId="5FEB1E04" w14:textId="77777777" w:rsidR="008473A0" w:rsidRDefault="00000000">
      <w:pPr>
        <w:pStyle w:val="Heading1"/>
      </w:pPr>
      <w:r>
        <w:t>4. Scientific primer: how nutrients change biology</w:t>
      </w:r>
    </w:p>
    <w:p w14:paraId="59EB5E76" w14:textId="77777777" w:rsidR="008473A0" w:rsidRDefault="00000000">
      <w:r>
        <w:t>At a simplified level, nutrigenomics is a signal-processing story: nutrients and bioactives are inputs; cells sense them through receptors and metabolic sensors; those sensors change transcription factor activity; transcription factors change gene expression; gene expression changes proteins, metabolites, and physiology.</w:t>
      </w:r>
    </w:p>
    <w:p w14:paraId="3593BAFF" w14:textId="77777777" w:rsidR="008473A0" w:rsidRDefault="00000000">
      <w:r>
        <w:t>This section is intended to help investors and operators distinguish high-signal mechanistic claims from low-signal marketing claims.</w:t>
      </w:r>
    </w:p>
    <w:p w14:paraId="7F799236" w14:textId="77777777" w:rsidR="008473A0" w:rsidRDefault="00000000">
      <w:pPr>
        <w:pStyle w:val="Heading2"/>
      </w:pPr>
      <w:r>
        <w:lastRenderedPageBreak/>
        <w:t>4.1 Mechanisms that frequently show up in animal nutrigenomics</w:t>
      </w:r>
    </w:p>
    <w:p w14:paraId="75EB300E" w14:textId="77777777" w:rsidR="008473A0" w:rsidRDefault="00000000">
      <w:pPr>
        <w:pStyle w:val="ListBullet"/>
      </w:pPr>
      <w:r>
        <w:t>Inflammation and immune modulation: shifts in cytokine signaling, NF-kB related pathways, barrier integrity, and innate immune programs.</w:t>
      </w:r>
    </w:p>
    <w:p w14:paraId="5A9F6E76" w14:textId="77777777" w:rsidR="008473A0" w:rsidRDefault="00000000">
      <w:pPr>
        <w:pStyle w:val="ListBullet"/>
      </w:pPr>
      <w:r>
        <w:t>Energy metabolism and mitochondrial function: glucose utilization, fatty acid oxidation, ketone utilization, and oxidative stress responses.</w:t>
      </w:r>
    </w:p>
    <w:p w14:paraId="315D9BEE" w14:textId="77777777" w:rsidR="008473A0" w:rsidRDefault="00000000">
      <w:pPr>
        <w:pStyle w:val="ListBullet"/>
      </w:pPr>
      <w:r>
        <w:t>Appetite and body composition regulation: satiety hormones, adipokines, and pathways that influence energy intake versus expenditure.</w:t>
      </w:r>
    </w:p>
    <w:p w14:paraId="6F33C4FC" w14:textId="77777777" w:rsidR="008473A0" w:rsidRDefault="00000000">
      <w:pPr>
        <w:pStyle w:val="ListBullet"/>
      </w:pPr>
      <w:r>
        <w:t>Skin and allergy phenotypes: inflammatory mediators, epithelial barrier, and microbiome interactions that affect atopic dermatitis and pruritus.</w:t>
      </w:r>
    </w:p>
    <w:p w14:paraId="3018FB59" w14:textId="77777777" w:rsidR="008473A0" w:rsidRDefault="00000000">
      <w:pPr>
        <w:pStyle w:val="ListBullet"/>
      </w:pPr>
      <w:r>
        <w:t>Microbiome mediated effects: microbial metabolites (for example, short-chain fatty acids) that act as signaling molecules and can influence host gene expression.</w:t>
      </w:r>
    </w:p>
    <w:p w14:paraId="496F4C4A" w14:textId="77777777" w:rsidR="008473A0" w:rsidRDefault="00000000">
      <w:pPr>
        <w:pStyle w:val="Heading2"/>
      </w:pPr>
      <w:r>
        <w:t>4.2 Intervention categories used as nutrigenomic levers</w:t>
      </w:r>
    </w:p>
    <w:p w14:paraId="4DCE8D3F" w14:textId="77777777" w:rsidR="008473A0" w:rsidRDefault="00000000">
      <w:pPr>
        <w:pStyle w:val="ListBullet"/>
      </w:pPr>
      <w:r>
        <w:t>Prebiotics and fibers (including yeast fractions and oligosaccharides): often positioned for gut integrity and immune support.</w:t>
      </w:r>
    </w:p>
    <w:p w14:paraId="080D85FA" w14:textId="77777777" w:rsidR="008473A0" w:rsidRDefault="00000000">
      <w:pPr>
        <w:pStyle w:val="ListBullet"/>
      </w:pPr>
      <w:r>
        <w:t>Probiotics and next-generation probiotics: live organisms intended to modulate the microbiome, with variable engraftment and stability.</w:t>
      </w:r>
    </w:p>
    <w:p w14:paraId="09D9845E" w14:textId="77777777" w:rsidR="008473A0" w:rsidRDefault="00000000">
      <w:pPr>
        <w:pStyle w:val="ListBullet"/>
      </w:pPr>
      <w:r>
        <w:t>Postbiotics: non-living microbial preparations or metabolites intended to deliver microbiome benefits with improved stability.</w:t>
      </w:r>
    </w:p>
    <w:p w14:paraId="78B7B4A1" w14:textId="77777777" w:rsidR="008473A0" w:rsidRDefault="00000000">
      <w:pPr>
        <w:pStyle w:val="ListBullet"/>
      </w:pPr>
      <w:r>
        <w:t>Methyl-donor and one-carbon metabolism nutrients (for example, SAMe-related approaches): positioned for epigenetic and neurologic effects.</w:t>
      </w:r>
    </w:p>
    <w:p w14:paraId="3A998451" w14:textId="77777777" w:rsidR="008473A0" w:rsidRDefault="00000000">
      <w:pPr>
        <w:pStyle w:val="ListBullet"/>
      </w:pPr>
      <w:r>
        <w:t>Lipid interventions: omega-3s for inflammation, and medium-chain triglycerides or botanical oil blends as alternative fuel sources in aging cognition narratives.</w:t>
      </w:r>
    </w:p>
    <w:p w14:paraId="2E75EC9F" w14:textId="77777777" w:rsidR="008473A0" w:rsidRDefault="00000000">
      <w:pPr>
        <w:pStyle w:val="ListBullet"/>
      </w:pPr>
      <w:r>
        <w:t>Nucleotide ingredients: positioned as building blocks that may support growth, gut development, and immune function during stress or rapid development.</w:t>
      </w:r>
    </w:p>
    <w:p w14:paraId="7D035764" w14:textId="77777777" w:rsidR="008473A0" w:rsidRDefault="00000000">
      <w:pPr>
        <w:pStyle w:val="Heading2"/>
      </w:pPr>
      <w:r>
        <w:t>4.3 Evidence types and how to interpret them</w:t>
      </w:r>
    </w:p>
    <w:p w14:paraId="043C8A0C" w14:textId="77777777" w:rsidR="008473A0" w:rsidRDefault="00000000">
      <w:pPr>
        <w:pStyle w:val="ListBullet"/>
      </w:pPr>
      <w:r>
        <w:t>Transcriptomic or gene expression readouts: useful mechanistic support, but must be connected to clinically meaningful outcomes and not just statistical differences.</w:t>
      </w:r>
    </w:p>
    <w:p w14:paraId="2188A56F" w14:textId="77777777" w:rsidR="008473A0" w:rsidRDefault="00000000">
      <w:pPr>
        <w:pStyle w:val="ListBullet"/>
      </w:pPr>
      <w:r>
        <w:t>Biomarkers: for example, dysbiosis indices, inflammatory markers, stool quality scoring, pruritus scoring, body condition scoring. Stronger when validated and reproducible.</w:t>
      </w:r>
    </w:p>
    <w:p w14:paraId="123F5A36" w14:textId="77777777" w:rsidR="008473A0" w:rsidRDefault="00000000">
      <w:pPr>
        <w:pStyle w:val="ListBullet"/>
      </w:pPr>
      <w:r>
        <w:t>Clinical outcomes: ideally controlled trials; in practice, many products rely on retrospective case series and real-world evidence. Investors should discount uncontrolled outcomes.</w:t>
      </w:r>
    </w:p>
    <w:p w14:paraId="237476A7" w14:textId="77777777" w:rsidR="008473A0" w:rsidRDefault="00000000">
      <w:pPr>
        <w:pStyle w:val="ListBullet"/>
      </w:pPr>
      <w:r>
        <w:t>Unit economics evidence: does the biology translate into retention, repeat purchase, and willingness to pay?</w:t>
      </w:r>
    </w:p>
    <w:p w14:paraId="45F89E83" w14:textId="77777777" w:rsidR="008473A0" w:rsidRDefault="00000000">
      <w:pPr>
        <w:pStyle w:val="Heading1"/>
      </w:pPr>
      <w:r>
        <w:t>5. Technology stack: measurement, bioinformatics, and the translator</w:t>
      </w:r>
    </w:p>
    <w:p w14:paraId="6DE5EA1E" w14:textId="77777777" w:rsidR="008473A0" w:rsidRDefault="00000000">
      <w:r>
        <w:t>Commercial nutrigenomics products usually combine (a) a measurement modality, (b) a model or ruleset that interprets measurements, and (c) an intervention catalog that can be recommended and fulfilled. The translator is the glue between these pieces.</w:t>
      </w:r>
    </w:p>
    <w:p w14:paraId="28537BA2" w14:textId="77777777" w:rsidR="008473A0" w:rsidRDefault="00000000">
      <w:pPr>
        <w:pStyle w:val="Heading2"/>
      </w:pPr>
      <w:r>
        <w:lastRenderedPageBreak/>
        <w:t>5.1 Common measurement modalities in animals</w:t>
      </w:r>
    </w:p>
    <w:p w14:paraId="25BABD8F" w14:textId="77777777" w:rsidR="008473A0" w:rsidRDefault="00000000">
      <w:pPr>
        <w:pStyle w:val="ListBullet"/>
      </w:pPr>
      <w:r>
        <w:t>Genetic testing: saliva or cheek swab genotyping or sequencing used to infer predispositions, trait risks, or response differences.</w:t>
      </w:r>
    </w:p>
    <w:p w14:paraId="0806EA46" w14:textId="77777777" w:rsidR="008473A0" w:rsidRDefault="00000000">
      <w:pPr>
        <w:pStyle w:val="ListBullet"/>
      </w:pPr>
      <w:r>
        <w:t>Microbiome testing: stool sampling (and sometimes oral sampling) analyzed via sequencing to infer dysbiosis and missing taxa.</w:t>
      </w:r>
    </w:p>
    <w:p w14:paraId="0C56324F" w14:textId="77777777" w:rsidR="008473A0" w:rsidRDefault="00000000">
      <w:pPr>
        <w:pStyle w:val="ListBullet"/>
      </w:pPr>
      <w:r>
        <w:t>Metabolic testing: blood or urine biomarkers, metabolomics panels, or sensor data (rare in animals today).</w:t>
      </w:r>
    </w:p>
    <w:p w14:paraId="61D4C0FC" w14:textId="77777777" w:rsidR="008473A0" w:rsidRDefault="00000000">
      <w:pPr>
        <w:pStyle w:val="ListBullet"/>
      </w:pPr>
      <w:r>
        <w:t>Clinical phenotyping: owner-reported symptoms, vet diagnoses, diet history, and longitudinal outcomes.</w:t>
      </w:r>
    </w:p>
    <w:p w14:paraId="39FC7DE8" w14:textId="77777777" w:rsidR="008473A0" w:rsidRDefault="00000000">
      <w:pPr>
        <w:pStyle w:val="Heading2"/>
      </w:pPr>
      <w:r>
        <w:t>5.2 The translator: algorithmic approaches and moat formation</w:t>
      </w:r>
    </w:p>
    <w:p w14:paraId="2676F883" w14:textId="77777777" w:rsidR="008473A0" w:rsidRDefault="00000000">
      <w:pPr>
        <w:pStyle w:val="ListBullet"/>
      </w:pPr>
      <w:r>
        <w:t>Rules-based translators: deterministic mapping from markers to recommendations. Fast to launch, easy to copy unless combined with proprietary data.</w:t>
      </w:r>
    </w:p>
    <w:p w14:paraId="3D287B27" w14:textId="77777777" w:rsidR="008473A0" w:rsidRDefault="00000000">
      <w:pPr>
        <w:pStyle w:val="ListBullet"/>
      </w:pPr>
      <w:r>
        <w:t>Statistical risk models: link markers to outcomes using cohort data. Moat depends on dataset size, phenotype quality, and rights to use the data.</w:t>
      </w:r>
    </w:p>
    <w:p w14:paraId="55095E89" w14:textId="77777777" w:rsidR="008473A0" w:rsidRDefault="00000000">
      <w:pPr>
        <w:pStyle w:val="ListBullet"/>
      </w:pPr>
      <w:r>
        <w:t>Machine learning translators: can learn complex interactions but require larger datasets and careful validation to avoid spurious correlations.</w:t>
      </w:r>
    </w:p>
    <w:p w14:paraId="637C7FAA" w14:textId="77777777" w:rsidR="008473A0" w:rsidRDefault="00000000">
      <w:pPr>
        <w:pStyle w:val="ListBullet"/>
      </w:pPr>
      <w:r>
        <w:t>Moat formation pattern: the best translators improve with time because each test and subscription cycle generates more labeled data (marker + intervention + outcome).</w:t>
      </w:r>
    </w:p>
    <w:p w14:paraId="3A3A8B0E" w14:textId="77777777" w:rsidR="008473A0" w:rsidRDefault="00000000">
      <w:pPr>
        <w:pStyle w:val="Heading2"/>
      </w:pPr>
      <w:r>
        <w:t>5.3 Data rights and governance</w:t>
      </w:r>
    </w:p>
    <w:p w14:paraId="72F559F2" w14:textId="77777777" w:rsidR="008473A0" w:rsidRDefault="00000000">
      <w:pPr>
        <w:pStyle w:val="ListBullet"/>
      </w:pPr>
      <w:r>
        <w:t>Consent and contractual rights to use data for model improvement and for commercialization (for example, ingredient partnerships).</w:t>
      </w:r>
    </w:p>
    <w:p w14:paraId="49888C27" w14:textId="77777777" w:rsidR="008473A0" w:rsidRDefault="00000000">
      <w:pPr>
        <w:pStyle w:val="ListBullet"/>
      </w:pPr>
      <w:r>
        <w:t>Linkage to outcomes and longitudinal follow-up.</w:t>
      </w:r>
    </w:p>
    <w:p w14:paraId="16759BF2" w14:textId="77777777" w:rsidR="008473A0" w:rsidRDefault="00000000">
      <w:pPr>
        <w:pStyle w:val="ListBullet"/>
      </w:pPr>
      <w:r>
        <w:t>Defensible barriers to data replication (distribution, vet channel partnerships, exclusive stool bank access, etc.).</w:t>
      </w:r>
    </w:p>
    <w:p w14:paraId="38EC5C58" w14:textId="77777777" w:rsidR="008473A0" w:rsidRDefault="00000000">
      <w:pPr>
        <w:pStyle w:val="Heading1"/>
      </w:pPr>
      <w:r>
        <w:t>6. Market sizing and segmentation</w:t>
      </w:r>
    </w:p>
    <w:p w14:paraId="5E9F761B" w14:textId="77777777" w:rsidR="008473A0" w:rsidRDefault="00000000">
      <w:r>
        <w:t>Important caveat: Most syndicated market research sizes 'nutrigenomics' and 'personalized nutrition' primarily in the context of human health. Animal nutrigenomics is usually embedded inside adjacent markets (pet food, pet supplements, feed additives, and animal health). Therefore, market numbers below should be treated as context, not as direct TAM for any single animal-focused company.</w:t>
      </w:r>
    </w:p>
    <w:p w14:paraId="2682D75B" w14:textId="77777777" w:rsidR="008473A0" w:rsidRDefault="00000000">
      <w:pPr>
        <w:pStyle w:val="Heading2"/>
      </w:pPr>
      <w:r>
        <w:t>6.1 Context markets and growth rates (selected)</w:t>
      </w:r>
    </w:p>
    <w:tbl>
      <w:tblPr>
        <w:tblStyle w:val="TableGrid"/>
        <w:tblW w:w="0" w:type="auto"/>
        <w:tblLook w:val="04A0" w:firstRow="1" w:lastRow="0" w:firstColumn="1" w:lastColumn="0" w:noHBand="0" w:noVBand="1"/>
      </w:tblPr>
      <w:tblGrid>
        <w:gridCol w:w="2160"/>
        <w:gridCol w:w="2160"/>
        <w:gridCol w:w="2160"/>
        <w:gridCol w:w="2160"/>
      </w:tblGrid>
      <w:tr w:rsidR="008473A0" w14:paraId="0DFBBA15" w14:textId="77777777">
        <w:tc>
          <w:tcPr>
            <w:tcW w:w="2160" w:type="dxa"/>
          </w:tcPr>
          <w:p w14:paraId="048C86F8" w14:textId="77777777" w:rsidR="008473A0" w:rsidRDefault="00000000">
            <w:r>
              <w:rPr>
                <w:b/>
              </w:rPr>
              <w:t>Market (global unless noted)</w:t>
            </w:r>
          </w:p>
        </w:tc>
        <w:tc>
          <w:tcPr>
            <w:tcW w:w="2160" w:type="dxa"/>
          </w:tcPr>
          <w:p w14:paraId="1E228175" w14:textId="77777777" w:rsidR="008473A0" w:rsidRDefault="00000000">
            <w:r>
              <w:rPr>
                <w:b/>
              </w:rPr>
              <w:t>Selected estimates</w:t>
            </w:r>
          </w:p>
        </w:tc>
        <w:tc>
          <w:tcPr>
            <w:tcW w:w="2160" w:type="dxa"/>
          </w:tcPr>
          <w:p w14:paraId="2CCD232C" w14:textId="77777777" w:rsidR="008473A0" w:rsidRDefault="00000000">
            <w:r>
              <w:rPr>
                <w:b/>
              </w:rPr>
              <w:t>Forecast / growth</w:t>
            </w:r>
          </w:p>
        </w:tc>
        <w:tc>
          <w:tcPr>
            <w:tcW w:w="2160" w:type="dxa"/>
          </w:tcPr>
          <w:p w14:paraId="54CB1544" w14:textId="77777777" w:rsidR="008473A0" w:rsidRDefault="00000000">
            <w:r>
              <w:rPr>
                <w:b/>
              </w:rPr>
              <w:t>Notes</w:t>
            </w:r>
          </w:p>
        </w:tc>
      </w:tr>
      <w:tr w:rsidR="008473A0" w14:paraId="624C8C89" w14:textId="77777777">
        <w:tc>
          <w:tcPr>
            <w:tcW w:w="2160" w:type="dxa"/>
          </w:tcPr>
          <w:p w14:paraId="0D1E6C15" w14:textId="77777777" w:rsidR="008473A0" w:rsidRDefault="00000000">
            <w:r>
              <w:t>Nutrigenomics (overall)</w:t>
            </w:r>
          </w:p>
        </w:tc>
        <w:tc>
          <w:tcPr>
            <w:tcW w:w="2160" w:type="dxa"/>
          </w:tcPr>
          <w:p w14:paraId="63251ACC" w14:textId="77777777" w:rsidR="008473A0" w:rsidRDefault="00000000">
            <w:r>
              <w:t>USD 0.54B to 0.80B (2025)</w:t>
            </w:r>
          </w:p>
        </w:tc>
        <w:tc>
          <w:tcPr>
            <w:tcW w:w="2160" w:type="dxa"/>
          </w:tcPr>
          <w:p w14:paraId="2181F4A7" w14:textId="77777777" w:rsidR="008473A0" w:rsidRDefault="00000000">
            <w:r>
              <w:t>High teens CAGR in many forecasts</w:t>
            </w:r>
          </w:p>
        </w:tc>
        <w:tc>
          <w:tcPr>
            <w:tcW w:w="2160" w:type="dxa"/>
          </w:tcPr>
          <w:p w14:paraId="11937DC4" w14:textId="77777777" w:rsidR="008473A0" w:rsidRDefault="00000000">
            <w:r>
              <w:t>Definitions vary; includes human DTC, lab services, analytics</w:t>
            </w:r>
          </w:p>
        </w:tc>
      </w:tr>
      <w:tr w:rsidR="008473A0" w14:paraId="69230B0A" w14:textId="77777777">
        <w:tc>
          <w:tcPr>
            <w:tcW w:w="2160" w:type="dxa"/>
          </w:tcPr>
          <w:p w14:paraId="2DB856C9" w14:textId="77777777" w:rsidR="008473A0" w:rsidRDefault="00000000">
            <w:r>
              <w:t xml:space="preserve">Nutrigenomics </w:t>
            </w:r>
            <w:r>
              <w:lastRenderedPageBreak/>
              <w:t>testing</w:t>
            </w:r>
          </w:p>
        </w:tc>
        <w:tc>
          <w:tcPr>
            <w:tcW w:w="2160" w:type="dxa"/>
          </w:tcPr>
          <w:p w14:paraId="13E62FE5" w14:textId="77777777" w:rsidR="008473A0" w:rsidRDefault="00000000">
            <w:r>
              <w:lastRenderedPageBreak/>
              <w:t>USD 0.58B (2025)</w:t>
            </w:r>
          </w:p>
        </w:tc>
        <w:tc>
          <w:tcPr>
            <w:tcW w:w="2160" w:type="dxa"/>
          </w:tcPr>
          <w:p w14:paraId="00C813A0" w14:textId="77777777" w:rsidR="008473A0" w:rsidRDefault="00000000">
            <w:r>
              <w:t xml:space="preserve">USD 1.14B by 2030 </w:t>
            </w:r>
            <w:r>
              <w:lastRenderedPageBreak/>
              <w:t>(CAGR ~14%)</w:t>
            </w:r>
          </w:p>
        </w:tc>
        <w:tc>
          <w:tcPr>
            <w:tcW w:w="2160" w:type="dxa"/>
          </w:tcPr>
          <w:p w14:paraId="16A593C8" w14:textId="77777777" w:rsidR="008473A0" w:rsidRDefault="00000000">
            <w:r>
              <w:lastRenderedPageBreak/>
              <w:t xml:space="preserve">Testing only; does </w:t>
            </w:r>
            <w:r>
              <w:lastRenderedPageBreak/>
              <w:t>not include interventions</w:t>
            </w:r>
          </w:p>
        </w:tc>
      </w:tr>
      <w:tr w:rsidR="008473A0" w14:paraId="49A9F103" w14:textId="77777777">
        <w:tc>
          <w:tcPr>
            <w:tcW w:w="2160" w:type="dxa"/>
          </w:tcPr>
          <w:p w14:paraId="006B6A7F" w14:textId="77777777" w:rsidR="008473A0" w:rsidRDefault="00000000">
            <w:r>
              <w:lastRenderedPageBreak/>
              <w:t>Personalized nutrition (overall)</w:t>
            </w:r>
          </w:p>
        </w:tc>
        <w:tc>
          <w:tcPr>
            <w:tcW w:w="2160" w:type="dxa"/>
          </w:tcPr>
          <w:p w14:paraId="33E13C91" w14:textId="77777777" w:rsidR="008473A0" w:rsidRDefault="00000000">
            <w:r>
              <w:t>USD ~15B to 16B (2025)</w:t>
            </w:r>
          </w:p>
        </w:tc>
        <w:tc>
          <w:tcPr>
            <w:tcW w:w="2160" w:type="dxa"/>
          </w:tcPr>
          <w:p w14:paraId="62DD4384" w14:textId="77777777" w:rsidR="008473A0" w:rsidRDefault="00000000">
            <w:r>
              <w:t>USD ~31B by 2030 (CAGR ~14%)</w:t>
            </w:r>
          </w:p>
        </w:tc>
        <w:tc>
          <w:tcPr>
            <w:tcW w:w="2160" w:type="dxa"/>
          </w:tcPr>
          <w:p w14:paraId="5D74172D" w14:textId="77777777" w:rsidR="008473A0" w:rsidRDefault="00000000">
            <w:r>
              <w:t>Mostly human health and wellness</w:t>
            </w:r>
          </w:p>
        </w:tc>
      </w:tr>
      <w:tr w:rsidR="008473A0" w14:paraId="2553C428" w14:textId="77777777">
        <w:tc>
          <w:tcPr>
            <w:tcW w:w="2160" w:type="dxa"/>
          </w:tcPr>
          <w:p w14:paraId="178FEDDD" w14:textId="77777777" w:rsidR="008473A0" w:rsidRDefault="00000000">
            <w:r>
              <w:t>Pet food</w:t>
            </w:r>
          </w:p>
        </w:tc>
        <w:tc>
          <w:tcPr>
            <w:tcW w:w="2160" w:type="dxa"/>
          </w:tcPr>
          <w:p w14:paraId="07A4EEBC" w14:textId="77777777" w:rsidR="008473A0" w:rsidRDefault="00000000">
            <w:r>
              <w:t>USD 103.3B (2023)</w:t>
            </w:r>
          </w:p>
        </w:tc>
        <w:tc>
          <w:tcPr>
            <w:tcW w:w="2160" w:type="dxa"/>
          </w:tcPr>
          <w:p w14:paraId="5D6765A8" w14:textId="77777777" w:rsidR="008473A0" w:rsidRDefault="00000000">
            <w:r>
              <w:t>USD 139.29B by 2030</w:t>
            </w:r>
          </w:p>
        </w:tc>
        <w:tc>
          <w:tcPr>
            <w:tcW w:w="2160" w:type="dxa"/>
          </w:tcPr>
          <w:p w14:paraId="62B3C32F" w14:textId="77777777" w:rsidR="008473A0" w:rsidRDefault="00000000">
            <w:r>
              <w:t>Spending base that can absorb premium functional claims</w:t>
            </w:r>
          </w:p>
        </w:tc>
      </w:tr>
      <w:tr w:rsidR="008473A0" w14:paraId="28DD8459" w14:textId="77777777">
        <w:tc>
          <w:tcPr>
            <w:tcW w:w="2160" w:type="dxa"/>
          </w:tcPr>
          <w:p w14:paraId="19990375" w14:textId="77777777" w:rsidR="008473A0" w:rsidRDefault="00000000">
            <w:r>
              <w:t>Fresh pet food (US)</w:t>
            </w:r>
          </w:p>
        </w:tc>
        <w:tc>
          <w:tcPr>
            <w:tcW w:w="2160" w:type="dxa"/>
          </w:tcPr>
          <w:p w14:paraId="1E265993" w14:textId="77777777" w:rsidR="008473A0" w:rsidRDefault="00000000">
            <w:r>
              <w:t>Just over USD 3B (2025)</w:t>
            </w:r>
          </w:p>
        </w:tc>
        <w:tc>
          <w:tcPr>
            <w:tcW w:w="2160" w:type="dxa"/>
          </w:tcPr>
          <w:p w14:paraId="40472D7A" w14:textId="77777777" w:rsidR="008473A0" w:rsidRDefault="00000000">
            <w:r>
              <w:t>Projected ~USD 10B in next decade</w:t>
            </w:r>
          </w:p>
        </w:tc>
        <w:tc>
          <w:tcPr>
            <w:tcW w:w="2160" w:type="dxa"/>
          </w:tcPr>
          <w:p w14:paraId="05A86955" w14:textId="77777777" w:rsidR="008473A0" w:rsidRDefault="00000000">
            <w:r>
              <w:t>Fast-growing premium subsegment</w:t>
            </w:r>
          </w:p>
        </w:tc>
      </w:tr>
      <w:tr w:rsidR="008473A0" w14:paraId="585D9A5C" w14:textId="77777777">
        <w:tc>
          <w:tcPr>
            <w:tcW w:w="2160" w:type="dxa"/>
          </w:tcPr>
          <w:p w14:paraId="552B1316" w14:textId="77777777" w:rsidR="008473A0" w:rsidRDefault="00000000">
            <w:r>
              <w:t>Animal feed additives</w:t>
            </w:r>
          </w:p>
        </w:tc>
        <w:tc>
          <w:tcPr>
            <w:tcW w:w="2160" w:type="dxa"/>
          </w:tcPr>
          <w:p w14:paraId="70881B24" w14:textId="77777777" w:rsidR="008473A0" w:rsidRDefault="00000000">
            <w:r>
              <w:t>USD 42.0B (2023)</w:t>
            </w:r>
          </w:p>
        </w:tc>
        <w:tc>
          <w:tcPr>
            <w:tcW w:w="2160" w:type="dxa"/>
          </w:tcPr>
          <w:p w14:paraId="3086205A" w14:textId="77777777" w:rsidR="008473A0" w:rsidRDefault="00000000">
            <w:r>
              <w:t>USD 55.46B by 2030</w:t>
            </w:r>
          </w:p>
        </w:tc>
        <w:tc>
          <w:tcPr>
            <w:tcW w:w="2160" w:type="dxa"/>
          </w:tcPr>
          <w:p w14:paraId="2493E24E" w14:textId="77777777" w:rsidR="008473A0" w:rsidRDefault="00000000">
            <w:r>
              <w:t>Includes many functional ingredients relevant to livestock nutrigenomics</w:t>
            </w:r>
          </w:p>
        </w:tc>
      </w:tr>
      <w:tr w:rsidR="008473A0" w14:paraId="67DFC1EB" w14:textId="77777777">
        <w:tc>
          <w:tcPr>
            <w:tcW w:w="2160" w:type="dxa"/>
          </w:tcPr>
          <w:p w14:paraId="19F794F7" w14:textId="77777777" w:rsidR="008473A0" w:rsidRDefault="00000000">
            <w:r>
              <w:t>Probiotics in animal feed</w:t>
            </w:r>
          </w:p>
        </w:tc>
        <w:tc>
          <w:tcPr>
            <w:tcW w:w="2160" w:type="dxa"/>
          </w:tcPr>
          <w:p w14:paraId="4A1A7D87" w14:textId="77777777" w:rsidR="008473A0" w:rsidRDefault="00000000">
            <w:r>
              <w:t>USD 5.18B (2023)</w:t>
            </w:r>
          </w:p>
        </w:tc>
        <w:tc>
          <w:tcPr>
            <w:tcW w:w="2160" w:type="dxa"/>
          </w:tcPr>
          <w:p w14:paraId="754E8DEA" w14:textId="77777777" w:rsidR="008473A0" w:rsidRDefault="00000000">
            <w:r>
              <w:t>USD 9.18B by 2030</w:t>
            </w:r>
          </w:p>
        </w:tc>
        <w:tc>
          <w:tcPr>
            <w:tcW w:w="2160" w:type="dxa"/>
          </w:tcPr>
          <w:p w14:paraId="61A73D19" w14:textId="77777777" w:rsidR="008473A0" w:rsidRDefault="00000000">
            <w:r>
              <w:t>Proxy for gut integrity and antibiotic alternative spend</w:t>
            </w:r>
          </w:p>
        </w:tc>
      </w:tr>
      <w:tr w:rsidR="008473A0" w14:paraId="1453CC7E" w14:textId="77777777">
        <w:tc>
          <w:tcPr>
            <w:tcW w:w="2160" w:type="dxa"/>
          </w:tcPr>
          <w:p w14:paraId="0E1F4C69" w14:textId="77777777" w:rsidR="008473A0" w:rsidRDefault="00000000">
            <w:r>
              <w:t>Postbiotics (all applications)</w:t>
            </w:r>
          </w:p>
        </w:tc>
        <w:tc>
          <w:tcPr>
            <w:tcW w:w="2160" w:type="dxa"/>
          </w:tcPr>
          <w:p w14:paraId="61C30B2B" w14:textId="77777777" w:rsidR="008473A0" w:rsidRDefault="00000000">
            <w:r>
              <w:t>USD 146.7M (2025)</w:t>
            </w:r>
          </w:p>
        </w:tc>
        <w:tc>
          <w:tcPr>
            <w:tcW w:w="2160" w:type="dxa"/>
          </w:tcPr>
          <w:p w14:paraId="12906536" w14:textId="77777777" w:rsidR="008473A0" w:rsidRDefault="00000000">
            <w:r>
              <w:t>USD 224.8M by 2030</w:t>
            </w:r>
          </w:p>
        </w:tc>
        <w:tc>
          <w:tcPr>
            <w:tcW w:w="2160" w:type="dxa"/>
          </w:tcPr>
          <w:p w14:paraId="4887945F" w14:textId="77777777" w:rsidR="008473A0" w:rsidRDefault="00000000">
            <w:r>
              <w:t>Includes animal feed as an application in some reports</w:t>
            </w:r>
          </w:p>
        </w:tc>
      </w:tr>
    </w:tbl>
    <w:p w14:paraId="6DD8B84A" w14:textId="77777777" w:rsidR="008473A0" w:rsidRDefault="00000000">
      <w:pPr>
        <w:pStyle w:val="Heading2"/>
      </w:pPr>
      <w:r>
        <w:t>6.2 Animal-specific segmentation framework</w:t>
      </w:r>
    </w:p>
    <w:p w14:paraId="2E22E9C4" w14:textId="77777777" w:rsidR="008473A0" w:rsidRDefault="00000000">
      <w:r>
        <w:t>Instead of relying only on top-down market categories, animal nutrigenomics is best segmented by (a) buyer, (b) decision maker, and (c) monetization model:</w:t>
      </w:r>
    </w:p>
    <w:p w14:paraId="0C6ED9DA" w14:textId="77777777" w:rsidR="008473A0" w:rsidRDefault="00000000">
      <w:pPr>
        <w:pStyle w:val="ListBullet"/>
      </w:pPr>
      <w:r>
        <w:t>B2C pet: buyer and decision maker is the owner. Monetization is subscription food, supplements, and retesting.</w:t>
      </w:r>
    </w:p>
    <w:p w14:paraId="13A824EA" w14:textId="77777777" w:rsidR="008473A0" w:rsidRDefault="00000000">
      <w:pPr>
        <w:pStyle w:val="ListBullet"/>
      </w:pPr>
      <w:r>
        <w:t>B2B livestock: buyer is farm, integrator, or feed mill. Decision makers include nutritionists and veterinarians. Monetization is ingredient inclusion and performance-linked ROI.</w:t>
      </w:r>
    </w:p>
    <w:p w14:paraId="349CD8A2" w14:textId="77777777" w:rsidR="008473A0" w:rsidRDefault="00000000">
      <w:pPr>
        <w:pStyle w:val="ListBullet"/>
      </w:pPr>
      <w:r>
        <w:t>Vet channel: veterinarian influences or controls decision. Monetization is prescription diets, in-clinic protocols, and repeat purchasing.</w:t>
      </w:r>
    </w:p>
    <w:p w14:paraId="002F9E77" w14:textId="77777777" w:rsidR="008473A0" w:rsidRDefault="00000000">
      <w:pPr>
        <w:pStyle w:val="Heading2"/>
      </w:pPr>
      <w:r>
        <w:t>6.3 Implication for investors</w:t>
      </w:r>
    </w:p>
    <w:p w14:paraId="3DDEE604" w14:textId="77777777" w:rsidR="008473A0" w:rsidRDefault="00000000">
      <w:r>
        <w:t>Because animal nutrigenomics TAM is fragmented, the most reliable way to size a target is bottom-up: estimate reachable populations (for example, chronic GI dogs in a target geography), expected attach rates for testing, subscription conversion, average monthly spend, and retention. Top-down nutrigenomics numbers are useful only as directional context.</w:t>
      </w:r>
    </w:p>
    <w:p w14:paraId="2B2AF66E" w14:textId="77777777" w:rsidR="008473A0" w:rsidRDefault="00000000">
      <w:pPr>
        <w:pStyle w:val="Heading1"/>
      </w:pPr>
      <w:r>
        <w:t>7. Value chain and profit pools</w:t>
      </w:r>
    </w:p>
    <w:p w14:paraId="2A3CAD0F" w14:textId="77777777" w:rsidR="008473A0" w:rsidRDefault="00000000">
      <w:r>
        <w:t>The draft correctly emphasized that the interpretation layer is often the strategic profit pool. Below is a cleaned and expanded view of the value chain, with typical economics and strategic notes.</w:t>
      </w:r>
    </w:p>
    <w:tbl>
      <w:tblPr>
        <w:tblStyle w:val="TableGrid"/>
        <w:tblW w:w="0" w:type="auto"/>
        <w:tblLook w:val="04A0" w:firstRow="1" w:lastRow="0" w:firstColumn="1" w:lastColumn="0" w:noHBand="0" w:noVBand="1"/>
      </w:tblPr>
      <w:tblGrid>
        <w:gridCol w:w="2160"/>
        <w:gridCol w:w="2160"/>
        <w:gridCol w:w="2160"/>
        <w:gridCol w:w="2160"/>
      </w:tblGrid>
      <w:tr w:rsidR="008473A0" w14:paraId="4841DA1A" w14:textId="77777777">
        <w:tc>
          <w:tcPr>
            <w:tcW w:w="2160" w:type="dxa"/>
          </w:tcPr>
          <w:p w14:paraId="74C7DCC8" w14:textId="77777777" w:rsidR="008473A0" w:rsidRDefault="00000000">
            <w:r>
              <w:rPr>
                <w:b/>
              </w:rPr>
              <w:lastRenderedPageBreak/>
              <w:t>Layer</w:t>
            </w:r>
          </w:p>
        </w:tc>
        <w:tc>
          <w:tcPr>
            <w:tcW w:w="2160" w:type="dxa"/>
          </w:tcPr>
          <w:p w14:paraId="326DD7AC" w14:textId="77777777" w:rsidR="008473A0" w:rsidRDefault="00000000">
            <w:r>
              <w:rPr>
                <w:b/>
              </w:rPr>
              <w:t>What happens</w:t>
            </w:r>
          </w:p>
        </w:tc>
        <w:tc>
          <w:tcPr>
            <w:tcW w:w="2160" w:type="dxa"/>
          </w:tcPr>
          <w:p w14:paraId="3AF7B46E" w14:textId="77777777" w:rsidR="008473A0" w:rsidRDefault="00000000">
            <w:r>
              <w:rPr>
                <w:b/>
              </w:rPr>
              <w:t>Typical economics</w:t>
            </w:r>
          </w:p>
        </w:tc>
        <w:tc>
          <w:tcPr>
            <w:tcW w:w="2160" w:type="dxa"/>
          </w:tcPr>
          <w:p w14:paraId="4BD1BCB9" w14:textId="77777777" w:rsidR="008473A0" w:rsidRDefault="00000000">
            <w:r>
              <w:rPr>
                <w:b/>
              </w:rPr>
              <w:t>Strategic notes / investor view</w:t>
            </w:r>
          </w:p>
        </w:tc>
      </w:tr>
      <w:tr w:rsidR="008473A0" w14:paraId="1DEF034B" w14:textId="77777777">
        <w:tc>
          <w:tcPr>
            <w:tcW w:w="2160" w:type="dxa"/>
          </w:tcPr>
          <w:p w14:paraId="2158E992" w14:textId="77777777" w:rsidR="008473A0" w:rsidRDefault="00000000">
            <w:r>
              <w:t>1. Collection + laboratory processing (hardware)</w:t>
            </w:r>
          </w:p>
        </w:tc>
        <w:tc>
          <w:tcPr>
            <w:tcW w:w="2160" w:type="dxa"/>
          </w:tcPr>
          <w:p w14:paraId="6B053C82" w14:textId="77777777" w:rsidR="008473A0" w:rsidRDefault="00000000">
            <w:r>
              <w:t>Sampling kits, logistics, sequencing, qPCR, preprocessing</w:t>
            </w:r>
          </w:p>
        </w:tc>
        <w:tc>
          <w:tcPr>
            <w:tcW w:w="2160" w:type="dxa"/>
          </w:tcPr>
          <w:p w14:paraId="42EF4974" w14:textId="77777777" w:rsidR="008473A0" w:rsidRDefault="00000000">
            <w:r>
              <w:t>Often mid gross margin but commoditizes over time</w:t>
            </w:r>
          </w:p>
        </w:tc>
        <w:tc>
          <w:tcPr>
            <w:tcW w:w="2160" w:type="dxa"/>
          </w:tcPr>
          <w:p w14:paraId="70E1B523" w14:textId="77777777" w:rsidR="008473A0" w:rsidRDefault="00000000">
            <w:r>
              <w:t>Avoid as standalone unless unique assays or access</w:t>
            </w:r>
          </w:p>
        </w:tc>
      </w:tr>
      <w:tr w:rsidR="008473A0" w14:paraId="6E43385A" w14:textId="77777777">
        <w:tc>
          <w:tcPr>
            <w:tcW w:w="2160" w:type="dxa"/>
          </w:tcPr>
          <w:p w14:paraId="755E0638" w14:textId="77777777" w:rsidR="008473A0" w:rsidRDefault="00000000">
            <w:r>
              <w:t>2. Interpretation (the translator)</w:t>
            </w:r>
          </w:p>
        </w:tc>
        <w:tc>
          <w:tcPr>
            <w:tcW w:w="2160" w:type="dxa"/>
          </w:tcPr>
          <w:p w14:paraId="33219877" w14:textId="77777777" w:rsidR="008473A0" w:rsidRDefault="00000000">
            <w:r>
              <w:t>Algorithms, reports, recommendation engine, longitudinal analytics</w:t>
            </w:r>
          </w:p>
        </w:tc>
        <w:tc>
          <w:tcPr>
            <w:tcW w:w="2160" w:type="dxa"/>
          </w:tcPr>
          <w:p w14:paraId="2AE2EC51" w14:textId="77777777" w:rsidR="008473A0" w:rsidRDefault="00000000">
            <w:r>
              <w:t>High gross margin; value increases with data scale</w:t>
            </w:r>
          </w:p>
        </w:tc>
        <w:tc>
          <w:tcPr>
            <w:tcW w:w="2160" w:type="dxa"/>
          </w:tcPr>
          <w:p w14:paraId="5E90A628" w14:textId="77777777" w:rsidR="008473A0" w:rsidRDefault="00000000">
            <w:r>
              <w:t>Best place to build durable moat; data rights are critical</w:t>
            </w:r>
          </w:p>
        </w:tc>
      </w:tr>
      <w:tr w:rsidR="008473A0" w14:paraId="5524F880" w14:textId="77777777">
        <w:tc>
          <w:tcPr>
            <w:tcW w:w="2160" w:type="dxa"/>
          </w:tcPr>
          <w:p w14:paraId="23D5BD26" w14:textId="77777777" w:rsidR="008473A0" w:rsidRDefault="00000000">
            <w:r>
              <w:t>3. Intervention manufacturing</w:t>
            </w:r>
          </w:p>
        </w:tc>
        <w:tc>
          <w:tcPr>
            <w:tcW w:w="2160" w:type="dxa"/>
          </w:tcPr>
          <w:p w14:paraId="59C61639" w14:textId="77777777" w:rsidR="008473A0" w:rsidRDefault="00000000">
            <w:r>
              <w:t>Food, supplements, feed additive production, quality systems</w:t>
            </w:r>
          </w:p>
        </w:tc>
        <w:tc>
          <w:tcPr>
            <w:tcW w:w="2160" w:type="dxa"/>
          </w:tcPr>
          <w:p w14:paraId="1F4F641F" w14:textId="77777777" w:rsidR="008473A0" w:rsidRDefault="00000000">
            <w:r>
              <w:t>Can be high gross margin for branded supplements; varies for bulk</w:t>
            </w:r>
          </w:p>
        </w:tc>
        <w:tc>
          <w:tcPr>
            <w:tcW w:w="2160" w:type="dxa"/>
          </w:tcPr>
          <w:p w14:paraId="43C0C3D1" w14:textId="77777777" w:rsidR="008473A0" w:rsidRDefault="00000000">
            <w:r>
              <w:t>Moat comes from formulations, claims discipline, repeat purchase</w:t>
            </w:r>
          </w:p>
        </w:tc>
      </w:tr>
      <w:tr w:rsidR="008473A0" w14:paraId="4525A646" w14:textId="77777777">
        <w:tc>
          <w:tcPr>
            <w:tcW w:w="2160" w:type="dxa"/>
          </w:tcPr>
          <w:p w14:paraId="065E1C99" w14:textId="77777777" w:rsidR="008473A0" w:rsidRDefault="00000000">
            <w:r>
              <w:t>4. Distribution and prescribing influence</w:t>
            </w:r>
          </w:p>
        </w:tc>
        <w:tc>
          <w:tcPr>
            <w:tcW w:w="2160" w:type="dxa"/>
          </w:tcPr>
          <w:p w14:paraId="637BC1BE" w14:textId="77777777" w:rsidR="008473A0" w:rsidRDefault="00000000">
            <w:r>
              <w:t>E-commerce, vet clinics, feed mills, integrators, subscription logistics</w:t>
            </w:r>
          </w:p>
        </w:tc>
        <w:tc>
          <w:tcPr>
            <w:tcW w:w="2160" w:type="dxa"/>
          </w:tcPr>
          <w:p w14:paraId="1DC47DA7" w14:textId="77777777" w:rsidR="008473A0" w:rsidRDefault="00000000">
            <w:r>
              <w:t>Economics driven by CAC, channel fees, and retention</w:t>
            </w:r>
          </w:p>
        </w:tc>
        <w:tc>
          <w:tcPr>
            <w:tcW w:w="2160" w:type="dxa"/>
          </w:tcPr>
          <w:p w14:paraId="16152B2A" w14:textId="77777777" w:rsidR="008473A0" w:rsidRDefault="00000000">
            <w:r>
              <w:t>Channel control determines data accumulation and thus translator moat</w:t>
            </w:r>
          </w:p>
        </w:tc>
      </w:tr>
    </w:tbl>
    <w:p w14:paraId="5068B83A" w14:textId="77777777" w:rsidR="008473A0" w:rsidRDefault="00000000">
      <w:pPr>
        <w:pStyle w:val="Heading2"/>
      </w:pPr>
      <w:r>
        <w:t>7.1 The Genomic Loop (subscription flywheel)</w:t>
      </w:r>
    </w:p>
    <w:p w14:paraId="5C705904" w14:textId="77777777" w:rsidR="008473A0" w:rsidRDefault="00000000">
      <w:r>
        <w:t>A common pattern in the highest-performing businesses is a flywheel: Test → Insight → Action product → Outcome tracking → Retest → Better model → Better insight → Higher willingness to pay.</w:t>
      </w:r>
    </w:p>
    <w:p w14:paraId="5D13E763" w14:textId="77777777" w:rsidR="008473A0" w:rsidRDefault="00000000">
      <w:r>
        <w:rPr>
          <w:b/>
        </w:rPr>
        <w:t>Key design requirements for a strong loop:</w:t>
      </w:r>
    </w:p>
    <w:p w14:paraId="5FA0A13F" w14:textId="77777777" w:rsidR="008473A0" w:rsidRDefault="00000000">
      <w:pPr>
        <w:pStyle w:val="ListBullet"/>
      </w:pPr>
      <w:r>
        <w:t>The test must lead to a recommendation that feels specific and defensible.</w:t>
      </w:r>
    </w:p>
    <w:p w14:paraId="3056D763" w14:textId="77777777" w:rsidR="008473A0" w:rsidRDefault="00000000">
      <w:pPr>
        <w:pStyle w:val="ListBullet"/>
      </w:pPr>
      <w:r>
        <w:t>The recommended product must be proprietary enough to capture margin and retention.</w:t>
      </w:r>
    </w:p>
    <w:p w14:paraId="0E91C137" w14:textId="77777777" w:rsidR="008473A0" w:rsidRDefault="00000000">
      <w:pPr>
        <w:pStyle w:val="ListBullet"/>
      </w:pPr>
      <w:r>
        <w:t>The company must capture outcomes to improve the translator and to justify retesting.</w:t>
      </w:r>
    </w:p>
    <w:p w14:paraId="08AE2311" w14:textId="77777777" w:rsidR="008473A0" w:rsidRDefault="00000000">
      <w:pPr>
        <w:pStyle w:val="ListBullet"/>
      </w:pPr>
      <w:r>
        <w:t>Retesting should have a clear purpose (for example, verify microbiome shift) rather than being a generic upsell.</w:t>
      </w:r>
    </w:p>
    <w:p w14:paraId="1B83EC9D" w14:textId="77777777" w:rsidR="008473A0" w:rsidRDefault="00000000">
      <w:pPr>
        <w:pStyle w:val="Heading1"/>
      </w:pPr>
      <w:r>
        <w:t>8. Business models and unit economics</w:t>
      </w:r>
    </w:p>
    <w:p w14:paraId="2F1907AC" w14:textId="77777777" w:rsidR="008473A0" w:rsidRDefault="00000000">
      <w:r>
        <w:t>This section reframes the draft's business model discussion into a more complete map of monetization options. Many companies blend several models.</w:t>
      </w:r>
    </w:p>
    <w:p w14:paraId="6E4813A5" w14:textId="77777777" w:rsidR="008473A0" w:rsidRDefault="00000000">
      <w:pPr>
        <w:pStyle w:val="Heading2"/>
      </w:pPr>
      <w:r>
        <w:t>8.1 Companion animals: personalization and longevity narratives</w:t>
      </w:r>
    </w:p>
    <w:p w14:paraId="5E2689B1" w14:textId="77777777" w:rsidR="008473A0" w:rsidRDefault="00000000">
      <w:pPr>
        <w:pStyle w:val="ListBullet"/>
      </w:pPr>
      <w:r>
        <w:t>Test-led subscription (Genomic Loop): at-home kit or vet-mediated test, followed by recurring supplements or food, then periodic retesting.</w:t>
      </w:r>
    </w:p>
    <w:p w14:paraId="077D2299" w14:textId="77777777" w:rsidR="008473A0" w:rsidRDefault="00000000">
      <w:pPr>
        <w:pStyle w:val="ListBullet"/>
      </w:pPr>
      <w:r>
        <w:t>Direct subscription without testing: personalized meal plans based on questionnaires and vet history. Lower scientific differentiation but simpler operations.</w:t>
      </w:r>
    </w:p>
    <w:p w14:paraId="66A4EC25" w14:textId="77777777" w:rsidR="008473A0" w:rsidRDefault="00000000">
      <w:pPr>
        <w:pStyle w:val="ListBullet"/>
      </w:pPr>
      <w:r>
        <w:t>Condition-specific protocols: GI health, dermatology, obesity, cognitive aging. Works best when the protocol has measurable endpoints and repeat purchase drivers.</w:t>
      </w:r>
    </w:p>
    <w:p w14:paraId="600439DB" w14:textId="77777777" w:rsidR="008473A0" w:rsidRDefault="00000000">
      <w:pPr>
        <w:pStyle w:val="Heading2"/>
      </w:pPr>
      <w:r>
        <w:lastRenderedPageBreak/>
        <w:t>8.2 Livestock and aquaculture: efficiency, resilience, and sustainability</w:t>
      </w:r>
    </w:p>
    <w:p w14:paraId="1D2C6E69" w14:textId="77777777" w:rsidR="008473A0" w:rsidRDefault="00000000">
      <w:pPr>
        <w:pStyle w:val="ListBullet"/>
      </w:pPr>
      <w:r>
        <w:t>Ingredient inclusion model: sell a feed additive into premixes and diets; ROI measured by feed conversion, mortality, growth rate, and health events.</w:t>
      </w:r>
    </w:p>
    <w:p w14:paraId="4C94828B" w14:textId="77777777" w:rsidR="008473A0" w:rsidRDefault="00000000">
      <w:pPr>
        <w:pStyle w:val="ListBullet"/>
      </w:pPr>
      <w:r>
        <w:t>Program model: integrate multiple ingredients plus advisory services (precision feeding) to hit genetic potential targets under stress conditions.</w:t>
      </w:r>
    </w:p>
    <w:p w14:paraId="7860E483" w14:textId="77777777" w:rsidR="008473A0" w:rsidRDefault="00000000">
      <w:pPr>
        <w:pStyle w:val="ListBullet"/>
      </w:pPr>
      <w:r>
        <w:t>Maternal or early-life programming: interventions targeted to breeders or early-life windows to change lifetime performance economics.</w:t>
      </w:r>
    </w:p>
    <w:p w14:paraId="382B6383" w14:textId="77777777" w:rsidR="008473A0" w:rsidRDefault="00000000">
      <w:pPr>
        <w:pStyle w:val="Heading2"/>
      </w:pPr>
      <w:r>
        <w:t>8.3 Platform and data licensing</w:t>
      </w:r>
    </w:p>
    <w:p w14:paraId="73955E0C" w14:textId="77777777" w:rsidR="008473A0" w:rsidRDefault="00000000">
      <w:pPr>
        <w:pStyle w:val="ListBullet"/>
      </w:pPr>
      <w:r>
        <w:t>White-label tests and reports for brands (pet food companies, clinics, ingredient suppliers).</w:t>
      </w:r>
    </w:p>
    <w:p w14:paraId="4445DACF" w14:textId="77777777" w:rsidR="008473A0" w:rsidRDefault="00000000">
      <w:pPr>
        <w:pStyle w:val="ListBullet"/>
      </w:pPr>
      <w:r>
        <w:t>Data partnerships where anonymized cohorts are used to validate ingredient claims or to develop new products.</w:t>
      </w:r>
    </w:p>
    <w:p w14:paraId="46E818FB" w14:textId="77777777" w:rsidR="008473A0" w:rsidRDefault="00000000">
      <w:pPr>
        <w:pStyle w:val="ListBullet"/>
      </w:pPr>
      <w:r>
        <w:t>Clinical decision support tools for veterinarians (requires high trust and evidence).</w:t>
      </w:r>
    </w:p>
    <w:p w14:paraId="51133098" w14:textId="77777777" w:rsidR="008473A0" w:rsidRDefault="00000000">
      <w:pPr>
        <w:pStyle w:val="Heading2"/>
      </w:pPr>
      <w:r>
        <w:t>8.4 What to measure (metrics that actually predict value)</w:t>
      </w:r>
    </w:p>
    <w:p w14:paraId="683C2822" w14:textId="77777777" w:rsidR="008473A0" w:rsidRDefault="00000000">
      <w:pPr>
        <w:pStyle w:val="ListBullet"/>
      </w:pPr>
      <w:r>
        <w:t>Test conversion to subscription or repeat purchase (attach rate).</w:t>
      </w:r>
    </w:p>
    <w:p w14:paraId="66DC9649" w14:textId="77777777" w:rsidR="008473A0" w:rsidRDefault="00000000">
      <w:pPr>
        <w:pStyle w:val="ListBullet"/>
      </w:pPr>
      <w:r>
        <w:t>Retention and cohort decay (month 1, 3, 6, 12).</w:t>
      </w:r>
    </w:p>
    <w:p w14:paraId="377E6AFA" w14:textId="77777777" w:rsidR="008473A0" w:rsidRDefault="00000000">
      <w:pPr>
        <w:pStyle w:val="ListBullet"/>
      </w:pPr>
      <w:r>
        <w:t>Gross margin by product category and by channel (DTC vs vet vs wholesale).</w:t>
      </w:r>
    </w:p>
    <w:p w14:paraId="07DAC759" w14:textId="77777777" w:rsidR="008473A0" w:rsidRDefault="00000000">
      <w:pPr>
        <w:pStyle w:val="ListBullet"/>
      </w:pPr>
      <w:r>
        <w:t>Evidence strength: from uncontrolled testimonials to controlled trials.</w:t>
      </w:r>
    </w:p>
    <w:p w14:paraId="6F1E6298" w14:textId="77777777" w:rsidR="008473A0" w:rsidRDefault="00000000">
      <w:pPr>
        <w:pStyle w:val="ListBullet"/>
      </w:pPr>
      <w:r>
        <w:t>Data flywheel health: percent of customers with outcome tracking, repeat tests, and usable labeled data.</w:t>
      </w:r>
    </w:p>
    <w:p w14:paraId="7BB94312" w14:textId="77777777" w:rsidR="008473A0" w:rsidRDefault="00000000">
      <w:pPr>
        <w:pStyle w:val="Heading1"/>
      </w:pPr>
      <w:r>
        <w:t>9. Adoption drivers: why customers buy (pets vs livestock)</w:t>
      </w:r>
    </w:p>
    <w:p w14:paraId="0D4F1249" w14:textId="77777777" w:rsidR="008473A0" w:rsidRDefault="00000000">
      <w:r>
        <w:t>The draft included useful insight that motivations differ sharply by buyer type. This section formalizes that insight because it directly affects messaging, channel strategy, and retention.</w:t>
      </w:r>
    </w:p>
    <w:p w14:paraId="2D7D4107" w14:textId="77777777" w:rsidR="008473A0" w:rsidRDefault="00000000">
      <w:pPr>
        <w:pStyle w:val="Heading2"/>
      </w:pPr>
      <w:r>
        <w:t>9.1 Pet owners: fear, hope, and control</w:t>
      </w:r>
    </w:p>
    <w:p w14:paraId="39348076" w14:textId="77777777" w:rsidR="008473A0" w:rsidRDefault="00000000">
      <w:pPr>
        <w:pStyle w:val="ListBullet"/>
      </w:pPr>
      <w:r>
        <w:t>High willingness to pay when the message frames hidden risk and provides an actionable protocol.</w:t>
      </w:r>
    </w:p>
    <w:p w14:paraId="2E30FD52" w14:textId="77777777" w:rsidR="008473A0" w:rsidRDefault="00000000">
      <w:pPr>
        <w:pStyle w:val="ListBullet"/>
      </w:pPr>
      <w:r>
        <w:t>Retention increases when owners feel the recommendations are uniquely tailored to their pet and validated by retesting or clinical improvement.</w:t>
      </w:r>
    </w:p>
    <w:p w14:paraId="2872ED16" w14:textId="77777777" w:rsidR="008473A0" w:rsidRDefault="00000000">
      <w:pPr>
        <w:pStyle w:val="ListBullet"/>
      </w:pPr>
      <w:r>
        <w:t>Brand trust and veterinary endorsement materially reduce skepticism, especially for microbiome claims.</w:t>
      </w:r>
    </w:p>
    <w:p w14:paraId="5BFE249B" w14:textId="77777777" w:rsidR="008473A0" w:rsidRDefault="00000000">
      <w:pPr>
        <w:pStyle w:val="Heading2"/>
      </w:pPr>
      <w:r>
        <w:t>9.2 Livestock producers: ROI and risk management</w:t>
      </w:r>
    </w:p>
    <w:p w14:paraId="3FCF3051" w14:textId="77777777" w:rsidR="008473A0" w:rsidRDefault="00000000">
      <w:pPr>
        <w:pStyle w:val="ListBullet"/>
      </w:pPr>
      <w:r>
        <w:t>Purchase decisions are driven by measurable performance: feed conversion ratio, growth rate, mortality, medication use, and processing outcomes.</w:t>
      </w:r>
    </w:p>
    <w:p w14:paraId="0A7D5D62" w14:textId="77777777" w:rsidR="008473A0" w:rsidRDefault="00000000">
      <w:pPr>
        <w:pStyle w:val="ListBullet"/>
      </w:pPr>
      <w:r>
        <w:t>The most persuasive claims quantify impact under specific stressors (heat stress, pathogen challenge, early weaning) and show repeatable field trial results.</w:t>
      </w:r>
    </w:p>
    <w:p w14:paraId="067436CC" w14:textId="77777777" w:rsidR="008473A0" w:rsidRDefault="00000000">
      <w:pPr>
        <w:pStyle w:val="ListBullet"/>
      </w:pPr>
      <w:r>
        <w:t>Ingredient adoption is constrained by inclusion cost and by operational simplicity; the best products are easy to formulate and stable across supply chains.</w:t>
      </w:r>
    </w:p>
    <w:p w14:paraId="3366DA72" w14:textId="77777777" w:rsidR="008473A0" w:rsidRDefault="00000000">
      <w:pPr>
        <w:pStyle w:val="Heading2"/>
      </w:pPr>
      <w:r>
        <w:lastRenderedPageBreak/>
        <w:t>9.3 Implication for product design</w:t>
      </w:r>
    </w:p>
    <w:p w14:paraId="0BD712F2" w14:textId="77777777" w:rsidR="008473A0" w:rsidRDefault="00000000">
      <w:pPr>
        <w:pStyle w:val="ListBullet"/>
      </w:pPr>
      <w:r>
        <w:t>Pets: design for narrative plus proof. Combine a clear story (why your pet is unique) with a protocol that produces observable improvement.</w:t>
      </w:r>
    </w:p>
    <w:p w14:paraId="54FE84FC" w14:textId="77777777" w:rsidR="008473A0" w:rsidRDefault="00000000">
      <w:pPr>
        <w:pStyle w:val="ListBullet"/>
      </w:pPr>
      <w:r>
        <w:t>Livestock: design for proof plus economics. Provide ROI calculators, field trial data, and clear inclusion guidance.</w:t>
      </w:r>
    </w:p>
    <w:p w14:paraId="4340A4CB" w14:textId="77777777" w:rsidR="008473A0" w:rsidRDefault="00000000">
      <w:pPr>
        <w:pStyle w:val="Heading1"/>
      </w:pPr>
      <w:r>
        <w:t>10. Competitive landscape and company archetypes</w:t>
      </w:r>
    </w:p>
    <w:p w14:paraId="21FED325" w14:textId="77777777" w:rsidR="008473A0" w:rsidRDefault="00000000">
      <w:r>
        <w:t>The draft referenced portfolio files that were not included in the upload. This section therefore treats company examples as illustrative and based on publicly available information, plus the companies named in the draft.</w:t>
      </w:r>
    </w:p>
    <w:p w14:paraId="47F6EC49" w14:textId="77777777" w:rsidR="008473A0" w:rsidRDefault="00000000">
      <w:pPr>
        <w:pStyle w:val="Heading2"/>
      </w:pPr>
      <w:r>
        <w:t>10.1 Archetype map</w:t>
      </w:r>
    </w:p>
    <w:p w14:paraId="66D38F0C" w14:textId="77777777" w:rsidR="008473A0" w:rsidRDefault="00000000">
      <w:pPr>
        <w:pStyle w:val="ListBullet"/>
      </w:pPr>
      <w:r>
        <w:t>Archetype A: Test-led subscription and protocols (companion animals).</w:t>
      </w:r>
    </w:p>
    <w:p w14:paraId="5D23BA17" w14:textId="77777777" w:rsidR="008473A0" w:rsidRDefault="00000000">
      <w:pPr>
        <w:pStyle w:val="ListBullet"/>
      </w:pPr>
      <w:r>
        <w:t>Archetype B: Ingredient and feed additive companies using 'omics' for proof (livestock, aquaculture).</w:t>
      </w:r>
    </w:p>
    <w:p w14:paraId="3EA6F26D" w14:textId="77777777" w:rsidR="008473A0" w:rsidRDefault="00000000">
      <w:pPr>
        <w:pStyle w:val="ListBullet"/>
      </w:pPr>
      <w:r>
        <w:t>Archetype C: Vet-channel individualized nutrition services (prescription diet adjacency).</w:t>
      </w:r>
    </w:p>
    <w:p w14:paraId="25AF12EB" w14:textId="77777777" w:rsidR="008473A0" w:rsidRDefault="00000000">
      <w:pPr>
        <w:pStyle w:val="ListBullet"/>
      </w:pPr>
      <w:r>
        <w:t>Archetype D: Enabling labs and sequencing providers (often commoditized unless differentiated).</w:t>
      </w:r>
    </w:p>
    <w:p w14:paraId="48759A9C" w14:textId="77777777" w:rsidR="008473A0" w:rsidRDefault="00000000">
      <w:pPr>
        <w:pStyle w:val="Heading2"/>
      </w:pPr>
      <w:r>
        <w:t>10.2 Selected company snapshots (illustrative)</w:t>
      </w:r>
    </w:p>
    <w:tbl>
      <w:tblPr>
        <w:tblStyle w:val="TableGrid"/>
        <w:tblW w:w="0" w:type="auto"/>
        <w:tblLook w:val="04A0" w:firstRow="1" w:lastRow="0" w:firstColumn="1" w:lastColumn="0" w:noHBand="0" w:noVBand="1"/>
      </w:tblPr>
      <w:tblGrid>
        <w:gridCol w:w="1369"/>
        <w:gridCol w:w="1425"/>
        <w:gridCol w:w="1450"/>
        <w:gridCol w:w="1511"/>
        <w:gridCol w:w="1676"/>
        <w:gridCol w:w="1425"/>
      </w:tblGrid>
      <w:tr w:rsidR="008473A0" w14:paraId="6D477536" w14:textId="77777777">
        <w:tc>
          <w:tcPr>
            <w:tcW w:w="1440" w:type="dxa"/>
          </w:tcPr>
          <w:p w14:paraId="62B93952" w14:textId="77777777" w:rsidR="008473A0" w:rsidRDefault="00000000">
            <w:r>
              <w:rPr>
                <w:b/>
              </w:rPr>
              <w:t>Company / brand</w:t>
            </w:r>
          </w:p>
        </w:tc>
        <w:tc>
          <w:tcPr>
            <w:tcW w:w="1440" w:type="dxa"/>
          </w:tcPr>
          <w:p w14:paraId="76D8F925" w14:textId="77777777" w:rsidR="008473A0" w:rsidRDefault="00000000">
            <w:r>
              <w:rPr>
                <w:b/>
              </w:rPr>
              <w:t>Segment</w:t>
            </w:r>
          </w:p>
        </w:tc>
        <w:tc>
          <w:tcPr>
            <w:tcW w:w="1440" w:type="dxa"/>
          </w:tcPr>
          <w:p w14:paraId="7CDAF208" w14:textId="77777777" w:rsidR="008473A0" w:rsidRDefault="00000000">
            <w:r>
              <w:rPr>
                <w:b/>
              </w:rPr>
              <w:t>Core offer</w:t>
            </w:r>
          </w:p>
        </w:tc>
        <w:tc>
          <w:tcPr>
            <w:tcW w:w="1440" w:type="dxa"/>
          </w:tcPr>
          <w:p w14:paraId="768404D4" w14:textId="77777777" w:rsidR="008473A0" w:rsidRDefault="00000000">
            <w:r>
              <w:rPr>
                <w:b/>
              </w:rPr>
              <w:t>Business model</w:t>
            </w:r>
          </w:p>
        </w:tc>
        <w:tc>
          <w:tcPr>
            <w:tcW w:w="1440" w:type="dxa"/>
          </w:tcPr>
          <w:p w14:paraId="41BA36D2" w14:textId="77777777" w:rsidR="008473A0" w:rsidRDefault="00000000">
            <w:r>
              <w:rPr>
                <w:b/>
              </w:rPr>
              <w:t>Strategic moat hypothesis</w:t>
            </w:r>
          </w:p>
        </w:tc>
        <w:tc>
          <w:tcPr>
            <w:tcW w:w="1440" w:type="dxa"/>
          </w:tcPr>
          <w:p w14:paraId="1FD5EF3B" w14:textId="77777777" w:rsidR="008473A0" w:rsidRDefault="00000000">
            <w:r>
              <w:rPr>
                <w:b/>
              </w:rPr>
              <w:t>Notes</w:t>
            </w:r>
          </w:p>
        </w:tc>
      </w:tr>
      <w:tr w:rsidR="008473A0" w14:paraId="14B71E83" w14:textId="77777777">
        <w:tc>
          <w:tcPr>
            <w:tcW w:w="1440" w:type="dxa"/>
          </w:tcPr>
          <w:p w14:paraId="69687D18" w14:textId="77777777" w:rsidR="008473A0" w:rsidRDefault="00000000">
            <w:r>
              <w:t>AnimalBiome</w:t>
            </w:r>
          </w:p>
        </w:tc>
        <w:tc>
          <w:tcPr>
            <w:tcW w:w="1440" w:type="dxa"/>
          </w:tcPr>
          <w:p w14:paraId="6893F1E2" w14:textId="77777777" w:rsidR="008473A0" w:rsidRDefault="00000000">
            <w:r>
              <w:t>Pet microbiome</w:t>
            </w:r>
          </w:p>
        </w:tc>
        <w:tc>
          <w:tcPr>
            <w:tcW w:w="1440" w:type="dxa"/>
          </w:tcPr>
          <w:p w14:paraId="0EB36816" w14:textId="77777777" w:rsidR="008473A0" w:rsidRDefault="00000000">
            <w:r>
              <w:t>Microbiome tests + oral FMT capsules (Gut Restore)</w:t>
            </w:r>
          </w:p>
        </w:tc>
        <w:tc>
          <w:tcPr>
            <w:tcW w:w="1440" w:type="dxa"/>
          </w:tcPr>
          <w:p w14:paraId="13ACC692" w14:textId="77777777" w:rsidR="008473A0" w:rsidRDefault="00000000">
            <w:r>
              <w:t>Test → protocol → repeat purchase</w:t>
            </w:r>
          </w:p>
        </w:tc>
        <w:tc>
          <w:tcPr>
            <w:tcW w:w="1440" w:type="dxa"/>
          </w:tcPr>
          <w:p w14:paraId="664A99D1" w14:textId="77777777" w:rsidR="008473A0" w:rsidRDefault="00000000">
            <w:r>
              <w:t>Dataset + clinical protocol + fulfillment + vet trust</w:t>
            </w:r>
          </w:p>
        </w:tc>
        <w:tc>
          <w:tcPr>
            <w:tcW w:w="1440" w:type="dxa"/>
          </w:tcPr>
          <w:p w14:paraId="56FBCB67" w14:textId="77777777" w:rsidR="008473A0" w:rsidRDefault="00000000">
            <w:r>
              <w:t>Raised Series B Aug 2024; see case study</w:t>
            </w:r>
          </w:p>
        </w:tc>
      </w:tr>
      <w:tr w:rsidR="008473A0" w14:paraId="50AFD6FB" w14:textId="77777777">
        <w:tc>
          <w:tcPr>
            <w:tcW w:w="1440" w:type="dxa"/>
          </w:tcPr>
          <w:p w14:paraId="501A573D" w14:textId="77777777" w:rsidR="008473A0" w:rsidRDefault="00000000">
            <w:r>
              <w:t>BIOME9 (acquired by Pooch &amp; Mutt)</w:t>
            </w:r>
          </w:p>
        </w:tc>
        <w:tc>
          <w:tcPr>
            <w:tcW w:w="1440" w:type="dxa"/>
          </w:tcPr>
          <w:p w14:paraId="1D919C39" w14:textId="77777777" w:rsidR="008473A0" w:rsidRDefault="00000000">
            <w:r>
              <w:t>Pet gut health</w:t>
            </w:r>
          </w:p>
        </w:tc>
        <w:tc>
          <w:tcPr>
            <w:tcW w:w="1440" w:type="dxa"/>
          </w:tcPr>
          <w:p w14:paraId="7623011C" w14:textId="77777777" w:rsidR="008473A0" w:rsidRDefault="00000000">
            <w:r>
              <w:t>Gut health analysis + tailored supplement plan</w:t>
            </w:r>
          </w:p>
        </w:tc>
        <w:tc>
          <w:tcPr>
            <w:tcW w:w="1440" w:type="dxa"/>
          </w:tcPr>
          <w:p w14:paraId="37EE772C" w14:textId="77777777" w:rsidR="008473A0" w:rsidRDefault="00000000">
            <w:r>
              <w:t>DTC + cross-sell food</w:t>
            </w:r>
          </w:p>
        </w:tc>
        <w:tc>
          <w:tcPr>
            <w:tcW w:w="1440" w:type="dxa"/>
          </w:tcPr>
          <w:p w14:paraId="525EB151" w14:textId="77777777" w:rsidR="008473A0" w:rsidRDefault="00000000">
            <w:r>
              <w:t>Brand + gut health positioning + subscriber retention</w:t>
            </w:r>
          </w:p>
        </w:tc>
        <w:tc>
          <w:tcPr>
            <w:tcW w:w="1440" w:type="dxa"/>
          </w:tcPr>
          <w:p w14:paraId="15C56491" w14:textId="77777777" w:rsidR="008473A0" w:rsidRDefault="00000000">
            <w:r>
              <w:t>Acquisition announced 2025</w:t>
            </w:r>
          </w:p>
        </w:tc>
      </w:tr>
      <w:tr w:rsidR="008473A0" w14:paraId="0ACAEC3B" w14:textId="77777777">
        <w:tc>
          <w:tcPr>
            <w:tcW w:w="1440" w:type="dxa"/>
          </w:tcPr>
          <w:p w14:paraId="04D73FE4" w14:textId="77777777" w:rsidR="008473A0" w:rsidRDefault="00000000">
            <w:r>
              <w:t>Alltech</w:t>
            </w:r>
          </w:p>
        </w:tc>
        <w:tc>
          <w:tcPr>
            <w:tcW w:w="1440" w:type="dxa"/>
          </w:tcPr>
          <w:p w14:paraId="50BAC619" w14:textId="77777777" w:rsidR="008473A0" w:rsidRDefault="00000000">
            <w:r>
              <w:t>Livestock nutrigenomics</w:t>
            </w:r>
          </w:p>
        </w:tc>
        <w:tc>
          <w:tcPr>
            <w:tcW w:w="1440" w:type="dxa"/>
          </w:tcPr>
          <w:p w14:paraId="284E96BC" w14:textId="77777777" w:rsidR="008473A0" w:rsidRDefault="00000000">
            <w:r>
              <w:t>Nutrigenomics research + feed technologies (e.g., Actigen)</w:t>
            </w:r>
          </w:p>
        </w:tc>
        <w:tc>
          <w:tcPr>
            <w:tcW w:w="1440" w:type="dxa"/>
          </w:tcPr>
          <w:p w14:paraId="69F9621E" w14:textId="77777777" w:rsidR="008473A0" w:rsidRDefault="00000000">
            <w:r>
              <w:t>Ingredient inclusion via feed channels</w:t>
            </w:r>
          </w:p>
        </w:tc>
        <w:tc>
          <w:tcPr>
            <w:tcW w:w="1440" w:type="dxa"/>
          </w:tcPr>
          <w:p w14:paraId="1F35FF1A" w14:textId="77777777" w:rsidR="008473A0" w:rsidRDefault="00000000">
            <w:r>
              <w:t>Distribution + mechanistic proof + long-term customer relationships</w:t>
            </w:r>
          </w:p>
        </w:tc>
        <w:tc>
          <w:tcPr>
            <w:tcW w:w="1440" w:type="dxa"/>
          </w:tcPr>
          <w:p w14:paraId="758858FE" w14:textId="77777777" w:rsidR="008473A0" w:rsidRDefault="00000000">
            <w:r>
              <w:t>Opened a dedicated nutrigenomics center in 2008</w:t>
            </w:r>
          </w:p>
        </w:tc>
      </w:tr>
      <w:tr w:rsidR="008473A0" w14:paraId="211FDD68" w14:textId="77777777">
        <w:tc>
          <w:tcPr>
            <w:tcW w:w="1440" w:type="dxa"/>
          </w:tcPr>
          <w:p w14:paraId="25D552C0" w14:textId="77777777" w:rsidR="008473A0" w:rsidRDefault="00000000">
            <w:r>
              <w:t>Royal Canin Individualis</w:t>
            </w:r>
          </w:p>
        </w:tc>
        <w:tc>
          <w:tcPr>
            <w:tcW w:w="1440" w:type="dxa"/>
          </w:tcPr>
          <w:p w14:paraId="03D455E3" w14:textId="77777777" w:rsidR="008473A0" w:rsidRDefault="00000000">
            <w:r>
              <w:t>Vet-channel diets</w:t>
            </w:r>
          </w:p>
        </w:tc>
        <w:tc>
          <w:tcPr>
            <w:tcW w:w="1440" w:type="dxa"/>
          </w:tcPr>
          <w:p w14:paraId="03EF998B" w14:textId="77777777" w:rsidR="008473A0" w:rsidRDefault="00000000">
            <w:r>
              <w:t>Individualized diets via veterinary clinics</w:t>
            </w:r>
          </w:p>
        </w:tc>
        <w:tc>
          <w:tcPr>
            <w:tcW w:w="1440" w:type="dxa"/>
          </w:tcPr>
          <w:p w14:paraId="19E22631" w14:textId="77777777" w:rsidR="008473A0" w:rsidRDefault="00000000">
            <w:r>
              <w:t>Vet-mediated personalization</w:t>
            </w:r>
          </w:p>
        </w:tc>
        <w:tc>
          <w:tcPr>
            <w:tcW w:w="1440" w:type="dxa"/>
          </w:tcPr>
          <w:p w14:paraId="13DFDE3A" w14:textId="77777777" w:rsidR="008473A0" w:rsidRDefault="00000000">
            <w:r>
              <w:t>Clinical channel + service model</w:t>
            </w:r>
          </w:p>
        </w:tc>
        <w:tc>
          <w:tcPr>
            <w:tcW w:w="1440" w:type="dxa"/>
          </w:tcPr>
          <w:p w14:paraId="0E5D01EF" w14:textId="77777777" w:rsidR="008473A0" w:rsidRDefault="00000000">
            <w:r>
              <w:t>US availability changed in 2025; concept remains relevant</w:t>
            </w:r>
          </w:p>
        </w:tc>
      </w:tr>
      <w:tr w:rsidR="008473A0" w14:paraId="24654BCC" w14:textId="77777777">
        <w:tc>
          <w:tcPr>
            <w:tcW w:w="1440" w:type="dxa"/>
          </w:tcPr>
          <w:p w14:paraId="5E7D9F5E" w14:textId="77777777" w:rsidR="008473A0" w:rsidRDefault="00000000">
            <w:r>
              <w:lastRenderedPageBreak/>
              <w:t>Virbac (Novifit)</w:t>
            </w:r>
          </w:p>
        </w:tc>
        <w:tc>
          <w:tcPr>
            <w:tcW w:w="1440" w:type="dxa"/>
          </w:tcPr>
          <w:p w14:paraId="1457C905" w14:textId="77777777" w:rsidR="008473A0" w:rsidRDefault="00000000">
            <w:r>
              <w:t>Cognitive support</w:t>
            </w:r>
          </w:p>
        </w:tc>
        <w:tc>
          <w:tcPr>
            <w:tcW w:w="1440" w:type="dxa"/>
          </w:tcPr>
          <w:p w14:paraId="06C77F90" w14:textId="77777777" w:rsidR="008473A0" w:rsidRDefault="00000000">
            <w:r>
              <w:t>SAMe cognitive supplement</w:t>
            </w:r>
          </w:p>
        </w:tc>
        <w:tc>
          <w:tcPr>
            <w:tcW w:w="1440" w:type="dxa"/>
          </w:tcPr>
          <w:p w14:paraId="2E757A60" w14:textId="77777777" w:rsidR="008473A0" w:rsidRDefault="00000000">
            <w:r>
              <w:t>Vet and retail distribution</w:t>
            </w:r>
          </w:p>
        </w:tc>
        <w:tc>
          <w:tcPr>
            <w:tcW w:w="1440" w:type="dxa"/>
          </w:tcPr>
          <w:p w14:paraId="6BE47E27" w14:textId="77777777" w:rsidR="008473A0" w:rsidRDefault="00000000">
            <w:r>
              <w:t>Brand + clinical evidence + vet recommendation</w:t>
            </w:r>
          </w:p>
        </w:tc>
        <w:tc>
          <w:tcPr>
            <w:tcW w:w="1440" w:type="dxa"/>
          </w:tcPr>
          <w:p w14:paraId="37C890BC" w14:textId="77777777" w:rsidR="008473A0" w:rsidRDefault="00000000">
            <w:r>
              <w:t>Example of methyl-donor narrative</w:t>
            </w:r>
          </w:p>
        </w:tc>
      </w:tr>
      <w:tr w:rsidR="008473A0" w14:paraId="51E1D3E3" w14:textId="77777777">
        <w:tc>
          <w:tcPr>
            <w:tcW w:w="1440" w:type="dxa"/>
          </w:tcPr>
          <w:p w14:paraId="5D19A03B" w14:textId="77777777" w:rsidR="008473A0" w:rsidRDefault="00000000">
            <w:r>
              <w:t>Purina Pro Plan Bright Mind</w:t>
            </w:r>
          </w:p>
        </w:tc>
        <w:tc>
          <w:tcPr>
            <w:tcW w:w="1440" w:type="dxa"/>
          </w:tcPr>
          <w:p w14:paraId="3B24F072" w14:textId="77777777" w:rsidR="008473A0" w:rsidRDefault="00000000">
            <w:r>
              <w:t>Senior nutrition</w:t>
            </w:r>
          </w:p>
        </w:tc>
        <w:tc>
          <w:tcPr>
            <w:tcW w:w="1440" w:type="dxa"/>
          </w:tcPr>
          <w:p w14:paraId="1329064E" w14:textId="77777777" w:rsidR="008473A0" w:rsidRDefault="00000000">
            <w:r>
              <w:t>Senior dog diet positioned for cognitive support</w:t>
            </w:r>
          </w:p>
        </w:tc>
        <w:tc>
          <w:tcPr>
            <w:tcW w:w="1440" w:type="dxa"/>
          </w:tcPr>
          <w:p w14:paraId="27E39D5A" w14:textId="77777777" w:rsidR="008473A0" w:rsidRDefault="00000000">
            <w:r>
              <w:t>Mass premium pet food</w:t>
            </w:r>
          </w:p>
        </w:tc>
        <w:tc>
          <w:tcPr>
            <w:tcW w:w="1440" w:type="dxa"/>
          </w:tcPr>
          <w:p w14:paraId="62185651" w14:textId="77777777" w:rsidR="008473A0" w:rsidRDefault="00000000">
            <w:r>
              <w:t>Scale + marketing + proprietary formulations</w:t>
            </w:r>
          </w:p>
        </w:tc>
        <w:tc>
          <w:tcPr>
            <w:tcW w:w="1440" w:type="dxa"/>
          </w:tcPr>
          <w:p w14:paraId="5AB44C59" w14:textId="77777777" w:rsidR="008473A0" w:rsidRDefault="00000000">
            <w:r>
              <w:t>Example of functional nutrition with mechanistic framing</w:t>
            </w:r>
          </w:p>
        </w:tc>
      </w:tr>
      <w:tr w:rsidR="008473A0" w14:paraId="18388C65" w14:textId="77777777">
        <w:tc>
          <w:tcPr>
            <w:tcW w:w="1440" w:type="dxa"/>
          </w:tcPr>
          <w:p w14:paraId="5F8A9856" w14:textId="77777777" w:rsidR="008473A0" w:rsidRDefault="00000000">
            <w:r>
              <w:t>Bioiberica (Nucleoforce)</w:t>
            </w:r>
          </w:p>
        </w:tc>
        <w:tc>
          <w:tcPr>
            <w:tcW w:w="1440" w:type="dxa"/>
          </w:tcPr>
          <w:p w14:paraId="6302F228" w14:textId="77777777" w:rsidR="008473A0" w:rsidRDefault="00000000">
            <w:r>
              <w:t>Functional ingredients</w:t>
            </w:r>
          </w:p>
        </w:tc>
        <w:tc>
          <w:tcPr>
            <w:tcW w:w="1440" w:type="dxa"/>
          </w:tcPr>
          <w:p w14:paraId="0310DD59" w14:textId="77777777" w:rsidR="008473A0" w:rsidRDefault="00000000">
            <w:r>
              <w:t>High nucleotide yeast products for pets and aquaculture</w:t>
            </w:r>
          </w:p>
        </w:tc>
        <w:tc>
          <w:tcPr>
            <w:tcW w:w="1440" w:type="dxa"/>
          </w:tcPr>
          <w:p w14:paraId="390859A1" w14:textId="77777777" w:rsidR="008473A0" w:rsidRDefault="00000000">
            <w:r>
              <w:t>B2B ingredient and product lines</w:t>
            </w:r>
          </w:p>
        </w:tc>
        <w:tc>
          <w:tcPr>
            <w:tcW w:w="1440" w:type="dxa"/>
          </w:tcPr>
          <w:p w14:paraId="1063351C" w14:textId="77777777" w:rsidR="008473A0" w:rsidRDefault="00000000">
            <w:r>
              <w:t>Ingredient specialization + studies and partnerships</w:t>
            </w:r>
          </w:p>
        </w:tc>
        <w:tc>
          <w:tcPr>
            <w:tcW w:w="1440" w:type="dxa"/>
          </w:tcPr>
          <w:p w14:paraId="48F91F74" w14:textId="77777777" w:rsidR="008473A0" w:rsidRDefault="00000000">
            <w:r>
              <w:t>Example of building blocks positioning</w:t>
            </w:r>
          </w:p>
        </w:tc>
      </w:tr>
    </w:tbl>
    <w:p w14:paraId="4C6EBDB5" w14:textId="77777777" w:rsidR="008473A0" w:rsidRDefault="00000000">
      <w:pPr>
        <w:pStyle w:val="Heading1"/>
      </w:pPr>
      <w:r>
        <w:t>11. Case study: AnimalBiome (microbiome tests and oral FMT)</w:t>
      </w:r>
    </w:p>
    <w:p w14:paraId="4F709960" w14:textId="77777777" w:rsidR="008473A0" w:rsidRDefault="00000000">
      <w:r>
        <w:t>Why this case matters: AnimalBiome illustrates a full Genomic Loop in practice, with a clear test-to-protocol pathway and a product that is hard to replicate purely through marketing. It also highlights the regulatory and scaling risks inherent in microbiome therapeutics.</w:t>
      </w:r>
    </w:p>
    <w:p w14:paraId="2DB8E2CD" w14:textId="77777777" w:rsidR="008473A0" w:rsidRDefault="00000000">
      <w:pPr>
        <w:pStyle w:val="Heading2"/>
      </w:pPr>
      <w:r>
        <w:t>11.1 What the company sells</w:t>
      </w:r>
    </w:p>
    <w:p w14:paraId="28E18DAB" w14:textId="77777777" w:rsidR="008473A0" w:rsidRDefault="00000000">
      <w:pPr>
        <w:pStyle w:val="ListBullet"/>
      </w:pPr>
      <w:r>
        <w:t>At-home microbiome tests for companion animals and veterinary-facing testing services.</w:t>
      </w:r>
    </w:p>
    <w:p w14:paraId="70049FA0" w14:textId="77777777" w:rsidR="008473A0" w:rsidRDefault="00000000">
      <w:pPr>
        <w:pStyle w:val="ListBullet"/>
      </w:pPr>
      <w:r>
        <w:t>An oral fecal microbiota transplant (FMT) capsule product positioned as Gut Restore, marketed for digestive and skin issues.</w:t>
      </w:r>
    </w:p>
    <w:p w14:paraId="7C6CBA67" w14:textId="77777777" w:rsidR="008473A0" w:rsidRDefault="00000000">
      <w:pPr>
        <w:pStyle w:val="ListBullet"/>
      </w:pPr>
      <w:r>
        <w:t>A protocolized workflow: test, interpret relative to a healthy reference set, intervene, and retest.</w:t>
      </w:r>
    </w:p>
    <w:p w14:paraId="7237F63A" w14:textId="77777777" w:rsidR="008473A0" w:rsidRDefault="00000000">
      <w:pPr>
        <w:pStyle w:val="Heading2"/>
      </w:pPr>
      <w:r>
        <w:t>11.2 Funding context (public)</w:t>
      </w:r>
    </w:p>
    <w:p w14:paraId="67EE162A" w14:textId="77777777" w:rsidR="008473A0" w:rsidRDefault="00000000">
      <w:r>
        <w:t>Public databases report that AnimalBiome raised a Series B round in August 2024 and has raised roughly the mid-twenties (USD millions) in total funding. Treat third-party funding databases as directional unless confirmed by filings or company announcements.</w:t>
      </w:r>
    </w:p>
    <w:p w14:paraId="33D53648" w14:textId="77777777" w:rsidR="008473A0" w:rsidRDefault="00000000">
      <w:pPr>
        <w:pStyle w:val="Heading2"/>
      </w:pPr>
      <w:r>
        <w:t>11.3 Economics and loop design (illustrative)</w:t>
      </w:r>
    </w:p>
    <w:p w14:paraId="159026A6" w14:textId="77777777" w:rsidR="008473A0" w:rsidRDefault="00000000">
      <w:pPr>
        <w:pStyle w:val="ListBullet"/>
      </w:pPr>
      <w:r>
        <w:t>Entry point: gut health test (priced around USD 99 in some veterinary marketing).</w:t>
      </w:r>
    </w:p>
    <w:p w14:paraId="56277483" w14:textId="77777777" w:rsidR="008473A0" w:rsidRDefault="00000000">
      <w:pPr>
        <w:pStyle w:val="ListBullet"/>
      </w:pPr>
      <w:r>
        <w:t>Recurring: Gut Restore capsules are marketed in the USD 125+ range per month on consumer channels, depending on pack size.</w:t>
      </w:r>
    </w:p>
    <w:p w14:paraId="42ADA6FF" w14:textId="77777777" w:rsidR="008473A0" w:rsidRDefault="00000000">
      <w:pPr>
        <w:pStyle w:val="ListBullet"/>
      </w:pPr>
      <w:r>
        <w:t>Retention reinforcement: retesting to verify microbiome shift and to adjust protocol.</w:t>
      </w:r>
    </w:p>
    <w:p w14:paraId="1AEC6393" w14:textId="77777777" w:rsidR="008473A0" w:rsidRDefault="00000000">
      <w:pPr>
        <w:pStyle w:val="Heading2"/>
      </w:pPr>
      <w:r>
        <w:t>11.4 Data moat</w:t>
      </w:r>
    </w:p>
    <w:p w14:paraId="79B4B732" w14:textId="77777777" w:rsidR="008473A0" w:rsidRDefault="00000000">
      <w:r>
        <w:t xml:space="preserve">AnimalBiome publicly states that it has collected and analyzed large numbers of cat and dog microbiome samples and uses a curated healthy reference set to interpret results. Publicly </w:t>
      </w:r>
      <w:r>
        <w:lastRenderedPageBreak/>
        <w:t>visible claims vary by site and may reflect updates over time (for example, consumer pages versus veterinary pages). The core moat thesis is that repeated testing plus outcomes creates a proprietary microbiome-to-response dataset.</w:t>
      </w:r>
    </w:p>
    <w:p w14:paraId="24E4ED3B" w14:textId="77777777" w:rsidR="008473A0" w:rsidRDefault="00000000">
      <w:pPr>
        <w:pStyle w:val="Heading2"/>
      </w:pPr>
      <w:r>
        <w:t>11.5 Evidence base (what exists, and what to look for)</w:t>
      </w:r>
    </w:p>
    <w:p w14:paraId="7D6DB1D8" w14:textId="77777777" w:rsidR="008473A0" w:rsidRDefault="00000000">
      <w:pPr>
        <w:pStyle w:val="ListBullet"/>
      </w:pPr>
      <w:r>
        <w:t>Company-level claims: the consumer product page cites improvement in clinical signs for a large share of dogs with IBD.</w:t>
      </w:r>
    </w:p>
    <w:p w14:paraId="744C9B42" w14:textId="77777777" w:rsidR="008473A0" w:rsidRDefault="00000000">
      <w:pPr>
        <w:pStyle w:val="ListBullet"/>
      </w:pPr>
      <w:r>
        <w:t>Peer-reviewed literature: retrospective case series and trials exploring FMT in dogs with chronic enteropathy and chronic diarrhea, including work on repeated FMT and on oral lyophilized FMT capsules.</w:t>
      </w:r>
    </w:p>
    <w:p w14:paraId="39ED337B" w14:textId="77777777" w:rsidR="008473A0" w:rsidRDefault="00000000">
      <w:pPr>
        <w:pStyle w:val="ListBullet"/>
      </w:pPr>
      <w:r>
        <w:t>Investor diligence: ask whether the company's commercial outcomes match published cohorts, and whether endpoints are measured with validated clinical indices.</w:t>
      </w:r>
    </w:p>
    <w:p w14:paraId="5BDCBCF0" w14:textId="77777777" w:rsidR="008473A0" w:rsidRDefault="00000000">
      <w:pPr>
        <w:pStyle w:val="Heading2"/>
      </w:pPr>
      <w:r>
        <w:t>11.6 Regulatory and safety considerations</w:t>
      </w:r>
    </w:p>
    <w:p w14:paraId="3E49396D" w14:textId="77777777" w:rsidR="008473A0" w:rsidRDefault="00000000">
      <w:pPr>
        <w:pStyle w:val="ListBullet"/>
      </w:pPr>
      <w:r>
        <w:t>In humans, FDA has stated that fecal microbiota used for transplantation is regulated as a biological drug product and has used enforcement discretion only under limited circumstances (human rCDI).</w:t>
      </w:r>
    </w:p>
    <w:p w14:paraId="1A2CD634" w14:textId="77777777" w:rsidR="008473A0" w:rsidRDefault="00000000">
      <w:pPr>
        <w:pStyle w:val="ListBullet"/>
      </w:pPr>
      <w:r>
        <w:t>Veterinary commercialization pathways are less explicit and may evolve.</w:t>
      </w:r>
    </w:p>
    <w:p w14:paraId="452246EE" w14:textId="77777777" w:rsidR="008473A0" w:rsidRDefault="00000000">
      <w:pPr>
        <w:pStyle w:val="ListBullet"/>
      </w:pPr>
      <w:r>
        <w:t>Operationally, stool donor screening, batch testing, and traceability are critical to reduce pathogen transmission risk.</w:t>
      </w:r>
    </w:p>
    <w:p w14:paraId="4F080196" w14:textId="77777777" w:rsidR="008473A0" w:rsidRDefault="00000000">
      <w:pPr>
        <w:pStyle w:val="Heading2"/>
      </w:pPr>
      <w:r>
        <w:t>11.7 Strategic why a strategic investor might care</w:t>
      </w:r>
    </w:p>
    <w:p w14:paraId="0131AB44" w14:textId="77777777" w:rsidR="008473A0" w:rsidRDefault="00000000">
      <w:pPr>
        <w:pStyle w:val="ListBullet"/>
      </w:pPr>
      <w:r>
        <w:t>A strategic acquirer in pet food or animal health may value the dataset and the ability to make credible microbiome claims at scale.</w:t>
      </w:r>
    </w:p>
    <w:p w14:paraId="69840606" w14:textId="77777777" w:rsidR="008473A0" w:rsidRDefault="00000000">
      <w:pPr>
        <w:pStyle w:val="ListBullet"/>
      </w:pPr>
      <w:r>
        <w:t>The company can also serve as an R&amp;D engine for future defined consortia (moving from donor-derived mixes to cultured strains).</w:t>
      </w:r>
    </w:p>
    <w:p w14:paraId="08E80879" w14:textId="77777777" w:rsidR="008473A0" w:rsidRDefault="00000000">
      <w:pPr>
        <w:pStyle w:val="ListBullet"/>
      </w:pPr>
      <w:r>
        <w:t>The protocol creates repeat purchase behavior and a defensible narrative around restoring the microbiome versus generic probiotics.</w:t>
      </w:r>
    </w:p>
    <w:p w14:paraId="4899C54D" w14:textId="77777777" w:rsidR="008473A0" w:rsidRDefault="00000000">
      <w:pPr>
        <w:pStyle w:val="Heading1"/>
      </w:pPr>
      <w:r>
        <w:t>12. Case study: BIOME9 and Pooch &amp; Mutt (DTC gut health and personalization)</w:t>
      </w:r>
    </w:p>
    <w:p w14:paraId="4E32EF6B" w14:textId="77777777" w:rsidR="008473A0" w:rsidRDefault="00000000">
      <w:r>
        <w:t>This case matters because it demonstrates consolidation: a pet food brand acquiring a gut health testing and science platform to strengthen personalization and retention. It is a practical example of where exit demand can come from.</w:t>
      </w:r>
    </w:p>
    <w:p w14:paraId="1317AA8D" w14:textId="77777777" w:rsidR="008473A0" w:rsidRDefault="00000000">
      <w:pPr>
        <w:pStyle w:val="Heading2"/>
      </w:pPr>
      <w:r>
        <w:t>12.1 Strategic logic</w:t>
      </w:r>
    </w:p>
    <w:p w14:paraId="0DF68C10" w14:textId="77777777" w:rsidR="008473A0" w:rsidRDefault="00000000">
      <w:pPr>
        <w:pStyle w:val="ListBullet"/>
      </w:pPr>
      <w:r>
        <w:t>Data capture: testing creates a differentiated view of the dog and enables more credible personalization.</w:t>
      </w:r>
    </w:p>
    <w:p w14:paraId="4667F510" w14:textId="77777777" w:rsidR="008473A0" w:rsidRDefault="00000000">
      <w:pPr>
        <w:pStyle w:val="ListBullet"/>
      </w:pPr>
      <w:r>
        <w:t>Retention: personalization makes switching brands feel like abandoning the dog's specific needs.</w:t>
      </w:r>
    </w:p>
    <w:p w14:paraId="1D3149F2" w14:textId="77777777" w:rsidR="008473A0" w:rsidRDefault="00000000">
      <w:pPr>
        <w:pStyle w:val="ListBullet"/>
      </w:pPr>
      <w:r>
        <w:lastRenderedPageBreak/>
        <w:t>Product expansion: enables a portfolio of condition-specific supplements, prebiotic blends, and diet plans.</w:t>
      </w:r>
    </w:p>
    <w:p w14:paraId="06EE884F" w14:textId="77777777" w:rsidR="008473A0" w:rsidRDefault="00000000">
      <w:pPr>
        <w:pStyle w:val="ListBullet"/>
      </w:pPr>
      <w:r>
        <w:t>Marketing and trust: a science positioning can justify premium pricing and reduce price elasticity.</w:t>
      </w:r>
    </w:p>
    <w:p w14:paraId="07EFE571" w14:textId="77777777" w:rsidR="008473A0" w:rsidRDefault="00000000">
      <w:pPr>
        <w:pStyle w:val="Heading2"/>
      </w:pPr>
      <w:r>
        <w:t>12.2 Risks</w:t>
      </w:r>
    </w:p>
    <w:p w14:paraId="1941D002" w14:textId="77777777" w:rsidR="008473A0" w:rsidRDefault="00000000">
      <w:pPr>
        <w:pStyle w:val="ListBullet"/>
      </w:pPr>
      <w:r>
        <w:t>Test commoditization: if the test does not create a unique translator, competitors can copy the UX and undercut pricing.</w:t>
      </w:r>
    </w:p>
    <w:p w14:paraId="0CD599CC" w14:textId="77777777" w:rsidR="008473A0" w:rsidRDefault="00000000">
      <w:pPr>
        <w:pStyle w:val="ListBullet"/>
      </w:pPr>
      <w:r>
        <w:t>Clinical substantiation: personalization claims without evidence can trigger regulatory or reputational issues.</w:t>
      </w:r>
    </w:p>
    <w:p w14:paraId="7979DC01" w14:textId="77777777" w:rsidR="008473A0" w:rsidRDefault="00000000">
      <w:pPr>
        <w:pStyle w:val="ListBullet"/>
      </w:pPr>
      <w:r>
        <w:t>Data governance: if data use permissions are weak, the translator cannot be improved or monetized via partnerships.</w:t>
      </w:r>
    </w:p>
    <w:p w14:paraId="52FA1BB5" w14:textId="77777777" w:rsidR="008473A0" w:rsidRDefault="00000000">
      <w:pPr>
        <w:pStyle w:val="Heading1"/>
      </w:pPr>
      <w:r>
        <w:t>13. Case study: Alltech (nutrigenomics-backed feed technologies)</w:t>
      </w:r>
    </w:p>
    <w:p w14:paraId="6005C6A5" w14:textId="77777777" w:rsidR="008473A0" w:rsidRDefault="00000000">
      <w:r>
        <w:t>This case matters because it illustrates how 'omics' can be used by incumbent ingredient companies to strengthen claims, defend margin, and position products as antibiotic alternatives or resilience enhancers.</w:t>
      </w:r>
    </w:p>
    <w:p w14:paraId="58A28440" w14:textId="77777777" w:rsidR="008473A0" w:rsidRDefault="00000000">
      <w:pPr>
        <w:pStyle w:val="Heading2"/>
      </w:pPr>
      <w:r>
        <w:t>13.1 What Alltech built (publicly described)</w:t>
      </w:r>
    </w:p>
    <w:p w14:paraId="6DB8830F" w14:textId="77777777" w:rsidR="008473A0" w:rsidRDefault="00000000">
      <w:pPr>
        <w:pStyle w:val="ListBullet"/>
      </w:pPr>
      <w:r>
        <w:t>Alltech opened a Center for Animal Nutrigenomics and Applied Animal Nutrition at its Lexington, Kentucky headquarters in 2008, positioned as a dedicated facility for studying nutrition and gene expression.</w:t>
      </w:r>
    </w:p>
    <w:p w14:paraId="5A88C14C" w14:textId="77777777" w:rsidR="008473A0" w:rsidRDefault="00000000">
      <w:pPr>
        <w:pStyle w:val="ListBullet"/>
      </w:pPr>
      <w:r>
        <w:t>Alltech markets certain feed technologies, such as Actigen, as being developed through nutrigenomics and intended to support gut health and animal performance.</w:t>
      </w:r>
    </w:p>
    <w:p w14:paraId="4B6C5B33" w14:textId="77777777" w:rsidR="008473A0" w:rsidRDefault="00000000">
      <w:pPr>
        <w:pStyle w:val="Heading2"/>
      </w:pPr>
      <w:r>
        <w:t>13.2 Commercial takeaway for investors</w:t>
      </w:r>
    </w:p>
    <w:p w14:paraId="16F37E29" w14:textId="77777777" w:rsidR="008473A0" w:rsidRDefault="00000000">
      <w:pPr>
        <w:pStyle w:val="ListBullet"/>
      </w:pPr>
      <w:r>
        <w:t>In livestock, distribution and trust matter as much as science. Nutrigenomic evidence can increase sales conversion and reduce churn by improving perceived credibility.</w:t>
      </w:r>
    </w:p>
    <w:p w14:paraId="163B9B14" w14:textId="77777777" w:rsidR="008473A0" w:rsidRDefault="00000000">
      <w:pPr>
        <w:pStyle w:val="ListBullet"/>
      </w:pPr>
      <w:r>
        <w:t>High leverage opportunities can exist in platforms that enable ingredient companies to produce credible mechanistic datasets (standardized assays, pipelines, and field-trial analytics).</w:t>
      </w:r>
    </w:p>
    <w:p w14:paraId="07B8F9E1" w14:textId="77777777" w:rsidR="008473A0" w:rsidRDefault="00000000">
      <w:pPr>
        <w:pStyle w:val="Heading1"/>
      </w:pPr>
      <w:r>
        <w:t>14. Perinatal programming and early-life windows</w:t>
      </w:r>
    </w:p>
    <w:p w14:paraId="5E56D546" w14:textId="77777777" w:rsidR="008473A0" w:rsidRDefault="00000000">
      <w:r>
        <w:t>The draft highlighted perinatal programming as a potential frontier. The core idea is that certain nutritional interventions during pregnancy, lactation, or early life can change long-term outcomes through developmental biology and epigenetic mechanisms. In livestock, this can be economically attractive because an intervention on a breeder can affect many offspring.</w:t>
      </w:r>
    </w:p>
    <w:p w14:paraId="4440C289" w14:textId="77777777" w:rsidR="008473A0" w:rsidRDefault="00000000">
      <w:pPr>
        <w:pStyle w:val="Heading2"/>
      </w:pPr>
      <w:r>
        <w:lastRenderedPageBreak/>
        <w:t>14.1 Why it can be a strong economic lever</w:t>
      </w:r>
    </w:p>
    <w:p w14:paraId="0373CF06" w14:textId="77777777" w:rsidR="008473A0" w:rsidRDefault="00000000">
      <w:pPr>
        <w:pStyle w:val="ListBullet"/>
      </w:pPr>
      <w:r>
        <w:t>Leverage: one intervention can influence multiple offspring, improving ROI compared with treating each offspring individually.</w:t>
      </w:r>
    </w:p>
    <w:p w14:paraId="0CD9D713" w14:textId="77777777" w:rsidR="008473A0" w:rsidRDefault="00000000">
      <w:pPr>
        <w:pStyle w:val="ListBullet"/>
      </w:pPr>
      <w:r>
        <w:t>Timing: early-life windows may produce larger long-term effects than late interventions.</w:t>
      </w:r>
    </w:p>
    <w:p w14:paraId="1C1CA8BB" w14:textId="77777777" w:rsidR="008473A0" w:rsidRDefault="00000000">
      <w:pPr>
        <w:pStyle w:val="ListBullet"/>
      </w:pPr>
      <w:r>
        <w:t>Measurable outputs: immunity, growth, resilience to weaning stress, and lifetime productivity.</w:t>
      </w:r>
    </w:p>
    <w:p w14:paraId="1281C396" w14:textId="77777777" w:rsidR="008473A0" w:rsidRDefault="00000000">
      <w:pPr>
        <w:pStyle w:val="Heading2"/>
      </w:pPr>
      <w:r>
        <w:t>14.2 Practical diligence questions</w:t>
      </w:r>
    </w:p>
    <w:p w14:paraId="17390712" w14:textId="77777777" w:rsidR="008473A0" w:rsidRDefault="00000000">
      <w:pPr>
        <w:pStyle w:val="ListBullet"/>
      </w:pPr>
      <w:r>
        <w:t>What specific markers or endpoints show that programming occurred (immune markers, growth curves, morbidity)?</w:t>
      </w:r>
    </w:p>
    <w:p w14:paraId="01D0EC26" w14:textId="77777777" w:rsidR="008473A0" w:rsidRDefault="00000000">
      <w:pPr>
        <w:pStyle w:val="ListBullet"/>
      </w:pPr>
      <w:r>
        <w:t>Is the intervention mechanism plausible (methylation biology, microbiome seeding, immune training)?</w:t>
      </w:r>
    </w:p>
    <w:p w14:paraId="47002088" w14:textId="77777777" w:rsidR="008473A0" w:rsidRDefault="00000000">
      <w:pPr>
        <w:pStyle w:val="ListBullet"/>
      </w:pPr>
      <w:r>
        <w:t>How reproducible are effects across farms, genetics, and diets?</w:t>
      </w:r>
    </w:p>
    <w:p w14:paraId="6AECDA1F" w14:textId="77777777" w:rsidR="008473A0" w:rsidRDefault="00000000">
      <w:pPr>
        <w:pStyle w:val="Heading1"/>
      </w:pPr>
      <w:r>
        <w:t>15. Functional nutrition examples adjacent to nutrigenomics (cognition and epigenetic narratives)</w:t>
      </w:r>
    </w:p>
    <w:p w14:paraId="1B78CA81" w14:textId="77777777" w:rsidR="008473A0" w:rsidRDefault="00000000">
      <w:r>
        <w:t>Not every relevant product is sold as nutrigenomics. Many are marketed as functional nutrition, but they share the core concept of targeted biological modulation. Two examples from the draft are SAMe-based cognitive supplements and MCT/botanical oil senior diets.</w:t>
      </w:r>
    </w:p>
    <w:p w14:paraId="03FD7848" w14:textId="77777777" w:rsidR="008473A0" w:rsidRDefault="00000000">
      <w:pPr>
        <w:pStyle w:val="Heading2"/>
      </w:pPr>
      <w:r>
        <w:t>15.1 Virbac: SAMe (Novifit) and cognitive decline</w:t>
      </w:r>
    </w:p>
    <w:p w14:paraId="2DFC0539" w14:textId="77777777" w:rsidR="008473A0" w:rsidRDefault="00000000">
      <w:pPr>
        <w:pStyle w:val="ListBullet"/>
      </w:pPr>
      <w:r>
        <w:t>Virbac has marketed Novifit as a SAMe-based cognitive supplement for aging dogs and cats, supported by clinical trial evidence on SAMe in dogs.</w:t>
      </w:r>
    </w:p>
    <w:p w14:paraId="386135D9" w14:textId="77777777" w:rsidR="008473A0" w:rsidRDefault="00000000">
      <w:pPr>
        <w:pStyle w:val="ListBullet"/>
      </w:pPr>
      <w:r>
        <w:t>From a nutrigenomics lens, SAMe is relevant as part of one-carbon metabolism and methylation biology, which is often used in epigenetic narratives.</w:t>
      </w:r>
    </w:p>
    <w:p w14:paraId="045B8D05" w14:textId="77777777" w:rsidR="008473A0" w:rsidRDefault="00000000">
      <w:pPr>
        <w:pStyle w:val="Heading2"/>
      </w:pPr>
      <w:r>
        <w:t>15.2 Purina Pro Plan Bright Mind: senior cognitive positioning</w:t>
      </w:r>
    </w:p>
    <w:p w14:paraId="473D9B5C" w14:textId="77777777" w:rsidR="008473A0" w:rsidRDefault="00000000">
      <w:pPr>
        <w:pStyle w:val="ListBullet"/>
      </w:pPr>
      <w:r>
        <w:t>Purina positions Bright Mind senior formulas around brain metabolism changes in dogs around age 7 and the use of botanical oils as an efficient brain fuel source.</w:t>
      </w:r>
    </w:p>
    <w:p w14:paraId="217DE826" w14:textId="77777777" w:rsidR="008473A0" w:rsidRDefault="00000000">
      <w:pPr>
        <w:pStyle w:val="ListBullet"/>
      </w:pPr>
      <w:r>
        <w:t>Commercial lesson: large incumbents can translate mechanistic narratives into mass-market products, which can compress differentiation for startups unless they own a translator or a protocol moat.</w:t>
      </w:r>
    </w:p>
    <w:p w14:paraId="763FB778" w14:textId="77777777" w:rsidR="008473A0" w:rsidRDefault="00000000">
      <w:pPr>
        <w:pStyle w:val="Heading1"/>
      </w:pPr>
      <w:r>
        <w:t>16. Regulatory and claims landscape (high-level)</w:t>
      </w:r>
    </w:p>
    <w:p w14:paraId="056E633E" w14:textId="77777777" w:rsidR="008473A0" w:rsidRDefault="00000000">
      <w:r>
        <w:t>Regulation varies substantially by jurisdiction and by product category. This section is a practical risk framework, not legal advice.</w:t>
      </w:r>
    </w:p>
    <w:p w14:paraId="76E20388" w14:textId="77777777" w:rsidR="008473A0" w:rsidRDefault="00000000">
      <w:pPr>
        <w:pStyle w:val="Heading2"/>
      </w:pPr>
      <w:r>
        <w:t>16.1 Categories that matter in practice</w:t>
      </w:r>
    </w:p>
    <w:p w14:paraId="57AE7995" w14:textId="77777777" w:rsidR="008473A0" w:rsidRDefault="00000000">
      <w:pPr>
        <w:pStyle w:val="ListBullet"/>
      </w:pPr>
      <w:r>
        <w:t>Pet food and treats: typically regulated as food. Claims are constrained, especially for disease treatment claims.</w:t>
      </w:r>
    </w:p>
    <w:p w14:paraId="5B7B28A9" w14:textId="77777777" w:rsidR="008473A0" w:rsidRDefault="00000000">
      <w:pPr>
        <w:pStyle w:val="ListBullet"/>
      </w:pPr>
      <w:r>
        <w:lastRenderedPageBreak/>
        <w:t>Veterinary therapeutic diets: often positioned as foods but sold through veterinary channels; claims and substantiation are sensitive.</w:t>
      </w:r>
    </w:p>
    <w:p w14:paraId="1ED3CBF0" w14:textId="77777777" w:rsidR="008473A0" w:rsidRDefault="00000000">
      <w:pPr>
        <w:pStyle w:val="ListBullet"/>
      </w:pPr>
      <w:r>
        <w:t>Supplements: regulatory frameworks differ by country; in many markets, structure/function claims are allowed but disease claims are not.</w:t>
      </w:r>
    </w:p>
    <w:p w14:paraId="3E438949" w14:textId="77777777" w:rsidR="008473A0" w:rsidRDefault="00000000">
      <w:pPr>
        <w:pStyle w:val="ListBullet"/>
      </w:pPr>
      <w:r>
        <w:t>Microbiome therapeutics and FMT: in humans, FDA treats FMT as a biological drug product and has issued guidance about enforcement discretion in limited circumstances. Veterinary pathways are less explicit and may evolve.</w:t>
      </w:r>
    </w:p>
    <w:p w14:paraId="3FF679DB" w14:textId="77777777" w:rsidR="008473A0" w:rsidRDefault="00000000">
      <w:pPr>
        <w:pStyle w:val="Heading2"/>
      </w:pPr>
      <w:r>
        <w:t>16.2 Claim substantiation guidance for operators</w:t>
      </w:r>
    </w:p>
    <w:p w14:paraId="6DAD9335" w14:textId="77777777" w:rsidR="008473A0" w:rsidRDefault="00000000">
      <w:pPr>
        <w:pStyle w:val="ListBullet"/>
      </w:pPr>
      <w:r>
        <w:t>Prefer claims tied to measurable biomarkers (for example, stool quality indices, dysbiosis indices, validated skin scoring).</w:t>
      </w:r>
    </w:p>
    <w:p w14:paraId="36F5517D" w14:textId="77777777" w:rsidR="008473A0" w:rsidRDefault="00000000">
      <w:pPr>
        <w:pStyle w:val="ListBullet"/>
      </w:pPr>
      <w:r>
        <w:t>Use mechanistic 'omics' claims as supportive evidence, not as the only evidence.</w:t>
      </w:r>
    </w:p>
    <w:p w14:paraId="7C43FE33" w14:textId="77777777" w:rsidR="008473A0" w:rsidRDefault="00000000">
      <w:pPr>
        <w:pStyle w:val="ListBullet"/>
      </w:pPr>
      <w:r>
        <w:t>Maintain a disciplined claim vocabulary that avoids crossing into drug claims unless the regulatory path is planned and funded.</w:t>
      </w:r>
    </w:p>
    <w:p w14:paraId="577BE9E8" w14:textId="77777777" w:rsidR="008473A0" w:rsidRDefault="00000000">
      <w:pPr>
        <w:pStyle w:val="Heading1"/>
      </w:pPr>
      <w:r>
        <w:t>17. Risks, failure modes, and red flags</w:t>
      </w:r>
    </w:p>
    <w:p w14:paraId="47C93B07" w14:textId="77777777" w:rsidR="008473A0" w:rsidRDefault="00000000">
      <w:pPr>
        <w:pStyle w:val="ListBullet"/>
      </w:pPr>
      <w:r>
        <w:t>Biological noise: microbiomes and phenotypes vary by breed, geography, diet, and environment. Models can overfit.</w:t>
      </w:r>
    </w:p>
    <w:p w14:paraId="0DEA5BE7" w14:textId="77777777" w:rsidR="008473A0" w:rsidRDefault="00000000">
      <w:pPr>
        <w:pStyle w:val="ListBullet"/>
      </w:pPr>
      <w:r>
        <w:t>Correlation traps: many markers correlate with disease without being causal; recommendations may not translate into outcomes.</w:t>
      </w:r>
    </w:p>
    <w:p w14:paraId="72D47705" w14:textId="77777777" w:rsidR="008473A0" w:rsidRDefault="00000000">
      <w:pPr>
        <w:pStyle w:val="ListBullet"/>
      </w:pPr>
      <w:r>
        <w:t>Evidence risk: testimonials and uncontrolled studies can inflate perceived efficacy. Demand peer-reviewed evidence where possible.</w:t>
      </w:r>
    </w:p>
    <w:p w14:paraId="5BE6ED4E" w14:textId="77777777" w:rsidR="008473A0" w:rsidRDefault="00000000">
      <w:pPr>
        <w:pStyle w:val="ListBullet"/>
      </w:pPr>
      <w:r>
        <w:t>Regulatory creep: categories such as microbiome therapeutics may face increasing scrutiny over time.</w:t>
      </w:r>
    </w:p>
    <w:p w14:paraId="452AB828" w14:textId="77777777" w:rsidR="008473A0" w:rsidRDefault="00000000">
      <w:pPr>
        <w:pStyle w:val="ListBullet"/>
      </w:pPr>
      <w:r>
        <w:t>Operational risk: sample logistics, contamination control, donor screening (for FMT), and quality systems can break the business.</w:t>
      </w:r>
    </w:p>
    <w:p w14:paraId="12E7A2D0" w14:textId="77777777" w:rsidR="008473A0" w:rsidRDefault="00000000">
      <w:pPr>
        <w:pStyle w:val="ListBullet"/>
      </w:pPr>
      <w:r>
        <w:t>Commoditization: tests can become interchangeable. Without a translator moat, price competition erodes margin.</w:t>
      </w:r>
    </w:p>
    <w:p w14:paraId="5B5DB597" w14:textId="77777777" w:rsidR="008473A0" w:rsidRDefault="00000000">
      <w:pPr>
        <w:pStyle w:val="ListBullet"/>
      </w:pPr>
      <w:r>
        <w:t>Trust risk: consumers and veterinarians will disengage if results feel generic or inconsistent.</w:t>
      </w:r>
    </w:p>
    <w:p w14:paraId="350C4C41" w14:textId="77777777" w:rsidR="008473A0" w:rsidRDefault="00000000">
      <w:pPr>
        <w:pStyle w:val="Heading1"/>
      </w:pPr>
      <w:r>
        <w:t>18. Investor due diligence checklist (animal nutrigenomics)</w:t>
      </w:r>
    </w:p>
    <w:p w14:paraId="33D630C2" w14:textId="77777777" w:rsidR="008473A0" w:rsidRDefault="00000000">
      <w:r>
        <w:t>Use this as a structured diligence template.</w:t>
      </w:r>
    </w:p>
    <w:p w14:paraId="3B193F78" w14:textId="77777777" w:rsidR="008473A0" w:rsidRDefault="00000000">
      <w:pPr>
        <w:pStyle w:val="Heading2"/>
      </w:pPr>
      <w:r>
        <w:t>18.1 Product and evidence</w:t>
      </w:r>
    </w:p>
    <w:p w14:paraId="52A4B2E3" w14:textId="77777777" w:rsidR="008473A0" w:rsidRDefault="00000000">
      <w:pPr>
        <w:pStyle w:val="ListBullet"/>
      </w:pPr>
      <w:r>
        <w:t>What exact endpoint is targeted (GI, dermatology, obesity, cognitive, growth performance)?</w:t>
      </w:r>
    </w:p>
    <w:p w14:paraId="136F9592" w14:textId="77777777" w:rsidR="008473A0" w:rsidRDefault="00000000">
      <w:pPr>
        <w:pStyle w:val="ListBullet"/>
      </w:pPr>
      <w:r>
        <w:t>What is the primary evidence type: controlled trial, retrospective study, real-world evidence, or mechanistic transcriptomics?</w:t>
      </w:r>
    </w:p>
    <w:p w14:paraId="3AC9B31E" w14:textId="77777777" w:rsidR="008473A0" w:rsidRDefault="00000000">
      <w:pPr>
        <w:pStyle w:val="ListBullet"/>
      </w:pPr>
      <w:r>
        <w:t>Are endpoints measured with validated veterinary indices or standardized farm metrics?</w:t>
      </w:r>
    </w:p>
    <w:p w14:paraId="66E95EC3" w14:textId="77777777" w:rsidR="008473A0" w:rsidRDefault="00000000">
      <w:pPr>
        <w:pStyle w:val="ListBullet"/>
      </w:pPr>
      <w:r>
        <w:t>Does efficacy replicate across breeds, diets, and environments?</w:t>
      </w:r>
    </w:p>
    <w:p w14:paraId="21E54904" w14:textId="77777777" w:rsidR="008473A0" w:rsidRDefault="00000000">
      <w:pPr>
        <w:pStyle w:val="Heading2"/>
      </w:pPr>
      <w:r>
        <w:lastRenderedPageBreak/>
        <w:t>18.2 Translator and data moat</w:t>
      </w:r>
    </w:p>
    <w:p w14:paraId="742EE0B0" w14:textId="77777777" w:rsidR="008473A0" w:rsidRDefault="00000000">
      <w:pPr>
        <w:pStyle w:val="ListBullet"/>
      </w:pPr>
      <w:r>
        <w:t>What is the translator (rules, statistical model, ML model)? What are inputs and outputs?</w:t>
      </w:r>
    </w:p>
    <w:p w14:paraId="456EAFA8" w14:textId="77777777" w:rsidR="008473A0" w:rsidRDefault="00000000">
      <w:pPr>
        <w:pStyle w:val="ListBullet"/>
      </w:pPr>
      <w:r>
        <w:t>How large is the proprietary dataset, and what proportion is longitudinal with outcomes?</w:t>
      </w:r>
    </w:p>
    <w:p w14:paraId="42559347" w14:textId="77777777" w:rsidR="008473A0" w:rsidRDefault="00000000">
      <w:pPr>
        <w:pStyle w:val="ListBullet"/>
      </w:pPr>
      <w:r>
        <w:t>Are data rights secured for model improvement and for external partnerships?</w:t>
      </w:r>
    </w:p>
    <w:p w14:paraId="67FFDD10" w14:textId="77777777" w:rsidR="008473A0" w:rsidRDefault="00000000">
      <w:pPr>
        <w:pStyle w:val="ListBullet"/>
      </w:pPr>
      <w:r>
        <w:t>How hard is it for a competitor to replicate the dataset (channel control, unique partnerships, unique sample bank)?</w:t>
      </w:r>
    </w:p>
    <w:p w14:paraId="5DD09995" w14:textId="77777777" w:rsidR="008473A0" w:rsidRDefault="00000000">
      <w:pPr>
        <w:pStyle w:val="Heading2"/>
      </w:pPr>
      <w:r>
        <w:t>18.3 Unit economics</w:t>
      </w:r>
    </w:p>
    <w:p w14:paraId="26A0E31D" w14:textId="77777777" w:rsidR="008473A0" w:rsidRDefault="00000000">
      <w:pPr>
        <w:pStyle w:val="ListBullet"/>
      </w:pPr>
      <w:r>
        <w:t>Test margin and cost structure: is the test a profit center or an acquisition tool?</w:t>
      </w:r>
    </w:p>
    <w:p w14:paraId="05359E4A" w14:textId="77777777" w:rsidR="008473A0" w:rsidRDefault="00000000">
      <w:pPr>
        <w:pStyle w:val="ListBullet"/>
      </w:pPr>
      <w:r>
        <w:t>Subscription conversion and retention: what percent convert and how long do they stay?</w:t>
      </w:r>
    </w:p>
    <w:p w14:paraId="75062CAF" w14:textId="77777777" w:rsidR="008473A0" w:rsidRDefault="00000000">
      <w:pPr>
        <w:pStyle w:val="ListBullet"/>
      </w:pPr>
      <w:r>
        <w:t>Gross margin by SKU and by channel; impact of logistics and spoilage.</w:t>
      </w:r>
    </w:p>
    <w:p w14:paraId="08ED316F" w14:textId="77777777" w:rsidR="008473A0" w:rsidRDefault="00000000">
      <w:pPr>
        <w:pStyle w:val="ListBullet"/>
      </w:pPr>
      <w:r>
        <w:t>Payback period and cohort LTV: are they improving as the translator improves?</w:t>
      </w:r>
    </w:p>
    <w:p w14:paraId="0E8E2C8B" w14:textId="77777777" w:rsidR="008473A0" w:rsidRDefault="00000000">
      <w:pPr>
        <w:pStyle w:val="Heading2"/>
      </w:pPr>
      <w:r>
        <w:t>18.4 Regulatory and quality</w:t>
      </w:r>
    </w:p>
    <w:p w14:paraId="7F4F9354" w14:textId="77777777" w:rsidR="008473A0" w:rsidRDefault="00000000">
      <w:pPr>
        <w:pStyle w:val="ListBullet"/>
      </w:pPr>
      <w:r>
        <w:t>How is the product classified in the key launch markets (food, supplement, drug)?</w:t>
      </w:r>
    </w:p>
    <w:p w14:paraId="2AD3FE9E" w14:textId="77777777" w:rsidR="008473A0" w:rsidRDefault="00000000">
      <w:pPr>
        <w:pStyle w:val="ListBullet"/>
      </w:pPr>
      <w:r>
        <w:t>What claim language is used and how is it substantiated?</w:t>
      </w:r>
    </w:p>
    <w:p w14:paraId="21DBCC0A" w14:textId="77777777" w:rsidR="008473A0" w:rsidRDefault="00000000">
      <w:pPr>
        <w:pStyle w:val="ListBullet"/>
      </w:pPr>
      <w:r>
        <w:t>Quality systems: GMP, batch testing, traceability, adverse event handling.</w:t>
      </w:r>
    </w:p>
    <w:p w14:paraId="082F70E8" w14:textId="77777777" w:rsidR="008473A0" w:rsidRDefault="00000000">
      <w:pPr>
        <w:pStyle w:val="ListBullet"/>
      </w:pPr>
      <w:r>
        <w:t>For microbiome or FMT: donor screening protocol, pathogen testing, and handling of safety alerts.</w:t>
      </w:r>
    </w:p>
    <w:p w14:paraId="1F0B1C85" w14:textId="77777777" w:rsidR="008473A0" w:rsidRDefault="00000000">
      <w:pPr>
        <w:pStyle w:val="Heading2"/>
      </w:pPr>
      <w:r>
        <w:t>18.5 Partnerships and exits</w:t>
      </w:r>
    </w:p>
    <w:p w14:paraId="0851E28D" w14:textId="77777777" w:rsidR="008473A0" w:rsidRDefault="00000000">
      <w:pPr>
        <w:pStyle w:val="ListBullet"/>
      </w:pPr>
      <w:r>
        <w:t>Which incumbents could partner or acquire and why (data, protocol, distribution)?</w:t>
      </w:r>
    </w:p>
    <w:p w14:paraId="486CF298" w14:textId="77777777" w:rsidR="008473A0" w:rsidRDefault="00000000">
      <w:pPr>
        <w:pStyle w:val="ListBullet"/>
      </w:pPr>
      <w:r>
        <w:t>Is there evidence of strategic demand (for example, acquisitions like Pooch &amp; Mutt buying BIOME9)?</w:t>
      </w:r>
    </w:p>
    <w:p w14:paraId="16A393FA" w14:textId="77777777" w:rsidR="008473A0" w:rsidRDefault="00000000">
      <w:pPr>
        <w:pStyle w:val="ListBullet"/>
      </w:pPr>
      <w:r>
        <w:t>Does the company have a plan to defend margins when incumbents copy surface-level features?</w:t>
      </w:r>
    </w:p>
    <w:p w14:paraId="1C70A0BC" w14:textId="77777777" w:rsidR="008473A0" w:rsidRDefault="00000000">
      <w:pPr>
        <w:pStyle w:val="Heading1"/>
      </w:pPr>
      <w:r>
        <w:t>19. Investment thesis and opportunity map</w:t>
      </w:r>
    </w:p>
    <w:p w14:paraId="27D307A4" w14:textId="77777777" w:rsidR="008473A0" w:rsidRDefault="00000000">
      <w:r>
        <w:t>This section translates the full analysis into actionable investment beliefs and a screening rubric.</w:t>
      </w:r>
    </w:p>
    <w:p w14:paraId="65D8F305" w14:textId="77777777" w:rsidR="008473A0" w:rsidRDefault="00000000">
      <w:pPr>
        <w:pStyle w:val="Heading2"/>
      </w:pPr>
      <w:r>
        <w:t>19.1 Primary investment beliefs</w:t>
      </w:r>
    </w:p>
    <w:p w14:paraId="4EEFFBDB" w14:textId="77777777" w:rsidR="008473A0" w:rsidRDefault="00000000">
      <w:pPr>
        <w:pStyle w:val="ListBullet"/>
      </w:pPr>
      <w:r>
        <w:t>Belief 1: Diagnostics alone commoditize. The defensible asset is the translator plus the data flywheel.</w:t>
      </w:r>
    </w:p>
    <w:p w14:paraId="679DCFC1" w14:textId="77777777" w:rsidR="008473A0" w:rsidRDefault="00000000">
      <w:pPr>
        <w:pStyle w:val="ListBullet"/>
      </w:pPr>
      <w:r>
        <w:t>Belief 2: The best nutrition businesses monetize through repeat purchase. Investors should prioritize subscription conversion and retention over one-off kit sales.</w:t>
      </w:r>
    </w:p>
    <w:p w14:paraId="2C381F18" w14:textId="77777777" w:rsidR="008473A0" w:rsidRDefault="00000000">
      <w:pPr>
        <w:pStyle w:val="ListBullet"/>
      </w:pPr>
      <w:r>
        <w:t>Belief 3: In livestock, mechanistic proof plus ROI wins. Transcriptomics can be a sales accelerator, but adoption still requires field economics and distribution.</w:t>
      </w:r>
    </w:p>
    <w:p w14:paraId="000D987D" w14:textId="77777777" w:rsidR="008473A0" w:rsidRDefault="00000000">
      <w:pPr>
        <w:pStyle w:val="ListBullet"/>
      </w:pPr>
      <w:r>
        <w:t>Belief 4: Regulatory risk is asymmetric. Microbiome therapeutics can create step-function value if validated, but can also face abrupt regulatory headwinds.</w:t>
      </w:r>
    </w:p>
    <w:p w14:paraId="249FB2CD" w14:textId="77777777" w:rsidR="008473A0" w:rsidRDefault="00000000">
      <w:pPr>
        <w:pStyle w:val="Heading2"/>
      </w:pPr>
      <w:r>
        <w:lastRenderedPageBreak/>
        <w:t>19.2 Screening scorecard (quick and practical)</w:t>
      </w:r>
    </w:p>
    <w:tbl>
      <w:tblPr>
        <w:tblStyle w:val="TableGrid"/>
        <w:tblW w:w="0" w:type="auto"/>
        <w:tblLook w:val="04A0" w:firstRow="1" w:lastRow="0" w:firstColumn="1" w:lastColumn="0" w:noHBand="0" w:noVBand="1"/>
      </w:tblPr>
      <w:tblGrid>
        <w:gridCol w:w="2160"/>
        <w:gridCol w:w="2160"/>
        <w:gridCol w:w="2160"/>
        <w:gridCol w:w="2160"/>
      </w:tblGrid>
      <w:tr w:rsidR="008473A0" w14:paraId="64C6BC2F" w14:textId="77777777">
        <w:tc>
          <w:tcPr>
            <w:tcW w:w="2160" w:type="dxa"/>
          </w:tcPr>
          <w:p w14:paraId="1D9B2F94" w14:textId="77777777" w:rsidR="008473A0" w:rsidRDefault="00000000">
            <w:r>
              <w:rPr>
                <w:b/>
              </w:rPr>
              <w:t>Dimension</w:t>
            </w:r>
          </w:p>
        </w:tc>
        <w:tc>
          <w:tcPr>
            <w:tcW w:w="2160" w:type="dxa"/>
          </w:tcPr>
          <w:p w14:paraId="657CFE5B" w14:textId="77777777" w:rsidR="008473A0" w:rsidRDefault="00000000">
            <w:r>
              <w:rPr>
                <w:b/>
              </w:rPr>
              <w:t>0 (weak)</w:t>
            </w:r>
          </w:p>
        </w:tc>
        <w:tc>
          <w:tcPr>
            <w:tcW w:w="2160" w:type="dxa"/>
          </w:tcPr>
          <w:p w14:paraId="0736CEBD" w14:textId="77777777" w:rsidR="008473A0" w:rsidRDefault="00000000">
            <w:r>
              <w:rPr>
                <w:b/>
              </w:rPr>
              <w:t>1 (medium)</w:t>
            </w:r>
          </w:p>
        </w:tc>
        <w:tc>
          <w:tcPr>
            <w:tcW w:w="2160" w:type="dxa"/>
          </w:tcPr>
          <w:p w14:paraId="5CA5EECB" w14:textId="77777777" w:rsidR="008473A0" w:rsidRDefault="00000000">
            <w:r>
              <w:rPr>
                <w:b/>
              </w:rPr>
              <w:t>2 (strong)</w:t>
            </w:r>
          </w:p>
        </w:tc>
      </w:tr>
      <w:tr w:rsidR="008473A0" w14:paraId="743FDE1F" w14:textId="77777777">
        <w:tc>
          <w:tcPr>
            <w:tcW w:w="2160" w:type="dxa"/>
          </w:tcPr>
          <w:p w14:paraId="372E3A21" w14:textId="77777777" w:rsidR="008473A0" w:rsidRDefault="00000000">
            <w:r>
              <w:t>Translator moat</w:t>
            </w:r>
          </w:p>
        </w:tc>
        <w:tc>
          <w:tcPr>
            <w:tcW w:w="2160" w:type="dxa"/>
          </w:tcPr>
          <w:p w14:paraId="0378E2C7" w14:textId="77777777" w:rsidR="008473A0" w:rsidRDefault="00000000">
            <w:r>
              <w:t>Generic rules or third-party IP</w:t>
            </w:r>
          </w:p>
        </w:tc>
        <w:tc>
          <w:tcPr>
            <w:tcW w:w="2160" w:type="dxa"/>
          </w:tcPr>
          <w:p w14:paraId="4FA09727" w14:textId="77777777" w:rsidR="008473A0" w:rsidRDefault="00000000">
            <w:r>
              <w:t>Some proprietary logic; limited data</w:t>
            </w:r>
          </w:p>
        </w:tc>
        <w:tc>
          <w:tcPr>
            <w:tcW w:w="2160" w:type="dxa"/>
          </w:tcPr>
          <w:p w14:paraId="5ED3891C" w14:textId="77777777" w:rsidR="008473A0" w:rsidRDefault="00000000">
            <w:r>
              <w:t>Proprietary models + large, outcome-linked data rights</w:t>
            </w:r>
          </w:p>
        </w:tc>
      </w:tr>
      <w:tr w:rsidR="008473A0" w14:paraId="2E2CB59D" w14:textId="77777777">
        <w:tc>
          <w:tcPr>
            <w:tcW w:w="2160" w:type="dxa"/>
          </w:tcPr>
          <w:p w14:paraId="51393B21" w14:textId="77777777" w:rsidR="008473A0" w:rsidRDefault="00000000">
            <w:r>
              <w:t>Intervention margin</w:t>
            </w:r>
          </w:p>
        </w:tc>
        <w:tc>
          <w:tcPr>
            <w:tcW w:w="2160" w:type="dxa"/>
          </w:tcPr>
          <w:p w14:paraId="1B9E422C" w14:textId="77777777" w:rsidR="008473A0" w:rsidRDefault="00000000">
            <w:r>
              <w:t>Commodity products</w:t>
            </w:r>
          </w:p>
        </w:tc>
        <w:tc>
          <w:tcPr>
            <w:tcW w:w="2160" w:type="dxa"/>
          </w:tcPr>
          <w:p w14:paraId="215D5C04" w14:textId="77777777" w:rsidR="008473A0" w:rsidRDefault="00000000">
            <w:r>
              <w:t>Some formulation differentiation</w:t>
            </w:r>
          </w:p>
        </w:tc>
        <w:tc>
          <w:tcPr>
            <w:tcW w:w="2160" w:type="dxa"/>
          </w:tcPr>
          <w:p w14:paraId="159FCA9D" w14:textId="77777777" w:rsidR="008473A0" w:rsidRDefault="00000000">
            <w:r>
              <w:t>Proprietary formulations + subscription + high margin</w:t>
            </w:r>
          </w:p>
        </w:tc>
      </w:tr>
      <w:tr w:rsidR="008473A0" w14:paraId="41749BF1" w14:textId="77777777">
        <w:tc>
          <w:tcPr>
            <w:tcW w:w="2160" w:type="dxa"/>
          </w:tcPr>
          <w:p w14:paraId="044013F1" w14:textId="77777777" w:rsidR="008473A0" w:rsidRDefault="00000000">
            <w:r>
              <w:t>Evidence strength</w:t>
            </w:r>
          </w:p>
        </w:tc>
        <w:tc>
          <w:tcPr>
            <w:tcW w:w="2160" w:type="dxa"/>
          </w:tcPr>
          <w:p w14:paraId="2949B81A" w14:textId="77777777" w:rsidR="008473A0" w:rsidRDefault="00000000">
            <w:r>
              <w:t>Anecdotes only</w:t>
            </w:r>
          </w:p>
        </w:tc>
        <w:tc>
          <w:tcPr>
            <w:tcW w:w="2160" w:type="dxa"/>
          </w:tcPr>
          <w:p w14:paraId="0C289617" w14:textId="77777777" w:rsidR="008473A0" w:rsidRDefault="00000000">
            <w:r>
              <w:t>Retrospective or real-world data</w:t>
            </w:r>
          </w:p>
        </w:tc>
        <w:tc>
          <w:tcPr>
            <w:tcW w:w="2160" w:type="dxa"/>
          </w:tcPr>
          <w:p w14:paraId="0C129F44" w14:textId="77777777" w:rsidR="008473A0" w:rsidRDefault="00000000">
            <w:r>
              <w:t>Controlled studies + mechanistic support</w:t>
            </w:r>
          </w:p>
        </w:tc>
      </w:tr>
      <w:tr w:rsidR="008473A0" w14:paraId="04794EA1" w14:textId="77777777">
        <w:tc>
          <w:tcPr>
            <w:tcW w:w="2160" w:type="dxa"/>
          </w:tcPr>
          <w:p w14:paraId="318F34C8" w14:textId="77777777" w:rsidR="008473A0" w:rsidRDefault="00000000">
            <w:r>
              <w:t>Channel control</w:t>
            </w:r>
          </w:p>
        </w:tc>
        <w:tc>
          <w:tcPr>
            <w:tcW w:w="2160" w:type="dxa"/>
          </w:tcPr>
          <w:p w14:paraId="5DE8BA64" w14:textId="77777777" w:rsidR="008473A0" w:rsidRDefault="00000000">
            <w:r>
              <w:t>Marketplace dependent</w:t>
            </w:r>
          </w:p>
        </w:tc>
        <w:tc>
          <w:tcPr>
            <w:tcW w:w="2160" w:type="dxa"/>
          </w:tcPr>
          <w:p w14:paraId="44437115" w14:textId="77777777" w:rsidR="008473A0" w:rsidRDefault="00000000">
            <w:r>
              <w:t>Some direct channel</w:t>
            </w:r>
          </w:p>
        </w:tc>
        <w:tc>
          <w:tcPr>
            <w:tcW w:w="2160" w:type="dxa"/>
          </w:tcPr>
          <w:p w14:paraId="6A561BE7" w14:textId="77777777" w:rsidR="008473A0" w:rsidRDefault="00000000">
            <w:r>
              <w:t>Vet or distribution partnerships that lock in demand</w:t>
            </w:r>
          </w:p>
        </w:tc>
      </w:tr>
      <w:tr w:rsidR="008473A0" w14:paraId="1D665FC9" w14:textId="77777777">
        <w:tc>
          <w:tcPr>
            <w:tcW w:w="2160" w:type="dxa"/>
          </w:tcPr>
          <w:p w14:paraId="3CCA2492" w14:textId="77777777" w:rsidR="008473A0" w:rsidRDefault="00000000">
            <w:r>
              <w:t>Regulatory risk</w:t>
            </w:r>
          </w:p>
        </w:tc>
        <w:tc>
          <w:tcPr>
            <w:tcW w:w="2160" w:type="dxa"/>
          </w:tcPr>
          <w:p w14:paraId="31E9C3B7" w14:textId="77777777" w:rsidR="008473A0" w:rsidRDefault="00000000">
            <w:r>
              <w:t>Unclear and unmanaged</w:t>
            </w:r>
          </w:p>
        </w:tc>
        <w:tc>
          <w:tcPr>
            <w:tcW w:w="2160" w:type="dxa"/>
          </w:tcPr>
          <w:p w14:paraId="700612AD" w14:textId="77777777" w:rsidR="008473A0" w:rsidRDefault="00000000">
            <w:r>
              <w:t>Partially managed</w:t>
            </w:r>
          </w:p>
        </w:tc>
        <w:tc>
          <w:tcPr>
            <w:tcW w:w="2160" w:type="dxa"/>
          </w:tcPr>
          <w:p w14:paraId="340776D4" w14:textId="77777777" w:rsidR="008473A0" w:rsidRDefault="00000000">
            <w:r>
              <w:t>Clear classification strategy + quality system investment</w:t>
            </w:r>
          </w:p>
        </w:tc>
      </w:tr>
    </w:tbl>
    <w:p w14:paraId="7B756168" w14:textId="77777777" w:rsidR="008473A0" w:rsidRDefault="00000000">
      <w:pPr>
        <w:pStyle w:val="Heading2"/>
      </w:pPr>
      <w:r>
        <w:t>19.3 Where to focus (today)</w:t>
      </w:r>
    </w:p>
    <w:p w14:paraId="6126C63E" w14:textId="77777777" w:rsidR="008473A0" w:rsidRDefault="00000000">
      <w:pPr>
        <w:pStyle w:val="ListBullet"/>
      </w:pPr>
      <w:r>
        <w:t>Pet GI and dermatology: high owner pain, measurable outcomes, and strong subscription potential.</w:t>
      </w:r>
    </w:p>
    <w:p w14:paraId="27903548" w14:textId="77777777" w:rsidR="008473A0" w:rsidRDefault="00000000">
      <w:pPr>
        <w:pStyle w:val="ListBullet"/>
      </w:pPr>
      <w:r>
        <w:t>Antibiotic alternative and gut integrity programs in livestock: large spend pools and strong compliance-driven demand.</w:t>
      </w:r>
    </w:p>
    <w:p w14:paraId="6258CF30" w14:textId="77777777" w:rsidR="008473A0" w:rsidRDefault="00000000">
      <w:pPr>
        <w:pStyle w:val="ListBullet"/>
      </w:pPr>
      <w:r>
        <w:t>Platforms that help incumbents run standardized nutrigenomic validation (outsourced transcriptomics and analytics).</w:t>
      </w:r>
    </w:p>
    <w:p w14:paraId="041161F2" w14:textId="77777777" w:rsidR="008473A0" w:rsidRDefault="00000000">
      <w:pPr>
        <w:pStyle w:val="Heading1"/>
      </w:pPr>
      <w:r>
        <w:t>20. Implementation playbook (how to build or upgrade a nutrigenomics program)</w:t>
      </w:r>
    </w:p>
    <w:p w14:paraId="29E73DE8" w14:textId="77777777" w:rsidR="008473A0" w:rsidRDefault="00000000">
      <w:r>
        <w:t>This section translates the report into an actionable build plan for an operator or an investing team working with a portfolio company.</w:t>
      </w:r>
    </w:p>
    <w:p w14:paraId="273EC194" w14:textId="77777777" w:rsidR="008473A0" w:rsidRDefault="00000000">
      <w:pPr>
        <w:pStyle w:val="Heading2"/>
      </w:pPr>
      <w:r>
        <w:t>20.1 Phase 0: choose a wedge that creates repeat purchase</w:t>
      </w:r>
    </w:p>
    <w:p w14:paraId="2D950B81" w14:textId="77777777" w:rsidR="008473A0" w:rsidRDefault="00000000">
      <w:pPr>
        <w:pStyle w:val="ListNumber"/>
      </w:pPr>
      <w:r>
        <w:t>Pick one high-value problem with clear customer pain and measurable endpoints (for example, chronic diarrhea and stool quality).</w:t>
      </w:r>
    </w:p>
    <w:p w14:paraId="49E72B4E" w14:textId="77777777" w:rsidR="008473A0" w:rsidRDefault="00000000">
      <w:pPr>
        <w:pStyle w:val="ListNumber"/>
      </w:pPr>
      <w:r>
        <w:t>Define the minimum viable biomarker set and the minimum viable intervention catalog.</w:t>
      </w:r>
    </w:p>
    <w:p w14:paraId="44752833" w14:textId="77777777" w:rsidR="008473A0" w:rsidRDefault="00000000">
      <w:pPr>
        <w:pStyle w:val="ListNumber"/>
      </w:pPr>
      <w:r>
        <w:t>Decide the channel: DTC, vet, or B2B. The channel determines data access and retention.</w:t>
      </w:r>
    </w:p>
    <w:p w14:paraId="5D9416B3" w14:textId="77777777" w:rsidR="008473A0" w:rsidRDefault="00000000">
      <w:pPr>
        <w:pStyle w:val="Heading2"/>
      </w:pPr>
      <w:r>
        <w:t>20.2 Phase 1: build measurement and reporting MVP</w:t>
      </w:r>
    </w:p>
    <w:p w14:paraId="1537B9A1" w14:textId="77777777" w:rsidR="008473A0" w:rsidRDefault="00000000">
      <w:pPr>
        <w:pStyle w:val="ListNumber"/>
      </w:pPr>
      <w:r>
        <w:t>Design kit logistics (sampling, shipping, stabilization, chain of custody).</w:t>
      </w:r>
    </w:p>
    <w:p w14:paraId="15D91ED9" w14:textId="77777777" w:rsidR="008473A0" w:rsidRDefault="00000000">
      <w:pPr>
        <w:pStyle w:val="ListNumber"/>
      </w:pPr>
      <w:r>
        <w:t>Select assay and lab partner, and define QC thresholds.</w:t>
      </w:r>
    </w:p>
    <w:p w14:paraId="458117A4" w14:textId="77777777" w:rsidR="008473A0" w:rsidRDefault="00000000">
      <w:pPr>
        <w:pStyle w:val="ListNumber"/>
      </w:pPr>
      <w:r>
        <w:t>Build a first translator (rules or simple model) that maps results to a small set of recommendations.</w:t>
      </w:r>
    </w:p>
    <w:p w14:paraId="0474B9E3" w14:textId="77777777" w:rsidR="008473A0" w:rsidRDefault="00000000">
      <w:pPr>
        <w:pStyle w:val="ListNumber"/>
      </w:pPr>
      <w:r>
        <w:t>Ship reports that feel specific and include clear next steps.</w:t>
      </w:r>
    </w:p>
    <w:p w14:paraId="0D0BDBA3" w14:textId="77777777" w:rsidR="008473A0" w:rsidRDefault="00000000">
      <w:pPr>
        <w:pStyle w:val="Heading2"/>
      </w:pPr>
      <w:r>
        <w:lastRenderedPageBreak/>
        <w:t>20.3 Phase 2: design the recurring intervention and the loop</w:t>
      </w:r>
    </w:p>
    <w:p w14:paraId="1AF5A919" w14:textId="77777777" w:rsidR="008473A0" w:rsidRDefault="00000000">
      <w:pPr>
        <w:pStyle w:val="ListNumber"/>
      </w:pPr>
      <w:r>
        <w:t>Build proprietary interventions where possible (unique formulations, subscription bundles).</w:t>
      </w:r>
    </w:p>
    <w:p w14:paraId="5D64F65A" w14:textId="77777777" w:rsidR="008473A0" w:rsidRDefault="00000000">
      <w:pPr>
        <w:pStyle w:val="ListNumber"/>
      </w:pPr>
      <w:r>
        <w:t>Create retest triggers tied to the protocol timeline (for example, 60 to 90 days).</w:t>
      </w:r>
    </w:p>
    <w:p w14:paraId="054BC579" w14:textId="77777777" w:rsidR="008473A0" w:rsidRDefault="00000000">
      <w:pPr>
        <w:pStyle w:val="ListNumber"/>
      </w:pPr>
      <w:r>
        <w:t>Capture outcomes via structured surveys, vet feedback, and objective metrics where feasible.</w:t>
      </w:r>
    </w:p>
    <w:p w14:paraId="46E36037" w14:textId="77777777" w:rsidR="008473A0" w:rsidRDefault="00000000">
      <w:pPr>
        <w:pStyle w:val="ListNumber"/>
      </w:pPr>
      <w:r>
        <w:t>Use outcomes to refine the translator and to improve conversion and retention.</w:t>
      </w:r>
    </w:p>
    <w:p w14:paraId="1BEEECBC" w14:textId="77777777" w:rsidR="008473A0" w:rsidRDefault="00000000">
      <w:pPr>
        <w:pStyle w:val="Heading2"/>
      </w:pPr>
      <w:r>
        <w:t>20.4 Phase 3: validation, scaling, and defensibility</w:t>
      </w:r>
    </w:p>
    <w:p w14:paraId="37FC981A" w14:textId="77777777" w:rsidR="008473A0" w:rsidRDefault="00000000">
      <w:pPr>
        <w:pStyle w:val="ListNumber"/>
      </w:pPr>
      <w:r>
        <w:t>Run controlled or quasi-controlled studies in the highest-value cohorts to de-risk claims.</w:t>
      </w:r>
    </w:p>
    <w:p w14:paraId="7063F2F0" w14:textId="77777777" w:rsidR="008473A0" w:rsidRDefault="00000000">
      <w:pPr>
        <w:pStyle w:val="ListNumber"/>
      </w:pPr>
      <w:r>
        <w:t>Establish quality systems and adverse event monitoring.</w:t>
      </w:r>
    </w:p>
    <w:p w14:paraId="456BC4B1" w14:textId="77777777" w:rsidR="008473A0" w:rsidRDefault="00000000">
      <w:pPr>
        <w:pStyle w:val="ListNumber"/>
      </w:pPr>
      <w:r>
        <w:t>Expand the translator to additional endpoints only after core loop retention is strong.</w:t>
      </w:r>
    </w:p>
    <w:p w14:paraId="52659C88" w14:textId="77777777" w:rsidR="008473A0" w:rsidRDefault="00000000">
      <w:pPr>
        <w:pStyle w:val="ListNumber"/>
      </w:pPr>
      <w:r>
        <w:t>Develop partnerships for distribution and for ingredient validation, but protect data rights.</w:t>
      </w:r>
    </w:p>
    <w:p w14:paraId="1F32EC45" w14:textId="77777777" w:rsidR="008473A0" w:rsidRDefault="00000000">
      <w:pPr>
        <w:pStyle w:val="Heading2"/>
      </w:pPr>
      <w:r>
        <w:t>20.5 Reference technical architecture (simplified)</w:t>
      </w:r>
    </w:p>
    <w:p w14:paraId="7F9EC4E4" w14:textId="77777777" w:rsidR="008473A0" w:rsidRDefault="00000000">
      <w:pPr>
        <w:pStyle w:val="ListBullet"/>
      </w:pPr>
      <w:r>
        <w:t>Ingestion: kit barcode + customer metadata + diet history + symptoms.</w:t>
      </w:r>
    </w:p>
    <w:p w14:paraId="08F45704" w14:textId="77777777" w:rsidR="008473A0" w:rsidRDefault="00000000">
      <w:pPr>
        <w:pStyle w:val="ListBullet"/>
      </w:pPr>
      <w:r>
        <w:t>LIMS / lab outputs: sequencing reads and QC metrics.</w:t>
      </w:r>
    </w:p>
    <w:p w14:paraId="20BAF56B" w14:textId="77777777" w:rsidR="008473A0" w:rsidRDefault="00000000">
      <w:pPr>
        <w:pStyle w:val="ListBullet"/>
      </w:pPr>
      <w:r>
        <w:t>Feature store: standardized microbiome/genotype features.</w:t>
      </w:r>
    </w:p>
    <w:p w14:paraId="3F65CFDB" w14:textId="77777777" w:rsidR="008473A0" w:rsidRDefault="00000000">
      <w:pPr>
        <w:pStyle w:val="ListBullet"/>
      </w:pPr>
      <w:r>
        <w:t>Translator: model service that outputs risk scores and recommended interventions.</w:t>
      </w:r>
    </w:p>
    <w:p w14:paraId="3FE3D110" w14:textId="77777777" w:rsidR="008473A0" w:rsidRDefault="00000000">
      <w:pPr>
        <w:pStyle w:val="ListBullet"/>
      </w:pPr>
      <w:r>
        <w:t>Report generator: customer-facing PDF plus vet-facing clinical notes.</w:t>
      </w:r>
    </w:p>
    <w:p w14:paraId="21D817C0" w14:textId="77777777" w:rsidR="008473A0" w:rsidRDefault="00000000">
      <w:pPr>
        <w:pStyle w:val="ListBullet"/>
      </w:pPr>
      <w:r>
        <w:t>Commerce: recommendation engine → cart → subscription fulfillment.</w:t>
      </w:r>
    </w:p>
    <w:p w14:paraId="7A13D86B" w14:textId="77777777" w:rsidR="008473A0" w:rsidRDefault="00000000">
      <w:pPr>
        <w:pStyle w:val="ListBullet"/>
      </w:pPr>
      <w:r>
        <w:t>Feedback: outcomes, retest data, churn reasons, vet notes.</w:t>
      </w:r>
    </w:p>
    <w:p w14:paraId="66627F7F" w14:textId="77777777" w:rsidR="008473A0" w:rsidRDefault="00000000">
      <w:pPr>
        <w:pStyle w:val="Heading1"/>
      </w:pPr>
      <w:r>
        <w:t>21. Appendix: glossary</w:t>
      </w:r>
    </w:p>
    <w:tbl>
      <w:tblPr>
        <w:tblStyle w:val="TableGrid"/>
        <w:tblW w:w="0" w:type="auto"/>
        <w:tblLook w:val="04A0" w:firstRow="1" w:lastRow="0" w:firstColumn="1" w:lastColumn="0" w:noHBand="0" w:noVBand="1"/>
      </w:tblPr>
      <w:tblGrid>
        <w:gridCol w:w="4320"/>
        <w:gridCol w:w="4320"/>
      </w:tblGrid>
      <w:tr w:rsidR="008473A0" w14:paraId="4C5704B6" w14:textId="77777777">
        <w:tc>
          <w:tcPr>
            <w:tcW w:w="4320" w:type="dxa"/>
          </w:tcPr>
          <w:p w14:paraId="6BC22A4A" w14:textId="77777777" w:rsidR="008473A0" w:rsidRDefault="00000000">
            <w:r>
              <w:rPr>
                <w:b/>
              </w:rPr>
              <w:t>Term</w:t>
            </w:r>
          </w:p>
        </w:tc>
        <w:tc>
          <w:tcPr>
            <w:tcW w:w="4320" w:type="dxa"/>
          </w:tcPr>
          <w:p w14:paraId="12DD3C17" w14:textId="77777777" w:rsidR="008473A0" w:rsidRDefault="00000000">
            <w:r>
              <w:rPr>
                <w:b/>
              </w:rPr>
              <w:t>Definition (practical)</w:t>
            </w:r>
          </w:p>
        </w:tc>
      </w:tr>
      <w:tr w:rsidR="008473A0" w14:paraId="4E7C4FDB" w14:textId="77777777">
        <w:tc>
          <w:tcPr>
            <w:tcW w:w="4320" w:type="dxa"/>
          </w:tcPr>
          <w:p w14:paraId="415CA976" w14:textId="77777777" w:rsidR="008473A0" w:rsidRDefault="00000000">
            <w:r>
              <w:t>Translator</w:t>
            </w:r>
          </w:p>
        </w:tc>
        <w:tc>
          <w:tcPr>
            <w:tcW w:w="4320" w:type="dxa"/>
          </w:tcPr>
          <w:p w14:paraId="1ADDEA90" w14:textId="77777777" w:rsidR="008473A0" w:rsidRDefault="00000000">
            <w:r>
              <w:t>The algorithm, rules, and data that convert biological measurements into specific nutritional actions (product recommendations).</w:t>
            </w:r>
          </w:p>
        </w:tc>
      </w:tr>
      <w:tr w:rsidR="008473A0" w14:paraId="4CE3DCF8" w14:textId="77777777">
        <w:tc>
          <w:tcPr>
            <w:tcW w:w="4320" w:type="dxa"/>
          </w:tcPr>
          <w:p w14:paraId="12107195" w14:textId="77777777" w:rsidR="008473A0" w:rsidRDefault="00000000">
            <w:r>
              <w:t>Genomic Loop</w:t>
            </w:r>
          </w:p>
        </w:tc>
        <w:tc>
          <w:tcPr>
            <w:tcW w:w="4320" w:type="dxa"/>
          </w:tcPr>
          <w:p w14:paraId="1BE21F9F" w14:textId="77777777" w:rsidR="008473A0" w:rsidRDefault="00000000">
            <w:r>
              <w:t>A business flywheel where testing creates an insight that leads to a repeat-purchase intervention, plus outcome tracking and retesting that improve the translator over time.</w:t>
            </w:r>
          </w:p>
        </w:tc>
      </w:tr>
      <w:tr w:rsidR="008473A0" w14:paraId="116D297C" w14:textId="77777777">
        <w:tc>
          <w:tcPr>
            <w:tcW w:w="4320" w:type="dxa"/>
          </w:tcPr>
          <w:p w14:paraId="5CA0F780" w14:textId="77777777" w:rsidR="008473A0" w:rsidRDefault="00000000">
            <w:r>
              <w:t>Dysbiosis</w:t>
            </w:r>
          </w:p>
        </w:tc>
        <w:tc>
          <w:tcPr>
            <w:tcW w:w="4320" w:type="dxa"/>
          </w:tcPr>
          <w:p w14:paraId="2643C870" w14:textId="77777777" w:rsidR="008473A0" w:rsidRDefault="00000000">
            <w:r>
              <w:t>A state where the gut microbiome composition is imbalanced relative to a reference, often associated with symptoms but not always causal.</w:t>
            </w:r>
          </w:p>
        </w:tc>
      </w:tr>
      <w:tr w:rsidR="008473A0" w14:paraId="2257FED2" w14:textId="77777777">
        <w:tc>
          <w:tcPr>
            <w:tcW w:w="4320" w:type="dxa"/>
          </w:tcPr>
          <w:p w14:paraId="23DD47C0" w14:textId="77777777" w:rsidR="008473A0" w:rsidRDefault="00000000">
            <w:r>
              <w:t>FMT (fecal microbiota transplant)</w:t>
            </w:r>
          </w:p>
        </w:tc>
        <w:tc>
          <w:tcPr>
            <w:tcW w:w="4320" w:type="dxa"/>
          </w:tcPr>
          <w:p w14:paraId="7B165216" w14:textId="77777777" w:rsidR="008473A0" w:rsidRDefault="00000000">
            <w:r>
              <w:t>Transfer of stool-derived microbial communities from a healthy donor to a recipient to modulate the microbiome.</w:t>
            </w:r>
          </w:p>
        </w:tc>
      </w:tr>
      <w:tr w:rsidR="008473A0" w14:paraId="5FB76534" w14:textId="77777777">
        <w:tc>
          <w:tcPr>
            <w:tcW w:w="4320" w:type="dxa"/>
          </w:tcPr>
          <w:p w14:paraId="24D77643" w14:textId="77777777" w:rsidR="008473A0" w:rsidRDefault="00000000">
            <w:r>
              <w:t>Prebiotic</w:t>
            </w:r>
          </w:p>
        </w:tc>
        <w:tc>
          <w:tcPr>
            <w:tcW w:w="4320" w:type="dxa"/>
          </w:tcPr>
          <w:p w14:paraId="78E0B61D" w14:textId="77777777" w:rsidR="008473A0" w:rsidRDefault="00000000">
            <w:r>
              <w:t>A substrate selectively utilized by host microorganisms that confers a health benefit.</w:t>
            </w:r>
          </w:p>
        </w:tc>
      </w:tr>
      <w:tr w:rsidR="008473A0" w14:paraId="2DD24FBC" w14:textId="77777777">
        <w:tc>
          <w:tcPr>
            <w:tcW w:w="4320" w:type="dxa"/>
          </w:tcPr>
          <w:p w14:paraId="19B260AC" w14:textId="77777777" w:rsidR="008473A0" w:rsidRDefault="00000000">
            <w:r>
              <w:t>Probiotic</w:t>
            </w:r>
          </w:p>
        </w:tc>
        <w:tc>
          <w:tcPr>
            <w:tcW w:w="4320" w:type="dxa"/>
          </w:tcPr>
          <w:p w14:paraId="6B3365B9" w14:textId="77777777" w:rsidR="008473A0" w:rsidRDefault="00000000">
            <w:r>
              <w:t xml:space="preserve">Live microorganisms which, when </w:t>
            </w:r>
            <w:r>
              <w:lastRenderedPageBreak/>
              <w:t>administered in adequate amounts, confer a health benefit on the host.</w:t>
            </w:r>
          </w:p>
        </w:tc>
      </w:tr>
      <w:tr w:rsidR="008473A0" w14:paraId="171D395C" w14:textId="77777777">
        <w:tc>
          <w:tcPr>
            <w:tcW w:w="4320" w:type="dxa"/>
          </w:tcPr>
          <w:p w14:paraId="7849BDEE" w14:textId="77777777" w:rsidR="008473A0" w:rsidRDefault="00000000">
            <w:r>
              <w:lastRenderedPageBreak/>
              <w:t>Postbiotic</w:t>
            </w:r>
          </w:p>
        </w:tc>
        <w:tc>
          <w:tcPr>
            <w:tcW w:w="4320" w:type="dxa"/>
          </w:tcPr>
          <w:p w14:paraId="40083D1C" w14:textId="77777777" w:rsidR="008473A0" w:rsidRDefault="00000000">
            <w:r>
              <w:t>Preparation of inanimate microorganisms and/or their components that confers a health benefit on the host (definitions vary).</w:t>
            </w:r>
          </w:p>
        </w:tc>
      </w:tr>
      <w:tr w:rsidR="008473A0" w14:paraId="2FECC86C" w14:textId="77777777">
        <w:tc>
          <w:tcPr>
            <w:tcW w:w="4320" w:type="dxa"/>
          </w:tcPr>
          <w:p w14:paraId="572E3E42" w14:textId="77777777" w:rsidR="008473A0" w:rsidRDefault="00000000">
            <w:r>
              <w:t>One-carbon metabolism / methyl donors</w:t>
            </w:r>
          </w:p>
        </w:tc>
        <w:tc>
          <w:tcPr>
            <w:tcW w:w="4320" w:type="dxa"/>
          </w:tcPr>
          <w:p w14:paraId="241760E4" w14:textId="77777777" w:rsidR="008473A0" w:rsidRDefault="00000000">
            <w:r>
              <w:t>Pathways and nutrients involved in methylation biology; often invoked in epigenetic narratives.</w:t>
            </w:r>
          </w:p>
        </w:tc>
      </w:tr>
    </w:tbl>
    <w:p w14:paraId="29D1968D" w14:textId="77777777" w:rsidR="008473A0" w:rsidRDefault="00000000">
      <w:pPr>
        <w:pStyle w:val="Heading1"/>
      </w:pPr>
      <w:r>
        <w:t>22. References (selected public sources)</w:t>
      </w:r>
    </w:p>
    <w:p w14:paraId="6889655A" w14:textId="77777777" w:rsidR="008473A0" w:rsidRDefault="00000000">
      <w:r>
        <w:t>R1: Precedence Research. Nutrigenomics Market Size, Share and Trends 2025 to 2034. (Published Nov 21, 2025). https://www.precedenceresearch.com/nutrigenomics-market</w:t>
      </w:r>
    </w:p>
    <w:p w14:paraId="7A022E7E" w14:textId="77777777" w:rsidR="008473A0" w:rsidRDefault="00000000">
      <w:r>
        <w:t>R2: Fortune Business Insights. Nutrigenomics Market report. https://www.fortunebusinessinsights.com/industry-reports/nutrigenomics-market-101099</w:t>
      </w:r>
    </w:p>
    <w:p w14:paraId="40BEA131" w14:textId="77777777" w:rsidR="008473A0" w:rsidRDefault="00000000">
      <w:r>
        <w:t>R3: Mordor Intelligence. Nutrigenomics Testing Market. https://www.mordorintelligence.com/industry-reports/nutrigenomics-testing-market</w:t>
      </w:r>
    </w:p>
    <w:p w14:paraId="6C3AB395" w14:textId="77777777" w:rsidR="008473A0" w:rsidRDefault="00000000">
      <w:r>
        <w:t>R4: MarketsandMarkets. Personalized Nutrition Market. https://www.marketsandmarkets.com/Market-Reports/personalized-nutrition-market-249208030.html</w:t>
      </w:r>
    </w:p>
    <w:p w14:paraId="230852B7" w14:textId="77777777" w:rsidR="008473A0" w:rsidRDefault="00000000">
      <w:r>
        <w:t>R5: Mordor Intelligence. Personalized Nutrition Market. https://www.mordorintelligence.com/industry-reports/personalized-nutrition-market</w:t>
      </w:r>
    </w:p>
    <w:p w14:paraId="115A0C6D" w14:textId="77777777" w:rsidR="008473A0" w:rsidRDefault="00000000">
      <w:r>
        <w:t>R6: Grand View Research. Pet Food Market. https://www.grandviewresearch.com/industry-analysis/pet-food-industry</w:t>
      </w:r>
    </w:p>
    <w:p w14:paraId="469B7230" w14:textId="77777777" w:rsidR="008473A0" w:rsidRDefault="00000000">
      <w:r>
        <w:t>R7: Reuters. General Mills introduces 'fresh' Blue Buffalo dog food (fresh pet food category size and forecast). (Jun 23, 2025). https://www.reuters.com/business/general-mills-introduces-fresh-blue-buffalo-dog-food-2025-06-23/</w:t>
      </w:r>
    </w:p>
    <w:p w14:paraId="547864F1" w14:textId="77777777" w:rsidR="008473A0" w:rsidRDefault="00000000">
      <w:r>
        <w:t>R8: Grand View Research. Animal Feed Additives Market. https://www.grandviewresearch.com/industry-analysis/animal-feed-additives-market</w:t>
      </w:r>
    </w:p>
    <w:p w14:paraId="29C552A9" w14:textId="77777777" w:rsidR="008473A0" w:rsidRDefault="00000000">
      <w:r>
        <w:t>R9: Grand View Research. Probiotics in Animal Feed Market. https://www.grandviewresearch.com/industry-analysis/probiotics-animal-feed-market-report</w:t>
      </w:r>
    </w:p>
    <w:p w14:paraId="1200E075" w14:textId="77777777" w:rsidR="008473A0" w:rsidRDefault="00000000">
      <w:r>
        <w:t>R10: MarketsandMarkets press release. Postbiotics Market worth $224.8 million by 2030. https://www.marketsandmarkets.com/PressReleases/postbiotics.asp</w:t>
      </w:r>
    </w:p>
    <w:p w14:paraId="46AFB1C9" w14:textId="77777777" w:rsidR="008473A0" w:rsidRDefault="00000000">
      <w:r>
        <w:t>R11: Food Manufacture. Pooch &amp; Mutt acquires dog gut health business. (Jan 31, 2025). https://www.foodmanufacture.co.uk/Article/2025/01/31/pooch-mutt-acquires-dog-gut-health-business/</w:t>
      </w:r>
    </w:p>
    <w:p w14:paraId="5D443838" w14:textId="77777777" w:rsidR="008473A0" w:rsidRDefault="00000000">
      <w:r>
        <w:lastRenderedPageBreak/>
        <w:t>R12: Pet Worldwide. Pooch &amp; Mutt acquires Biome9. (Feb 4, 2025). https://www.petworldwide.net/content-1/news/2025/02/04/pooch-mutt-acquires-biome9.html</w:t>
      </w:r>
    </w:p>
    <w:p w14:paraId="1D2DB222" w14:textId="77777777" w:rsidR="008473A0" w:rsidRDefault="00000000">
      <w:r>
        <w:t>R13: AnimalBiome. Our Science - Cat and Dog Microbiome Testing (consumer site). https://www.animalbiome.com/pages/our-science-1</w:t>
      </w:r>
    </w:p>
    <w:p w14:paraId="7D178A81" w14:textId="77777777" w:rsidR="008473A0" w:rsidRDefault="00000000">
      <w:r>
        <w:t>R14: AnimalBiome Veterinary. Our Science (veterinary site). https://animalbiome.vet/pages/our-science</w:t>
      </w:r>
    </w:p>
    <w:p w14:paraId="0B2973FF" w14:textId="77777777" w:rsidR="008473A0" w:rsidRDefault="00000000">
      <w:r>
        <w:t>R15: AnimalBiome. Gut Restore for Dogs product page (pricing and claims). https://www.animalbiome.com/products/doggybiome-gut-restore-supplement</w:t>
      </w:r>
    </w:p>
    <w:p w14:paraId="5053BE26" w14:textId="77777777" w:rsidR="008473A0" w:rsidRPr="00FD3AD7" w:rsidRDefault="00000000">
      <w:pPr>
        <w:rPr>
          <w:lang w:val="fr-FR"/>
        </w:rPr>
      </w:pPr>
      <w:r w:rsidRPr="00FD3AD7">
        <w:rPr>
          <w:lang w:val="fr-FR"/>
        </w:rPr>
        <w:t xml:space="preserve">R16: Toresson L, et al. </w:t>
      </w:r>
      <w:r>
        <w:t xml:space="preserve">Clinical Effects of Faecal Microbiota Transplantation as Adjunctive Therapy in Dogs with Chronic Enteropathies. </w:t>
      </w:r>
      <w:r w:rsidRPr="00FD3AD7">
        <w:rPr>
          <w:lang w:val="fr-FR"/>
        </w:rPr>
        <w:t>(2023). https://pmc.ncbi.nlm.nih.gov/articles/PMC10145442/</w:t>
      </w:r>
    </w:p>
    <w:p w14:paraId="37B2A0B5" w14:textId="77777777" w:rsidR="008473A0" w:rsidRDefault="00000000">
      <w:r w:rsidRPr="00FD3AD7">
        <w:rPr>
          <w:lang w:val="fr-FR"/>
        </w:rPr>
        <w:t xml:space="preserve">R17: Toresson L, et al. </w:t>
      </w:r>
      <w:r>
        <w:t>Repeated fecal microbiota transplantation in dogs with chronic enteropathy. J Am Vet Med Assoc. (2025). https://avmajournals.avma.org/view/journals/javma/aop/javma.25.08.0563/javma.25.08.0563.xml</w:t>
      </w:r>
    </w:p>
    <w:p w14:paraId="5ACBFE9E" w14:textId="77777777" w:rsidR="008473A0" w:rsidRDefault="00000000">
      <w:r>
        <w:t>R18: Liu S, et al. Effects and Microbiota Changes Following Oral Lyophilized FMT Capsules in Dogs with Chronic Diarrhea. (2025). https://pmc.ncbi.nlm.nih.gov/articles/PMC12474058/</w:t>
      </w:r>
    </w:p>
    <w:p w14:paraId="5EF3DC72" w14:textId="77777777" w:rsidR="008473A0" w:rsidRDefault="00000000">
      <w:r>
        <w:t>R19: U.S. FDA. Guidance: enforcement policy regarding IND requirements for use of fecal microbiota for transplantation. (Final guidance Nov 29, 2022). https://www.fda.gov/regulatory-information/search-fda-guidance-documents/enforcement-policy-regarding-investigational-new-drug-requirements-use-fecal-microbiota</w:t>
      </w:r>
    </w:p>
    <w:p w14:paraId="4C5CF494" w14:textId="77777777" w:rsidR="008473A0" w:rsidRDefault="00000000">
      <w:r>
        <w:t>R20: WATTAgNet. USA: Alltech opens nutrigenomics facility. (May 18, 2008). https://www.wattagnet.com/home/article/15481290/usa-alltech-opens-nutrigenomics-facility</w:t>
      </w:r>
    </w:p>
    <w:p w14:paraId="251FB293" w14:textId="77777777" w:rsidR="008473A0" w:rsidRDefault="00000000">
      <w:r>
        <w:t>R21: Alltech. Actigen product page. https://www.alltech.com/our-products/actigen</w:t>
      </w:r>
    </w:p>
    <w:p w14:paraId="4C127EF4" w14:textId="77777777" w:rsidR="008473A0" w:rsidRDefault="00000000">
      <w:r>
        <w:t>R22: Royal Canin Academy. Individualized pet nutrition (Individualis). https://academy.royalcanin.com/en/veterinary/individualized-pet-nutrition</w:t>
      </w:r>
    </w:p>
    <w:p w14:paraId="7C9D3067" w14:textId="77777777" w:rsidR="008473A0" w:rsidRDefault="00000000">
      <w:r>
        <w:t>R23: Royal Canin Individualis vet site notice (US availability). https://vet.individualis.com/</w:t>
      </w:r>
    </w:p>
    <w:p w14:paraId="3556D07C" w14:textId="77777777" w:rsidR="008473A0" w:rsidRPr="00FD3AD7" w:rsidRDefault="00000000">
      <w:pPr>
        <w:rPr>
          <w:lang w:val="fr-FR"/>
        </w:rPr>
      </w:pPr>
      <w:r>
        <w:t xml:space="preserve">R24: Virbac. New studies support the use of Novifit. </w:t>
      </w:r>
      <w:r w:rsidRPr="00FD3AD7">
        <w:rPr>
          <w:lang w:val="fr-FR"/>
        </w:rPr>
        <w:t>(Apr 12, 2012). https://us.virbac.com/home/resources/news/pagecontent/latest-announcements/new-studies-support.html</w:t>
      </w:r>
    </w:p>
    <w:p w14:paraId="5E8902A1" w14:textId="77777777" w:rsidR="008473A0" w:rsidRDefault="00000000">
      <w:r w:rsidRPr="00FD3AD7">
        <w:rPr>
          <w:lang w:val="fr-FR"/>
        </w:rPr>
        <w:t xml:space="preserve">R25: Rème CA, et al. </w:t>
      </w:r>
      <w:r>
        <w:t>Effect of S-adenosylmethionine tablets on age-related mental decline in dogs: a placebo-controlled trial. (2008). https://pubmed.ncbi.nlm.nih.gov/18597245/</w:t>
      </w:r>
    </w:p>
    <w:p w14:paraId="4936D5AC" w14:textId="77777777" w:rsidR="008473A0" w:rsidRDefault="00000000">
      <w:r>
        <w:lastRenderedPageBreak/>
        <w:t>R26: Purina Pro Plan. Bright Mind product pages / vet materials. https://www.proplanvetdirect.com/canine-pro-plan-bright-mind-adult-7-chicken-rice-formula</w:t>
      </w:r>
    </w:p>
    <w:p w14:paraId="57AFF2A3" w14:textId="77777777" w:rsidR="008473A0" w:rsidRDefault="00000000">
      <w:r>
        <w:t>R27: Bioiberica. Nucleoforce Pets HF. https://www.bioiberica.com/en/products/animal-health/nucleoforce-pets-hf</w:t>
      </w:r>
    </w:p>
    <w:p w14:paraId="13FC382D" w14:textId="77777777" w:rsidR="008473A0" w:rsidRDefault="00000000">
      <w:r>
        <w:t>R28: Food Ingredients First. Bioiberica unveils animal immunity and intestinal health Nucleoforce launch. (Oct 20, 2025). https://www.foodingredientsfirst.com/news/bioiberica-animal-immunity-nucleoforce-launch.html</w:t>
      </w:r>
    </w:p>
    <w:p w14:paraId="4E03CB79" w14:textId="7677E21A" w:rsidR="008473A0" w:rsidRDefault="00000000">
      <w:r>
        <w:t xml:space="preserve">R29: Tracxn. AnimalBiome company profile (funding timeline). </w:t>
      </w:r>
      <w:hyperlink r:id="rId6" w:history="1">
        <w:r w:rsidR="00FD3AD7" w:rsidRPr="00F62F52">
          <w:rPr>
            <w:rStyle w:val="Hyperlink"/>
          </w:rPr>
          <w:t>https://tracxn.com/d/companies/animalbiome/__S6-8HBaOKKcpTeIK17zSsWrWBsM7Vs7EjhoxfBaj-tQ</w:t>
        </w:r>
      </w:hyperlink>
    </w:p>
    <w:p w14:paraId="36B00777" w14:textId="77777777" w:rsidR="00FD3AD7" w:rsidRDefault="00FD3AD7"/>
    <w:p w14:paraId="14500B5A" w14:textId="77777777" w:rsidR="00FD3AD7" w:rsidRDefault="00FD3AD7"/>
    <w:sectPr w:rsidR="00FD3A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877309">
    <w:abstractNumId w:val="8"/>
  </w:num>
  <w:num w:numId="2" w16cid:durableId="244803854">
    <w:abstractNumId w:val="6"/>
  </w:num>
  <w:num w:numId="3" w16cid:durableId="1294096822">
    <w:abstractNumId w:val="5"/>
  </w:num>
  <w:num w:numId="4" w16cid:durableId="1300577004">
    <w:abstractNumId w:val="4"/>
  </w:num>
  <w:num w:numId="5" w16cid:durableId="1585263965">
    <w:abstractNumId w:val="7"/>
  </w:num>
  <w:num w:numId="6" w16cid:durableId="245307469">
    <w:abstractNumId w:val="3"/>
  </w:num>
  <w:num w:numId="7" w16cid:durableId="364406452">
    <w:abstractNumId w:val="2"/>
  </w:num>
  <w:num w:numId="8" w16cid:durableId="2082409053">
    <w:abstractNumId w:val="1"/>
  </w:num>
  <w:num w:numId="9" w16cid:durableId="710226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73A0"/>
    <w:rsid w:val="00AA1D8D"/>
    <w:rsid w:val="00B47730"/>
    <w:rsid w:val="00C27049"/>
    <w:rsid w:val="00CB0664"/>
    <w:rsid w:val="00FC693F"/>
    <w:rsid w:val="00FD3A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35E0EA-5814-154F-BA85-A57A8F9C4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3AD7"/>
    <w:rPr>
      <w:color w:val="0000FF" w:themeColor="hyperlink"/>
      <w:u w:val="single"/>
    </w:rPr>
  </w:style>
  <w:style w:type="character" w:styleId="UnresolvedMention">
    <w:name w:val="Unresolved Mention"/>
    <w:basedOn w:val="DefaultParagraphFont"/>
    <w:uiPriority w:val="99"/>
    <w:semiHidden/>
    <w:unhideWhenUsed/>
    <w:rsid w:val="00FD3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racxn.com/d/companies/animalbiome/__S6-8HBaOKKcpTeIK17zSsWrWBsM7Vs7EjhoxfBaj-tQ"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6092</Words>
  <Characters>34727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Céline Collin</cp:lastModifiedBy>
  <cp:revision>2</cp:revision>
  <dcterms:created xsi:type="dcterms:W3CDTF">2013-12-23T23:15:00Z</dcterms:created>
  <dcterms:modified xsi:type="dcterms:W3CDTF">2026-01-22T09:47:00Z</dcterms:modified>
  <cp:category/>
</cp:coreProperties>
</file>