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43C" w:rsidRPr="003A34C2" w:rsidRDefault="00F0343C" w:rsidP="00F0343C">
      <w:pPr>
        <w:pStyle w:val="Heading1"/>
      </w:pPr>
      <w:r>
        <w:t>2015</w:t>
      </w:r>
      <w:r w:rsidRPr="003A34C2">
        <w:t xml:space="preserve"> Computational Bioscience Program Preliminary Exam Day 3</w:t>
      </w:r>
    </w:p>
    <w:p w:rsidR="00F0343C" w:rsidRPr="003A34C2" w:rsidRDefault="00F0343C" w:rsidP="00F0343C">
      <w:pPr>
        <w:pStyle w:val="Heading2"/>
      </w:pPr>
      <w:r>
        <w:t>General i</w:t>
      </w:r>
      <w:r w:rsidRPr="003A34C2">
        <w:t>nstructions</w:t>
      </w:r>
    </w:p>
    <w:p w:rsidR="00F0343C" w:rsidRPr="008A3472" w:rsidRDefault="00F0343C" w:rsidP="00F0343C">
      <w:r w:rsidRPr="008A3472">
        <w:t xml:space="preserve">You are free to choose whatever programming language you like, but </w:t>
      </w:r>
      <w:r w:rsidRPr="00E4325D">
        <w:rPr>
          <w:b/>
        </w:rPr>
        <w:t xml:space="preserve">in general you may </w:t>
      </w:r>
      <w:r w:rsidRPr="007B4C59">
        <w:rPr>
          <w:b/>
          <w:u w:val="single"/>
        </w:rPr>
        <w:t>not</w:t>
      </w:r>
      <w:r w:rsidRPr="00E4325D">
        <w:rPr>
          <w:b/>
        </w:rPr>
        <w:t xml:space="preserve"> use any bioinformatics toolkits or libraries</w:t>
      </w:r>
      <w:r>
        <w:t xml:space="preserve">. You </w:t>
      </w:r>
      <w:r w:rsidRPr="00013B3A">
        <w:rPr>
          <w:i/>
        </w:rPr>
        <w:t>are</w:t>
      </w:r>
      <w:r>
        <w:t xml:space="preserve"> allowed to use</w:t>
      </w:r>
      <w:r w:rsidRPr="008A3472">
        <w:t xml:space="preserve"> </w:t>
      </w:r>
      <w:r>
        <w:t xml:space="preserve">libraries </w:t>
      </w:r>
      <w:r w:rsidRPr="008A3472">
        <w:t>for calculation of common statistical test</w:t>
      </w:r>
      <w:r>
        <w:t>s</w:t>
      </w:r>
      <w:r w:rsidRPr="008A3472">
        <w:t xml:space="preserve"> and p-values (like t-test, Wilcoxon, Kolmogorov Smirnoff, etc), </w:t>
      </w:r>
      <w:r>
        <w:t xml:space="preserve">but </w:t>
      </w:r>
      <w:r w:rsidRPr="008A3472">
        <w:t>you must fully cite the source. If there is any question about the eligibility of a specific statistical</w:t>
      </w:r>
      <w:r w:rsidR="00933058">
        <w:t xml:space="preserve"> test, do not hesitate to mail sonia.leach@gmail.com</w:t>
      </w:r>
      <w:r w:rsidRPr="008A3472">
        <w:t xml:space="preserve">. </w:t>
      </w:r>
      <w:r>
        <w:t xml:space="preserve"> </w:t>
      </w:r>
      <w:r w:rsidRPr="008A3472">
        <w:t>Also, if you are programming in C++, the use of the Standar</w:t>
      </w:r>
      <w:r>
        <w:t xml:space="preserve">d Template Libraries is allowed.  If you are programming in python, you may use scipy and the numpy multidimensional array library.  If there are questions, please send an email to sonia.leach@gmail.com; reasonable accommodations will be made with the goal of standardizing available data structures across languages that students may choose.  </w:t>
      </w:r>
    </w:p>
    <w:p w:rsidR="00E165B5" w:rsidRDefault="00F0343C" w:rsidP="00F0343C">
      <w:r w:rsidRPr="008A3472">
        <w:t xml:space="preserve">This portion of the exam is a test of your individual algorithmic design and programming skills. </w:t>
      </w:r>
      <w:r w:rsidRPr="00F0343C">
        <w:rPr>
          <w:i/>
          <w:u w:val="single"/>
        </w:rPr>
        <w:t>Do not communicate with anyone else about the exam</w:t>
      </w:r>
      <w:r w:rsidRPr="008A3472">
        <w:t>.  If you want clarification abou</w:t>
      </w:r>
      <w:r>
        <w:t>t anything else, you may email sonia.leach@gmail.com.</w:t>
      </w:r>
    </w:p>
    <w:p w:rsidR="00F0343C" w:rsidRPr="008A3472" w:rsidRDefault="00F0343C" w:rsidP="00F0343C">
      <w:pPr>
        <w:pStyle w:val="Heading2"/>
      </w:pPr>
      <w:r>
        <w:t>Submission</w:t>
      </w:r>
    </w:p>
    <w:p w:rsidR="00F0343C" w:rsidRDefault="00F0343C" w:rsidP="00F0343C">
      <w:r w:rsidRPr="008A3472">
        <w:t>You must submit</w:t>
      </w:r>
      <w:bookmarkStart w:id="0" w:name="_GoBack"/>
      <w:bookmarkEnd w:id="0"/>
      <w:r w:rsidRPr="008A3472">
        <w:t xml:space="preserve"> your </w:t>
      </w:r>
      <w:r>
        <w:t>exam</w:t>
      </w:r>
      <w:r w:rsidR="00684FB0">
        <w:t xml:space="preserve">, which consists of the following components, </w:t>
      </w:r>
      <w:r w:rsidRPr="008A3472">
        <w:t xml:space="preserve">by </w:t>
      </w:r>
      <w:r w:rsidR="004A75E5">
        <w:rPr>
          <w:b/>
        </w:rPr>
        <w:t>8</w:t>
      </w:r>
      <w:r w:rsidR="001F0668">
        <w:rPr>
          <w:b/>
        </w:rPr>
        <w:t>:00 a</w:t>
      </w:r>
      <w:r w:rsidRPr="00BB45EC">
        <w:rPr>
          <w:b/>
        </w:rPr>
        <w:t>.m., Wednesday,</w:t>
      </w:r>
      <w:r w:rsidR="004A75E5">
        <w:rPr>
          <w:b/>
        </w:rPr>
        <w:t xml:space="preserve"> June</w:t>
      </w:r>
      <w:r>
        <w:rPr>
          <w:b/>
        </w:rPr>
        <w:t xml:space="preserve"> </w:t>
      </w:r>
      <w:r w:rsidR="001F0668">
        <w:rPr>
          <w:b/>
        </w:rPr>
        <w:t xml:space="preserve">10 </w:t>
      </w:r>
      <w:r w:rsidR="001F0668">
        <w:t xml:space="preserve">via email to </w:t>
      </w:r>
      <w:r w:rsidR="001F0668" w:rsidRPr="001F0668">
        <w:t>Anis.Karimpour-Fard@ucdenver.edu</w:t>
      </w:r>
      <w:r w:rsidR="001F0668">
        <w:t xml:space="preserve"> and Sonia.Leach@gmail.com</w:t>
      </w:r>
      <w:r w:rsidR="00684FB0">
        <w:t>:</w:t>
      </w:r>
    </w:p>
    <w:p w:rsidR="009F70A5" w:rsidRDefault="009F70A5" w:rsidP="009F70A5">
      <w:pPr>
        <w:pStyle w:val="ListParagraph"/>
        <w:numPr>
          <w:ilvl w:val="0"/>
          <w:numId w:val="1"/>
        </w:numPr>
      </w:pPr>
      <w:r w:rsidRPr="009F70A5">
        <w:rPr>
          <w:b/>
        </w:rPr>
        <w:t>Written report</w:t>
      </w:r>
    </w:p>
    <w:p w:rsidR="009F70A5" w:rsidRDefault="009F70A5" w:rsidP="009F70A5">
      <w:pPr>
        <w:pStyle w:val="ListParagraph"/>
        <w:numPr>
          <w:ilvl w:val="0"/>
          <w:numId w:val="1"/>
        </w:numPr>
      </w:pPr>
      <w:r w:rsidRPr="009F70A5">
        <w:rPr>
          <w:b/>
        </w:rPr>
        <w:t xml:space="preserve">Algorithm pseudocode </w:t>
      </w:r>
    </w:p>
    <w:p w:rsidR="009F70A5" w:rsidRPr="009F70A5" w:rsidRDefault="00F0343C" w:rsidP="009F70A5">
      <w:pPr>
        <w:pStyle w:val="ListParagraph"/>
        <w:numPr>
          <w:ilvl w:val="0"/>
          <w:numId w:val="1"/>
        </w:numPr>
        <w:rPr>
          <w:b/>
        </w:rPr>
      </w:pPr>
      <w:r w:rsidRPr="009F70A5">
        <w:rPr>
          <w:b/>
        </w:rPr>
        <w:t>Documented program code</w:t>
      </w:r>
      <w:r w:rsidR="009F70A5" w:rsidRPr="009F70A5">
        <w:rPr>
          <w:b/>
        </w:rPr>
        <w:t xml:space="preserve"> </w:t>
      </w:r>
    </w:p>
    <w:p w:rsidR="009F70A5" w:rsidRDefault="009F70A5" w:rsidP="009F70A5">
      <w:pPr>
        <w:pStyle w:val="ListParagraph"/>
        <w:numPr>
          <w:ilvl w:val="0"/>
          <w:numId w:val="1"/>
        </w:numPr>
      </w:pPr>
      <w:r w:rsidRPr="009F70A5">
        <w:rPr>
          <w:b/>
        </w:rPr>
        <w:t>Program O</w:t>
      </w:r>
      <w:r w:rsidR="001F0668" w:rsidRPr="009F70A5">
        <w:rPr>
          <w:b/>
        </w:rPr>
        <w:t>utput</w:t>
      </w:r>
      <w:r w:rsidR="00835088">
        <w:rPr>
          <w:b/>
        </w:rPr>
        <w:t xml:space="preserve"> (gzipped)</w:t>
      </w:r>
    </w:p>
    <w:p w:rsidR="00F0343C" w:rsidRPr="00F95B12" w:rsidRDefault="00F0343C" w:rsidP="00F0343C">
      <w:pPr>
        <w:ind w:left="450"/>
        <w:rPr>
          <w:i/>
        </w:rPr>
      </w:pPr>
      <w:r>
        <w:t xml:space="preserve"> Provide in your submission a README.txt file that includes detailed, concise instructions on how to install your program and its dependencies within a basic environment.  To ease the burden on the grader</w:t>
      </w:r>
      <w:r w:rsidR="001F0668">
        <w:t>s (Anis and Sonia</w:t>
      </w:r>
      <w:r>
        <w:t xml:space="preserve">), we ask that you be available to troubleshoot should there be difficulties with installation </w:t>
      </w:r>
      <w:r w:rsidR="001F0668">
        <w:t>in the remainder of the week</w:t>
      </w:r>
      <w:r>
        <w:t xml:space="preserve"> following the exam sub</w:t>
      </w:r>
      <w:r w:rsidR="001F0668">
        <w:t xml:space="preserve">mission. </w:t>
      </w:r>
      <w:r w:rsidR="001F0668" w:rsidRPr="00933058">
        <w:rPr>
          <w:b/>
        </w:rPr>
        <w:t xml:space="preserve">Better yet would be to email Anis </w:t>
      </w:r>
      <w:r w:rsidRPr="00933058">
        <w:rPr>
          <w:b/>
        </w:rPr>
        <w:t xml:space="preserve">a 'Hello World' type program </w:t>
      </w:r>
      <w:r w:rsidR="001F0668" w:rsidRPr="00933058">
        <w:rPr>
          <w:b/>
        </w:rPr>
        <w:t xml:space="preserve">written in your language of choice </w:t>
      </w:r>
      <w:r w:rsidRPr="00933058">
        <w:rPr>
          <w:b/>
        </w:rPr>
        <w:t xml:space="preserve">before </w:t>
      </w:r>
      <w:r w:rsidR="001F0668" w:rsidRPr="00933058">
        <w:rPr>
          <w:b/>
        </w:rPr>
        <w:t xml:space="preserve">your submission (say by Friday June 5) so we can work out any installation issues. </w:t>
      </w:r>
      <w:r>
        <w:t xml:space="preserve"> If you use additional data sources, you must upload and fully d</w:t>
      </w:r>
      <w:r w:rsidR="00F95B12">
        <w:t>escribe these data sets as well. If the submission becomes too big for email, please send the report and pseudocode via email and provide a dropbox l</w:t>
      </w:r>
      <w:r w:rsidR="00533452">
        <w:t>ink shared to Anis and Sonia that contains</w:t>
      </w:r>
      <w:r w:rsidR="00F95B12">
        <w:t xml:space="preserve"> the remainder.</w:t>
      </w:r>
    </w:p>
    <w:p w:rsidR="00F0343C" w:rsidRPr="008A3472" w:rsidRDefault="00F0343C" w:rsidP="00F0343C">
      <w:pPr>
        <w:pStyle w:val="Heading2"/>
      </w:pPr>
      <w:r>
        <w:t>Grading</w:t>
      </w:r>
    </w:p>
    <w:p w:rsidR="009F70A5" w:rsidRDefault="00F0343C" w:rsidP="00F0343C">
      <w:r w:rsidRPr="008A3472">
        <w:t xml:space="preserve">Your work will be graded based upon three components: a written report (25%), algorithm pseudocode (25%), and implementation (50%). </w:t>
      </w:r>
      <w:r w:rsidRPr="00740C72">
        <w:rPr>
          <w:b/>
        </w:rPr>
        <w:t>The written report</w:t>
      </w:r>
      <w:r w:rsidRPr="008A3472">
        <w:t xml:space="preserve"> should describe and justify your strategy, define the input files, present the algorithm overview, define any scoring methods, and detail the expected output files. The report should also contain an analysis of the final results and discussion. </w:t>
      </w:r>
      <w:r>
        <w:t xml:space="preserve">You should cite the appropriate scientific literature where appropriate. </w:t>
      </w:r>
      <w:r w:rsidRPr="00740C72">
        <w:rPr>
          <w:b/>
        </w:rPr>
        <w:t>The pseudocode</w:t>
      </w:r>
      <w:r w:rsidRPr="008A3472">
        <w:t xml:space="preserve"> should describe and contain comments for each step of the process. </w:t>
      </w:r>
      <w:r w:rsidRPr="00740C72">
        <w:rPr>
          <w:b/>
        </w:rPr>
        <w:t>The implementation</w:t>
      </w:r>
      <w:r w:rsidRPr="008A3472">
        <w:t xml:space="preserve"> must include a working program with extensive comments describing each step, as well</w:t>
      </w:r>
      <w:r>
        <w:t xml:space="preserve"> as </w:t>
      </w:r>
      <w:r w:rsidR="00835088">
        <w:t xml:space="preserve">describing </w:t>
      </w:r>
      <w:r>
        <w:t>all input and output files.</w:t>
      </w:r>
    </w:p>
    <w:p w:rsidR="00F0343C" w:rsidRDefault="00F0343C" w:rsidP="00F0343C">
      <w:pPr>
        <w:pStyle w:val="Heading2"/>
      </w:pPr>
      <w:r>
        <w:lastRenderedPageBreak/>
        <w:t>Programming problem</w:t>
      </w:r>
    </w:p>
    <w:p w:rsidR="00AE005E" w:rsidRDefault="00AE005E" w:rsidP="00AE005E">
      <w:pPr>
        <w:spacing w:after="0"/>
      </w:pPr>
    </w:p>
    <w:p w:rsidR="00AE005E" w:rsidRDefault="00AE005E" w:rsidP="00AE005E">
      <w:pPr>
        <w:spacing w:after="0"/>
      </w:pPr>
      <w:r>
        <w:t>There are m</w:t>
      </w:r>
      <w:r w:rsidR="009F70A5">
        <w:t>any applications wherein</w:t>
      </w:r>
      <w:r>
        <w:t xml:space="preserve"> a researcher would like to know the sequence context around a given query sequence they suspect exists in their sample. For example, gene targeting may be used to create a knock-out model and the researcher would like to verify that the target vector was incorporated into the right place in the genome. Alternatively, a researcher might wish to fully identify suspected contaminating sequences that would indicate the presence and/or source of unclean sample handling procedures in the laboratory, such as </w:t>
      </w:r>
      <w:r w:rsidR="00786C8E">
        <w:t xml:space="preserve">a  specific </w:t>
      </w:r>
      <w:r>
        <w:t>PCR primer contamination.</w:t>
      </w:r>
    </w:p>
    <w:p w:rsidR="00AE005E" w:rsidRDefault="00AE005E" w:rsidP="00AE005E">
      <w:pPr>
        <w:spacing w:after="0"/>
      </w:pPr>
    </w:p>
    <w:p w:rsidR="00AE005E" w:rsidRDefault="00AE005E" w:rsidP="00AE005E">
      <w:pPr>
        <w:spacing w:after="0"/>
        <w:rPr>
          <w:b/>
        </w:rPr>
      </w:pPr>
      <w:r w:rsidRPr="00EE408F">
        <w:rPr>
          <w:b/>
        </w:rPr>
        <w:t>Create a program that takes as input the set of all next-generation sequencing reads identified in a sample and an initial query sequence and returns the largest sequence contig that can be constructed from the reads that contains the initial query sequence.</w:t>
      </w:r>
    </w:p>
    <w:p w:rsidR="00A967E7" w:rsidRDefault="00A967E7" w:rsidP="00AE005E">
      <w:pPr>
        <w:spacing w:after="0"/>
        <w:rPr>
          <w:b/>
        </w:rPr>
      </w:pPr>
    </w:p>
    <w:p w:rsidR="009F70A5" w:rsidRDefault="00910449" w:rsidP="00AE005E">
      <w:pPr>
        <w:spacing w:after="0"/>
        <w:rPr>
          <w:b/>
        </w:rPr>
      </w:pPr>
      <w:r w:rsidRPr="00910449">
        <w:rPr>
          <w:b/>
          <w:noProof/>
        </w:rPr>
        <w:drawing>
          <wp:inline distT="0" distB="0" distL="0" distR="0">
            <wp:extent cx="5943600" cy="2034540"/>
            <wp:effectExtent l="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2895600"/>
                      <a:chOff x="304800" y="533400"/>
                      <a:chExt cx="8458200" cy="2895600"/>
                    </a:xfrm>
                  </a:grpSpPr>
                  <a:grpSp>
                    <a:nvGrpSpPr>
                      <a:cNvPr id="27" name="Group 26"/>
                      <a:cNvGrpSpPr/>
                    </a:nvGrpSpPr>
                    <a:grpSpPr>
                      <a:xfrm>
                        <a:off x="304800" y="533400"/>
                        <a:ext cx="8458200" cy="2895600"/>
                        <a:chOff x="304800" y="533400"/>
                        <a:chExt cx="8458200" cy="2895600"/>
                      </a:xfrm>
                    </a:grpSpPr>
                    <a:grpSp>
                      <a:nvGrpSpPr>
                        <a:cNvPr id="3" name="Group 24"/>
                        <a:cNvGrpSpPr/>
                      </a:nvGrpSpPr>
                      <a:grpSpPr>
                        <a:xfrm>
                          <a:off x="304800" y="533400"/>
                          <a:ext cx="8458200" cy="2895600"/>
                          <a:chOff x="304800" y="533400"/>
                          <a:chExt cx="8458200" cy="2895600"/>
                        </a:xfrm>
                      </a:grpSpPr>
                      <a:sp>
                        <a:nvSpPr>
                          <a:cNvPr id="6" name="TextBox 5"/>
                          <a:cNvSpPr txBox="1"/>
                        </a:nvSpPr>
                        <a:spPr>
                          <a:xfrm>
                            <a:off x="3116903" y="2909159"/>
                            <a:ext cx="56460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rgbClr val="00B050"/>
                                  </a:solidFill>
                                </a:rPr>
                                <a:t>XXXXXXXXXXXXXXXXXXXXXXXXX</a:t>
                              </a:r>
                              <a:r>
                                <a:rPr lang="en-US" b="1" dirty="0" smtClean="0">
                                  <a:solidFill>
                                    <a:schemeClr val="tx2">
                                      <a:lumMod val="60000"/>
                                      <a:lumOff val="40000"/>
                                    </a:schemeClr>
                                  </a:solidFill>
                                </a:rPr>
                                <a:t>ZZZZZZZZZZZZ</a:t>
                              </a:r>
                              <a:r>
                                <a:rPr lang="en-US" sz="1600" b="1" dirty="0" smtClean="0">
                                  <a:solidFill>
                                    <a:schemeClr val="accent6">
                                      <a:lumMod val="75000"/>
                                    </a:schemeClr>
                                  </a:solidFill>
                                </a:rPr>
                                <a:t>YYYYYYYYYYYY</a:t>
                              </a:r>
                              <a:endParaRPr lang="en-US" sz="1600" b="1" dirty="0">
                                <a:solidFill>
                                  <a:schemeClr val="accent6">
                                    <a:lumMod val="75000"/>
                                  </a:schemeClr>
                                </a:solidFill>
                              </a:endParaRPr>
                            </a:p>
                          </a:txBody>
                          <a:useSpRect/>
                        </a:txSp>
                      </a:sp>
                      <a:sp>
                        <a:nvSpPr>
                          <a:cNvPr id="7" name="TextBox 6"/>
                          <a:cNvSpPr txBox="1"/>
                        </a:nvSpPr>
                        <a:spPr>
                          <a:xfrm>
                            <a:off x="762000" y="533400"/>
                            <a:ext cx="239956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Input Query Sequence: </a:t>
                              </a:r>
                              <a:endParaRPr lang="en-US" dirty="0"/>
                            </a:p>
                          </a:txBody>
                          <a:useSpRect/>
                        </a:txSp>
                      </a:sp>
                      <a:sp>
                        <a:nvSpPr>
                          <a:cNvPr id="8" name="TextBox 7"/>
                          <a:cNvSpPr txBox="1"/>
                        </a:nvSpPr>
                        <a:spPr>
                          <a:xfrm>
                            <a:off x="762000" y="1078468"/>
                            <a:ext cx="24600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Input Sequencer Reads: </a:t>
                              </a:r>
                              <a:endParaRPr lang="en-US" dirty="0"/>
                            </a:p>
                          </a:txBody>
                          <a:useSpRect/>
                        </a:txSp>
                      </a:sp>
                      <a:sp>
                        <a:nvSpPr>
                          <a:cNvPr id="9" name="TextBox 8"/>
                          <a:cNvSpPr txBox="1"/>
                        </a:nvSpPr>
                        <a:spPr>
                          <a:xfrm>
                            <a:off x="4204536" y="1109246"/>
                            <a:ext cx="1382110"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60000"/>
                                      <a:lumOff val="40000"/>
                                    </a:schemeClr>
                                  </a:solidFill>
                                </a:rPr>
                                <a:t>ZZZZ</a:t>
                              </a:r>
                              <a:r>
                                <a:rPr lang="en-US" sz="1600" b="1" dirty="0" smtClean="0">
                                  <a:solidFill>
                                    <a:schemeClr val="bg2">
                                      <a:lumMod val="75000"/>
                                    </a:schemeClr>
                                  </a:solidFill>
                                </a:rPr>
                                <a:t>W</a:t>
                              </a:r>
                              <a:r>
                                <a:rPr lang="en-US" sz="1600" b="1" dirty="0" smtClean="0">
                                  <a:solidFill>
                                    <a:schemeClr val="tx2">
                                      <a:lumMod val="60000"/>
                                      <a:lumOff val="40000"/>
                                    </a:schemeClr>
                                  </a:solidFill>
                                </a:rPr>
                                <a:t>Z</a:t>
                              </a:r>
                              <a:r>
                                <a:rPr lang="en-US" sz="1600" b="1" dirty="0" smtClean="0">
                                  <a:solidFill>
                                    <a:schemeClr val="accent6">
                                      <a:lumMod val="75000"/>
                                    </a:schemeClr>
                                  </a:solidFill>
                                </a:rPr>
                                <a:t>Y</a:t>
                              </a:r>
                              <a:r>
                                <a:rPr lang="en-US" sz="1600" b="1" dirty="0" smtClean="0">
                                  <a:solidFill>
                                    <a:schemeClr val="tx2">
                                      <a:lumMod val="60000"/>
                                      <a:lumOff val="40000"/>
                                    </a:schemeClr>
                                  </a:solidFill>
                                </a:rPr>
                                <a:t>Z</a:t>
                              </a:r>
                              <a:r>
                                <a:rPr lang="en-US" sz="1600" b="1" dirty="0" smtClean="0">
                                  <a:solidFill>
                                    <a:schemeClr val="accent6">
                                      <a:lumMod val="75000"/>
                                    </a:schemeClr>
                                  </a:solidFill>
                                </a:rPr>
                                <a:t>YYY</a:t>
                              </a:r>
                              <a:endParaRPr lang="en-US" sz="1600" b="1" dirty="0">
                                <a:solidFill>
                                  <a:schemeClr val="accent6">
                                    <a:lumMod val="75000"/>
                                  </a:schemeClr>
                                </a:solidFill>
                              </a:endParaRPr>
                            </a:p>
                          </a:txBody>
                          <a:useSpRect/>
                        </a:txSp>
                      </a:sp>
                      <a:sp>
                        <a:nvSpPr>
                          <a:cNvPr id="10" name="Rectangle 9"/>
                          <a:cNvSpPr/>
                        </a:nvSpPr>
                        <a:spPr>
                          <a:xfrm>
                            <a:off x="3949874" y="1447800"/>
                            <a:ext cx="1128835" cy="338554"/>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rgbClr val="00B050"/>
                                  </a:solidFill>
                                </a:rPr>
                                <a:t>XXXX</a:t>
                              </a:r>
                              <a:r>
                                <a:rPr lang="en-US" sz="1600" b="1" dirty="0" smtClean="0">
                                  <a:solidFill>
                                    <a:schemeClr val="tx2">
                                      <a:lumMod val="60000"/>
                                      <a:lumOff val="40000"/>
                                    </a:schemeClr>
                                  </a:solidFill>
                                </a:rPr>
                                <a:t>ZZZZZ</a:t>
                              </a:r>
                              <a:endParaRPr lang="en-US" sz="1600" dirty="0"/>
                            </a:p>
                          </a:txBody>
                          <a:useSpRect/>
                        </a:txSp>
                      </a:sp>
                      <a:sp>
                        <a:nvSpPr>
                          <a:cNvPr id="11" name="Rectangle 10"/>
                          <a:cNvSpPr/>
                        </a:nvSpPr>
                        <a:spPr>
                          <a:xfrm>
                            <a:off x="5287445" y="1295400"/>
                            <a:ext cx="808555" cy="338554"/>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60000"/>
                                      <a:lumOff val="40000"/>
                                    </a:schemeClr>
                                  </a:solidFill>
                                </a:rPr>
                                <a:t>ZZ</a:t>
                              </a:r>
                              <a:r>
                                <a:rPr lang="en-US" sz="1600" b="1" dirty="0" smtClean="0">
                                  <a:solidFill>
                                    <a:schemeClr val="accent6">
                                      <a:lumMod val="75000"/>
                                    </a:schemeClr>
                                  </a:solidFill>
                                </a:rPr>
                                <a:t>YYYY</a:t>
                              </a:r>
                              <a:endParaRPr lang="en-US" sz="1600" dirty="0"/>
                            </a:p>
                          </a:txBody>
                          <a:useSpRect/>
                        </a:txSp>
                      </a:sp>
                      <a:sp>
                        <a:nvSpPr>
                          <a:cNvPr id="12" name="Rectangle 11"/>
                          <a:cNvSpPr/>
                        </a:nvSpPr>
                        <a:spPr>
                          <a:xfrm>
                            <a:off x="3352800" y="1752600"/>
                            <a:ext cx="673582" cy="338554"/>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60000"/>
                                      <a:lumOff val="40000"/>
                                    </a:schemeClr>
                                  </a:solidFill>
                                </a:rPr>
                                <a:t>ZZZZZ</a:t>
                              </a:r>
                              <a:endParaRPr lang="en-US" sz="1600" dirty="0"/>
                            </a:p>
                          </a:txBody>
                          <a:useSpRect/>
                        </a:txSp>
                      </a:sp>
                      <a:sp>
                        <a:nvSpPr>
                          <a:cNvPr id="13" name="Rectangle 12"/>
                          <a:cNvSpPr/>
                        </a:nvSpPr>
                        <a:spPr>
                          <a:xfrm>
                            <a:off x="4036436" y="2023646"/>
                            <a:ext cx="981359" cy="338554"/>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rgbClr val="00B050"/>
                                  </a:solidFill>
                                </a:rPr>
                                <a:t>XXXXXXX</a:t>
                              </a:r>
                              <a:endParaRPr lang="en-US" sz="1600" dirty="0"/>
                            </a:p>
                          </a:txBody>
                          <a:useSpRect/>
                        </a:txSp>
                      </a:sp>
                      <a:sp>
                        <a:nvSpPr>
                          <a:cNvPr id="14" name="Rectangle 13"/>
                          <a:cNvSpPr/>
                        </a:nvSpPr>
                        <a:spPr>
                          <a:xfrm>
                            <a:off x="4885927" y="1718846"/>
                            <a:ext cx="829073" cy="338554"/>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accent6">
                                      <a:lumMod val="75000"/>
                                    </a:schemeClr>
                                  </a:solidFill>
                                </a:rPr>
                                <a:t>YYYYYY</a:t>
                              </a:r>
                              <a:endParaRPr lang="en-US" sz="1600" dirty="0"/>
                            </a:p>
                          </a:txBody>
                          <a:useSpRect/>
                        </a:txSp>
                      </a:sp>
                      <a:sp>
                        <a:nvSpPr>
                          <a:cNvPr id="15" name="Rectangle 14"/>
                          <a:cNvSpPr/>
                        </a:nvSpPr>
                        <a:spPr>
                          <a:xfrm>
                            <a:off x="5967898" y="1676400"/>
                            <a:ext cx="646331" cy="338554"/>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accent4">
                                      <a:lumMod val="60000"/>
                                      <a:lumOff val="40000"/>
                                    </a:schemeClr>
                                  </a:solidFill>
                                </a:rPr>
                                <a:t>BBBB</a:t>
                              </a:r>
                              <a:endParaRPr lang="en-US" sz="1600" dirty="0">
                                <a:solidFill>
                                  <a:schemeClr val="accent4">
                                    <a:lumMod val="60000"/>
                                    <a:lumOff val="40000"/>
                                  </a:schemeClr>
                                </a:solidFill>
                              </a:endParaRPr>
                            </a:p>
                          </a:txBody>
                          <a:useSpRect/>
                        </a:txSp>
                      </a:sp>
                      <a:sp>
                        <a:nvSpPr>
                          <a:cNvPr id="16" name="Rectangle 15"/>
                          <a:cNvSpPr/>
                        </a:nvSpPr>
                        <a:spPr>
                          <a:xfrm>
                            <a:off x="5715000" y="2023646"/>
                            <a:ext cx="1162306" cy="338554"/>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accent4">
                                      <a:lumMod val="60000"/>
                                      <a:lumOff val="40000"/>
                                    </a:schemeClr>
                                  </a:solidFill>
                                </a:rPr>
                                <a:t>BBBB</a:t>
                              </a:r>
                              <a:r>
                                <a:rPr lang="en-US" sz="1600" b="1" dirty="0" smtClean="0">
                                  <a:solidFill>
                                    <a:srgbClr val="00B050"/>
                                  </a:solidFill>
                                </a:rPr>
                                <a:t>XX</a:t>
                              </a:r>
                              <a:r>
                                <a:rPr lang="en-US" sz="1600" b="1" dirty="0" smtClean="0">
                                  <a:solidFill>
                                    <a:schemeClr val="tx2">
                                      <a:lumMod val="60000"/>
                                      <a:lumOff val="40000"/>
                                    </a:schemeClr>
                                  </a:solidFill>
                                </a:rPr>
                                <a:t>ZZZ</a:t>
                              </a:r>
                              <a:endParaRPr lang="en-US" sz="1600" dirty="0">
                                <a:solidFill>
                                  <a:schemeClr val="tx2">
                                    <a:lumMod val="60000"/>
                                    <a:lumOff val="40000"/>
                                  </a:schemeClr>
                                </a:solidFill>
                              </a:endParaRPr>
                            </a:p>
                          </a:txBody>
                          <a:useSpRect/>
                        </a:txSp>
                      </a:sp>
                      <a:sp>
                        <a:nvSpPr>
                          <a:cNvPr id="17" name="Rectangle 16"/>
                          <a:cNvSpPr/>
                        </a:nvSpPr>
                        <a:spPr>
                          <a:xfrm>
                            <a:off x="3087699" y="1371600"/>
                            <a:ext cx="950901" cy="338554"/>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accent6">
                                      <a:lumMod val="75000"/>
                                    </a:schemeClr>
                                  </a:solidFill>
                                </a:rPr>
                                <a:t>YYYYY</a:t>
                              </a:r>
                              <a:r>
                                <a:rPr lang="en-US" sz="1600" b="1" dirty="0" smtClean="0">
                                  <a:solidFill>
                                    <a:srgbClr val="0070C0"/>
                                  </a:solidFill>
                                </a:rPr>
                                <a:t>V</a:t>
                              </a:r>
                              <a:r>
                                <a:rPr lang="en-US" sz="1600" b="1" dirty="0" smtClean="0">
                                  <a:solidFill>
                                    <a:schemeClr val="accent6">
                                      <a:lumMod val="75000"/>
                                    </a:schemeClr>
                                  </a:solidFill>
                                </a:rPr>
                                <a:t>Y</a:t>
                              </a:r>
                              <a:endParaRPr lang="en-US" sz="1600" dirty="0"/>
                            </a:p>
                          </a:txBody>
                          <a:useSpRect/>
                        </a:txSp>
                      </a:sp>
                      <a:sp>
                        <a:nvSpPr>
                          <a:cNvPr id="18" name="TextBox 17"/>
                          <a:cNvSpPr txBox="1"/>
                        </a:nvSpPr>
                        <a:spPr>
                          <a:xfrm>
                            <a:off x="7182918" y="1295400"/>
                            <a:ext cx="513282"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b="1" dirty="0" smtClean="0">
                                  <a:solidFill>
                                    <a:srgbClr val="0070C0"/>
                                  </a:solidFill>
                                </a:rPr>
                                <a:t>…</a:t>
                              </a:r>
                              <a:endParaRPr lang="en-US" sz="3600" b="1" dirty="0">
                                <a:solidFill>
                                  <a:srgbClr val="0070C0"/>
                                </a:solidFill>
                              </a:endParaRPr>
                            </a:p>
                          </a:txBody>
                          <a:useSpRect/>
                        </a:txSp>
                      </a:sp>
                      <a:sp>
                        <a:nvSpPr>
                          <a:cNvPr id="19" name="Rectangle 18"/>
                          <a:cNvSpPr/>
                        </a:nvSpPr>
                        <a:spPr>
                          <a:xfrm>
                            <a:off x="3124200" y="1066800"/>
                            <a:ext cx="5334000" cy="1447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0" name="Group 23"/>
                          <a:cNvGrpSpPr/>
                        </a:nvGrpSpPr>
                        <a:grpSpPr>
                          <a:xfrm>
                            <a:off x="3124200" y="563320"/>
                            <a:ext cx="1447800" cy="351080"/>
                            <a:chOff x="3048000" y="563320"/>
                            <a:chExt cx="1447800" cy="351080"/>
                          </a:xfrm>
                        </a:grpSpPr>
                        <a:sp>
                          <a:nvSpPr>
                            <a:cNvPr id="5" name="TextBox 4"/>
                            <a:cNvSpPr txBox="1"/>
                          </a:nvSpPr>
                          <a:spPr>
                            <a:xfrm>
                              <a:off x="3048000" y="563320"/>
                              <a:ext cx="1358064"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60000"/>
                                        <a:lumOff val="40000"/>
                                      </a:schemeClr>
                                    </a:solidFill>
                                  </a:rPr>
                                  <a:t>ZZZZZZZZZZZZ</a:t>
                                </a:r>
                                <a:endParaRPr lang="en-US" sz="1600" b="1" dirty="0">
                                  <a:solidFill>
                                    <a:schemeClr val="tx2">
                                      <a:lumMod val="60000"/>
                                      <a:lumOff val="40000"/>
                                    </a:schemeClr>
                                  </a:solidFill>
                                </a:endParaRPr>
                              </a:p>
                            </a:txBody>
                            <a:useSpRect/>
                          </a:txSp>
                        </a:sp>
                        <a:sp>
                          <a:nvSpPr>
                            <a:cNvPr id="2" name="Rectangle 19"/>
                            <a:cNvSpPr/>
                          </a:nvSpPr>
                          <a:spPr>
                            <a:xfrm>
                              <a:off x="3048000" y="609600"/>
                              <a:ext cx="1447800" cy="304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2" name="Rectangle 21"/>
                          <a:cNvSpPr/>
                        </a:nvSpPr>
                        <a:spPr>
                          <a:xfrm>
                            <a:off x="3124200" y="2935069"/>
                            <a:ext cx="5562600" cy="381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304800" y="2782669"/>
                            <a:ext cx="274320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dirty="0" smtClean="0"/>
                                <a:t>Output </a:t>
                              </a:r>
                              <a:r>
                                <a:rPr lang="en-US" dirty="0" err="1" smtClean="0"/>
                                <a:t>Contig</a:t>
                              </a:r>
                              <a:r>
                                <a:rPr lang="en-US" dirty="0" smtClean="0"/>
                                <a:t> Containing Initial Query: </a:t>
                              </a:r>
                              <a:endParaRPr lang="en-US" dirty="0"/>
                            </a:p>
                          </a:txBody>
                          <a:useSpRect/>
                        </a:txSp>
                      </a:sp>
                    </a:grpSp>
                    <a:sp>
                      <a:nvSpPr>
                        <a:cNvPr id="26" name="Rectangle 25"/>
                        <a:cNvSpPr/>
                      </a:nvSpPr>
                      <a:spPr>
                        <a:xfrm>
                          <a:off x="6364069" y="1066800"/>
                          <a:ext cx="833883" cy="338554"/>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bg2">
                                    <a:lumMod val="50000"/>
                                  </a:schemeClr>
                                </a:solidFill>
                              </a:rPr>
                              <a:t>DDDDD</a:t>
                            </a:r>
                            <a:endParaRPr lang="en-US" sz="1600" dirty="0">
                              <a:solidFill>
                                <a:schemeClr val="bg2">
                                  <a:lumMod val="50000"/>
                                </a:schemeClr>
                              </a:solidFill>
                            </a:endParaRPr>
                          </a:p>
                        </a:txBody>
                        <a:useSpRect/>
                      </a:txSp>
                    </a:sp>
                  </a:grpSp>
                </lc:lockedCanvas>
              </a:graphicData>
            </a:graphic>
          </wp:inline>
        </w:drawing>
      </w:r>
    </w:p>
    <w:p w:rsidR="00A967E7" w:rsidRDefault="00A967E7" w:rsidP="00AE005E">
      <w:pPr>
        <w:spacing w:after="0"/>
        <w:rPr>
          <w:b/>
        </w:rPr>
      </w:pPr>
    </w:p>
    <w:p w:rsidR="00A967E7" w:rsidRPr="00496123" w:rsidRDefault="00A967E7" w:rsidP="00AE005E">
      <w:pPr>
        <w:spacing w:after="0"/>
        <w:rPr>
          <w:b/>
        </w:rPr>
      </w:pPr>
    </w:p>
    <w:p w:rsidR="00AE005E" w:rsidRDefault="00AE005E" w:rsidP="00AE005E">
      <w:pPr>
        <w:spacing w:after="0"/>
        <w:rPr>
          <w:b/>
          <w:u w:val="single"/>
        </w:rPr>
      </w:pPr>
      <w:r w:rsidRPr="00EE408F">
        <w:rPr>
          <w:b/>
          <w:u w:val="single"/>
        </w:rPr>
        <w:t>D</w:t>
      </w:r>
      <w:r w:rsidR="00162496">
        <w:rPr>
          <w:b/>
          <w:u w:val="single"/>
        </w:rPr>
        <w:t>ETAILS</w:t>
      </w:r>
      <w:r w:rsidRPr="00EE408F">
        <w:rPr>
          <w:b/>
          <w:u w:val="single"/>
        </w:rPr>
        <w:t>:</w:t>
      </w:r>
      <w:r w:rsidR="00E165B5">
        <w:rPr>
          <w:b/>
          <w:u w:val="single"/>
        </w:rPr>
        <w:t xml:space="preserve"> </w:t>
      </w:r>
    </w:p>
    <w:p w:rsidR="00A967E7" w:rsidRPr="00EE408F" w:rsidRDefault="00A967E7" w:rsidP="00AE005E">
      <w:pPr>
        <w:spacing w:after="0"/>
        <w:rPr>
          <w:b/>
          <w:u w:val="single"/>
        </w:rPr>
      </w:pPr>
    </w:p>
    <w:p w:rsidR="00AE005E" w:rsidRPr="00EE408F" w:rsidRDefault="00AE005E" w:rsidP="00AE005E">
      <w:pPr>
        <w:spacing w:after="0"/>
        <w:rPr>
          <w:b/>
        </w:rPr>
      </w:pPr>
      <w:r w:rsidRPr="00162496">
        <w:rPr>
          <w:b/>
          <w:u w:val="single"/>
        </w:rPr>
        <w:t>Input:</w:t>
      </w:r>
      <w:r w:rsidRPr="00EE408F">
        <w:rPr>
          <w:b/>
        </w:rPr>
        <w:t xml:space="preserve"> </w:t>
      </w:r>
      <w:r w:rsidR="00197160">
        <w:rPr>
          <w:b/>
        </w:rPr>
        <w:t xml:space="preserve"> (</w:t>
      </w:r>
      <w:r w:rsidR="00E165B5">
        <w:rPr>
          <w:b/>
        </w:rPr>
        <w:t xml:space="preserve">download from dropbox </w:t>
      </w:r>
      <w:r w:rsidR="00911A04">
        <w:rPr>
          <w:b/>
        </w:rPr>
        <w:t xml:space="preserve">link </w:t>
      </w:r>
      <w:r w:rsidR="00E165B5">
        <w:rPr>
          <w:b/>
        </w:rPr>
        <w:t>provided with distribution email)</w:t>
      </w:r>
    </w:p>
    <w:p w:rsidR="00C321ED" w:rsidRDefault="00AE005E" w:rsidP="00C321ED">
      <w:pPr>
        <w:spacing w:after="0"/>
      </w:pPr>
      <w:r>
        <w:t xml:space="preserve">    </w:t>
      </w:r>
      <w:r w:rsidR="00C321ED" w:rsidRPr="00E165B5">
        <w:rPr>
          <w:b/>
        </w:rPr>
        <w:t>QUERY.fasta</w:t>
      </w:r>
      <w:r w:rsidR="00C321ED">
        <w:t xml:space="preserve">    - fasta file containing initial query sequence</w:t>
      </w:r>
      <w:r w:rsidR="00E165B5">
        <w:t xml:space="preserve"> (size: 1 KB)</w:t>
      </w:r>
    </w:p>
    <w:p w:rsidR="00AE005E" w:rsidRDefault="00C370CF" w:rsidP="00C321ED">
      <w:pPr>
        <w:spacing w:after="0"/>
        <w:ind w:left="180"/>
      </w:pPr>
      <w:r>
        <w:rPr>
          <w:b/>
        </w:rPr>
        <w:t>READS.fasta</w:t>
      </w:r>
      <w:r w:rsidR="00AE005E" w:rsidRPr="00E165B5">
        <w:rPr>
          <w:b/>
        </w:rPr>
        <w:t>.gz</w:t>
      </w:r>
      <w:r>
        <w:t xml:space="preserve"> - gzipped fasta</w:t>
      </w:r>
      <w:r w:rsidR="00AE005E">
        <w:t xml:space="preserve"> file of sequencer reads </w:t>
      </w:r>
      <w:r w:rsidR="006A64D8">
        <w:t>(</w:t>
      </w:r>
      <w:r w:rsidR="00367615">
        <w:t>size 5</w:t>
      </w:r>
      <w:r w:rsidR="00E165B5">
        <w:t xml:space="preserve"> MB,</w:t>
      </w:r>
      <w:r w:rsidR="00162496">
        <w:t xml:space="preserve"> </w:t>
      </w:r>
      <w:r w:rsidR="006A64D8">
        <w:t>gunzip before use)</w:t>
      </w:r>
    </w:p>
    <w:p w:rsidR="00E165B5" w:rsidRDefault="00E165B5" w:rsidP="00C321ED">
      <w:pPr>
        <w:spacing w:after="0"/>
        <w:ind w:left="180"/>
      </w:pPr>
    </w:p>
    <w:p w:rsidR="00496123" w:rsidRDefault="00AE005E" w:rsidP="00AE005E">
      <w:pPr>
        <w:spacing w:after="0"/>
        <w:rPr>
          <w:i/>
        </w:rPr>
      </w:pPr>
      <w:r>
        <w:t xml:space="preserve">    </w:t>
      </w:r>
      <w:r w:rsidR="003E750F" w:rsidRPr="00A72EA6">
        <w:rPr>
          <w:i/>
        </w:rPr>
        <w:t>Note: The files provided are data</w:t>
      </w:r>
      <w:r w:rsidR="00A72EA6" w:rsidRPr="00A72EA6">
        <w:rPr>
          <w:i/>
        </w:rPr>
        <w:t xml:space="preserve"> from a </w:t>
      </w:r>
      <w:r w:rsidR="00A72EA6" w:rsidRPr="00933058">
        <w:rPr>
          <w:b/>
          <w:i/>
        </w:rPr>
        <w:t xml:space="preserve">real </w:t>
      </w:r>
      <w:r w:rsidR="00A72EA6" w:rsidRPr="00A72EA6">
        <w:rPr>
          <w:i/>
        </w:rPr>
        <w:t>sequencing run</w:t>
      </w:r>
      <w:r w:rsidR="003E750F" w:rsidRPr="00A72EA6">
        <w:rPr>
          <w:i/>
        </w:rPr>
        <w:t xml:space="preserve">, with all inherent </w:t>
      </w:r>
      <w:r w:rsidR="003E750F" w:rsidRPr="00933058">
        <w:rPr>
          <w:b/>
          <w:i/>
        </w:rPr>
        <w:t>errors and artifacts</w:t>
      </w:r>
      <w:r w:rsidR="003E750F" w:rsidRPr="00A72EA6">
        <w:rPr>
          <w:i/>
        </w:rPr>
        <w:t>.</w:t>
      </w:r>
    </w:p>
    <w:p w:rsidR="00A967E7" w:rsidRPr="00A72EA6" w:rsidRDefault="00A967E7" w:rsidP="00AE005E">
      <w:pPr>
        <w:spacing w:after="0"/>
        <w:rPr>
          <w:i/>
        </w:rPr>
      </w:pPr>
    </w:p>
    <w:p w:rsidR="00162496" w:rsidRDefault="00AE005E" w:rsidP="00162496">
      <w:pPr>
        <w:spacing w:after="0"/>
        <w:rPr>
          <w:b/>
          <w:u w:val="single"/>
        </w:rPr>
      </w:pPr>
      <w:r w:rsidRPr="00162496">
        <w:rPr>
          <w:b/>
          <w:u w:val="single"/>
        </w:rPr>
        <w:t>Output:</w:t>
      </w:r>
    </w:p>
    <w:p w:rsidR="00AE005E" w:rsidRPr="00162496" w:rsidRDefault="00AE005E" w:rsidP="00162496">
      <w:pPr>
        <w:spacing w:after="0"/>
        <w:ind w:left="180"/>
        <w:rPr>
          <w:b/>
          <w:u w:val="single"/>
        </w:rPr>
      </w:pPr>
      <w:r w:rsidRPr="00E165B5">
        <w:rPr>
          <w:b/>
        </w:rPr>
        <w:t>ALLELES.fasta</w:t>
      </w:r>
      <w:r>
        <w:t xml:space="preserve">  - fasta file of the largest constructed contig (allele) containing the</w:t>
      </w:r>
      <w:r w:rsidR="009F70A5">
        <w:t xml:space="preserve"> in</w:t>
      </w:r>
      <w:r w:rsidR="00162496">
        <w:t>i</w:t>
      </w:r>
      <w:r w:rsidR="009F70A5">
        <w:t>tial</w:t>
      </w:r>
      <w:r>
        <w:t xml:space="preserve"> query     </w:t>
      </w:r>
      <w:r w:rsidRPr="00E165B5">
        <w:rPr>
          <w:b/>
        </w:rPr>
        <w:t>ALLELES.aln</w:t>
      </w:r>
      <w:r>
        <w:t xml:space="preserve"> - </w:t>
      </w:r>
    </w:p>
    <w:p w:rsidR="00AE005E" w:rsidRDefault="009F70A5" w:rsidP="00AE005E">
      <w:pPr>
        <w:spacing w:after="0"/>
      </w:pPr>
      <w:r>
        <w:tab/>
      </w:r>
      <w:r w:rsidR="00AE005E">
        <w:t>tab-delimited text file describing alignment of sequence reads to contig(s) in ALLELES.fasta with</w:t>
      </w:r>
      <w:r>
        <w:t xml:space="preserve"> </w:t>
      </w:r>
      <w:r>
        <w:tab/>
      </w:r>
      <w:r w:rsidR="00AE005E">
        <w:t>the following columns</w:t>
      </w:r>
      <w:r w:rsidR="000C5D23">
        <w:t xml:space="preserve"> (see example further below)</w:t>
      </w:r>
      <w:r w:rsidR="00AE005E">
        <w:t>:</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tblPr>
      <w:tblGrid>
        <w:gridCol w:w="809"/>
        <w:gridCol w:w="8209"/>
      </w:tblGrid>
      <w:tr w:rsidR="00AE005E" w:rsidTr="0033152B">
        <w:tc>
          <w:tcPr>
            <w:tcW w:w="251" w:type="dxa"/>
          </w:tcPr>
          <w:p w:rsidR="00AE005E" w:rsidRDefault="00AE005E" w:rsidP="00AE005E">
            <w:r>
              <w:t>sseqid</w:t>
            </w:r>
          </w:p>
        </w:tc>
        <w:tc>
          <w:tcPr>
            <w:tcW w:w="8299" w:type="dxa"/>
          </w:tcPr>
          <w:p w:rsidR="00AE005E" w:rsidRDefault="00AE005E" w:rsidP="00AE005E">
            <w:r>
              <w:t>: name of sequencing read (from READS.fastq.gz)</w:t>
            </w:r>
          </w:p>
        </w:tc>
      </w:tr>
      <w:tr w:rsidR="00AE005E" w:rsidTr="0033152B">
        <w:tc>
          <w:tcPr>
            <w:tcW w:w="251" w:type="dxa"/>
          </w:tcPr>
          <w:p w:rsidR="00AE005E" w:rsidRDefault="00AE005E" w:rsidP="00AE005E">
            <w:r>
              <w:t>qseqid</w:t>
            </w:r>
          </w:p>
        </w:tc>
        <w:tc>
          <w:tcPr>
            <w:tcW w:w="8299" w:type="dxa"/>
          </w:tcPr>
          <w:p w:rsidR="00AE005E" w:rsidRDefault="00AE005E" w:rsidP="00AE005E">
            <w:r>
              <w:t>: name of contig matched (from ALLELES.fasta)</w:t>
            </w:r>
          </w:p>
        </w:tc>
      </w:tr>
      <w:tr w:rsidR="00AE005E" w:rsidTr="0033152B">
        <w:tc>
          <w:tcPr>
            <w:tcW w:w="251" w:type="dxa"/>
          </w:tcPr>
          <w:p w:rsidR="00AE005E" w:rsidRDefault="00AE005E" w:rsidP="00AE005E">
            <w:r>
              <w:t>sstart</w:t>
            </w:r>
          </w:p>
        </w:tc>
        <w:tc>
          <w:tcPr>
            <w:tcW w:w="8299" w:type="dxa"/>
          </w:tcPr>
          <w:p w:rsidR="00AE005E" w:rsidRDefault="00D67A5D" w:rsidP="00AE005E">
            <w:r>
              <w:t>: starting coordinate in</w:t>
            </w:r>
            <w:r w:rsidR="00AE005E">
              <w:t xml:space="preserve"> sequencing read </w:t>
            </w:r>
            <w:r w:rsidR="001F4027">
              <w:t xml:space="preserve">sseqid </w:t>
            </w:r>
            <w:r w:rsidR="00AE005E">
              <w:t>that matches qseq</w:t>
            </w:r>
          </w:p>
        </w:tc>
      </w:tr>
      <w:tr w:rsidR="00AE005E" w:rsidTr="0033152B">
        <w:tc>
          <w:tcPr>
            <w:tcW w:w="251" w:type="dxa"/>
          </w:tcPr>
          <w:p w:rsidR="00AE005E" w:rsidRDefault="00AE005E" w:rsidP="00AE005E">
            <w:r>
              <w:t>send</w:t>
            </w:r>
          </w:p>
        </w:tc>
        <w:tc>
          <w:tcPr>
            <w:tcW w:w="8299" w:type="dxa"/>
          </w:tcPr>
          <w:p w:rsidR="00AE005E" w:rsidRDefault="00D67A5D" w:rsidP="00AE005E">
            <w:r>
              <w:t>: ending coordinate in</w:t>
            </w:r>
            <w:r w:rsidR="00AE005E">
              <w:t xml:space="preserve"> sequencing read </w:t>
            </w:r>
            <w:r w:rsidR="001F4027">
              <w:t xml:space="preserve"> sseqid </w:t>
            </w:r>
            <w:r w:rsidR="00AE005E">
              <w:t>that matches qseq</w:t>
            </w:r>
          </w:p>
        </w:tc>
      </w:tr>
      <w:tr w:rsidR="00AE005E" w:rsidTr="0033152B">
        <w:tc>
          <w:tcPr>
            <w:tcW w:w="251" w:type="dxa"/>
          </w:tcPr>
          <w:p w:rsidR="00AE005E" w:rsidRDefault="00AE005E" w:rsidP="00AE005E">
            <w:r>
              <w:t>qstart</w:t>
            </w:r>
          </w:p>
        </w:tc>
        <w:tc>
          <w:tcPr>
            <w:tcW w:w="8299" w:type="dxa"/>
          </w:tcPr>
          <w:p w:rsidR="00AE005E" w:rsidRDefault="00BD4DAB" w:rsidP="00AE005E">
            <w:r>
              <w:t>: starting coordinate</w:t>
            </w:r>
            <w:r w:rsidR="00D67A5D">
              <w:t xml:space="preserve"> in </w:t>
            </w:r>
            <w:r w:rsidR="00AE005E">
              <w:t>contig that matches sseq</w:t>
            </w:r>
          </w:p>
        </w:tc>
      </w:tr>
      <w:tr w:rsidR="00AE005E" w:rsidTr="0033152B">
        <w:tc>
          <w:tcPr>
            <w:tcW w:w="251" w:type="dxa"/>
          </w:tcPr>
          <w:p w:rsidR="00AE005E" w:rsidRDefault="00AE005E" w:rsidP="00AE005E">
            <w:r>
              <w:t>qend</w:t>
            </w:r>
          </w:p>
        </w:tc>
        <w:tc>
          <w:tcPr>
            <w:tcW w:w="8299" w:type="dxa"/>
          </w:tcPr>
          <w:p w:rsidR="00A967E7" w:rsidRDefault="00BD4DAB" w:rsidP="00AE005E">
            <w:r>
              <w:t>: ending coordinate</w:t>
            </w:r>
            <w:r w:rsidR="00D67A5D">
              <w:t xml:space="preserve"> in</w:t>
            </w:r>
            <w:r w:rsidR="00AE005E">
              <w:t xml:space="preserve"> contig that matches sseq</w:t>
            </w:r>
          </w:p>
        </w:tc>
      </w:tr>
    </w:tbl>
    <w:p w:rsidR="00A967E7" w:rsidRDefault="00A967E7" w:rsidP="00AE005E">
      <w:pPr>
        <w:spacing w:after="0"/>
      </w:pPr>
    </w:p>
    <w:p w:rsidR="00AE005E" w:rsidRDefault="00AE005E" w:rsidP="00AE005E">
      <w:pPr>
        <w:spacing w:after="0"/>
      </w:pPr>
      <w:r>
        <w:t>Coordinates sh</w:t>
      </w:r>
      <w:r w:rsidR="00A967E7">
        <w:t>ould respect that the contig in ALLELES.fasta is</w:t>
      </w:r>
      <w:r>
        <w:t xml:space="preserve"> in the forward orientation, such that if the sequencing read sseq aligns in the forward direction with respect to the contig</w:t>
      </w:r>
      <w:r w:rsidR="00BD4DAB">
        <w:t>, send &gt; s</w:t>
      </w:r>
      <w:r>
        <w:t>start, whereas if sseq aligns in the reverse direction with respect to the contig, send &lt; sstart</w:t>
      </w:r>
      <w:r w:rsidR="00BD4DAB">
        <w:t xml:space="preserve"> (see </w:t>
      </w:r>
      <w:r w:rsidR="00BD4DAB" w:rsidRPr="00BD4DAB">
        <w:rPr>
          <w:color w:val="0070C0"/>
        </w:rPr>
        <w:t>italics</w:t>
      </w:r>
      <w:r w:rsidR="00BD4DAB">
        <w:t xml:space="preserve"> in example below)</w:t>
      </w:r>
      <w:r>
        <w:t>. It is not necessary to include identifiers for sequences from READS.fa</w:t>
      </w:r>
      <w:r w:rsidR="00A967E7">
        <w:t xml:space="preserve">stq.gz that do not align to the </w:t>
      </w:r>
      <w:r>
        <w:t xml:space="preserve">sequence in ALLELES.fasta. Additional informative columns may be added to the text file, as </w:t>
      </w:r>
      <w:r w:rsidR="009F70A5">
        <w:t xml:space="preserve">you deem useful or </w:t>
      </w:r>
      <w:r>
        <w:t>appropriate.</w:t>
      </w:r>
    </w:p>
    <w:p w:rsidR="003E750F" w:rsidRDefault="003E750F" w:rsidP="00AE005E">
      <w:pPr>
        <w:spacing w:after="0"/>
      </w:pPr>
    </w:p>
    <w:p w:rsidR="003E750F" w:rsidRDefault="003E750F" w:rsidP="00AE005E">
      <w:pPr>
        <w:spacing w:after="0"/>
      </w:pPr>
      <w:r>
        <w:t>Example output.aln file:</w:t>
      </w:r>
    </w:p>
    <w:p w:rsidR="003E750F" w:rsidRDefault="003E750F" w:rsidP="00AE005E">
      <w:pPr>
        <w:spacing w:after="0"/>
      </w:pPr>
    </w:p>
    <w:tbl>
      <w:tblPr>
        <w:tblStyle w:val="TableGrid"/>
        <w:tblW w:w="0" w:type="auto"/>
        <w:tblLook w:val="04A0"/>
      </w:tblPr>
      <w:tblGrid>
        <w:gridCol w:w="2020"/>
        <w:gridCol w:w="1124"/>
        <w:gridCol w:w="1070"/>
        <w:gridCol w:w="1025"/>
        <w:gridCol w:w="1087"/>
        <w:gridCol w:w="1042"/>
      </w:tblGrid>
      <w:tr w:rsidR="002D7A3C" w:rsidTr="002D7A3C">
        <w:tc>
          <w:tcPr>
            <w:tcW w:w="1107" w:type="dxa"/>
          </w:tcPr>
          <w:p w:rsidR="002D7A3C" w:rsidRDefault="002D7A3C" w:rsidP="00AE005E">
            <w:r>
              <w:t>sseqid</w:t>
            </w:r>
          </w:p>
        </w:tc>
        <w:tc>
          <w:tcPr>
            <w:tcW w:w="1124" w:type="dxa"/>
          </w:tcPr>
          <w:p w:rsidR="002D7A3C" w:rsidRDefault="002D7A3C" w:rsidP="00AE005E">
            <w:r>
              <w:t>qseqid</w:t>
            </w:r>
          </w:p>
        </w:tc>
        <w:tc>
          <w:tcPr>
            <w:tcW w:w="1070" w:type="dxa"/>
          </w:tcPr>
          <w:p w:rsidR="002D7A3C" w:rsidRDefault="002D7A3C" w:rsidP="00AE005E">
            <w:r>
              <w:t>sstart</w:t>
            </w:r>
          </w:p>
        </w:tc>
        <w:tc>
          <w:tcPr>
            <w:tcW w:w="1025" w:type="dxa"/>
          </w:tcPr>
          <w:p w:rsidR="002D7A3C" w:rsidRDefault="002D7A3C" w:rsidP="00AE005E">
            <w:r>
              <w:t>send</w:t>
            </w:r>
          </w:p>
        </w:tc>
        <w:tc>
          <w:tcPr>
            <w:tcW w:w="1087" w:type="dxa"/>
          </w:tcPr>
          <w:p w:rsidR="002D7A3C" w:rsidRDefault="002D7A3C" w:rsidP="00AE005E">
            <w:r>
              <w:t>qstart</w:t>
            </w:r>
          </w:p>
        </w:tc>
        <w:tc>
          <w:tcPr>
            <w:tcW w:w="1042" w:type="dxa"/>
          </w:tcPr>
          <w:p w:rsidR="002D7A3C" w:rsidRDefault="002D7A3C" w:rsidP="00AE005E">
            <w:r>
              <w:t>qend</w:t>
            </w:r>
          </w:p>
        </w:tc>
      </w:tr>
      <w:tr w:rsidR="002D7A3C" w:rsidTr="002D7A3C">
        <w:tc>
          <w:tcPr>
            <w:tcW w:w="1107" w:type="dxa"/>
          </w:tcPr>
          <w:p w:rsidR="002D7A3C" w:rsidRDefault="002D7A3C" w:rsidP="002D7A3C">
            <w:r>
              <w:t>2S43D:08461:04180</w:t>
            </w:r>
          </w:p>
        </w:tc>
        <w:tc>
          <w:tcPr>
            <w:tcW w:w="1124" w:type="dxa"/>
          </w:tcPr>
          <w:p w:rsidR="002D7A3C" w:rsidRDefault="002D7A3C" w:rsidP="00AE005E">
            <w:r>
              <w:t>contig1</w:t>
            </w:r>
          </w:p>
        </w:tc>
        <w:tc>
          <w:tcPr>
            <w:tcW w:w="1070" w:type="dxa"/>
          </w:tcPr>
          <w:p w:rsidR="002D7A3C" w:rsidRDefault="002D7A3C" w:rsidP="00AE005E">
            <w:r>
              <w:t>1</w:t>
            </w:r>
            <w:r w:rsidR="00A41BDD">
              <w:t>3</w:t>
            </w:r>
          </w:p>
        </w:tc>
        <w:tc>
          <w:tcPr>
            <w:tcW w:w="1025" w:type="dxa"/>
          </w:tcPr>
          <w:p w:rsidR="002D7A3C" w:rsidRDefault="00A41BDD" w:rsidP="00AE005E">
            <w:r>
              <w:t>40</w:t>
            </w:r>
          </w:p>
        </w:tc>
        <w:tc>
          <w:tcPr>
            <w:tcW w:w="1087" w:type="dxa"/>
          </w:tcPr>
          <w:p w:rsidR="002D7A3C" w:rsidRDefault="002D7A3C" w:rsidP="00AE005E">
            <w:r>
              <w:t>1</w:t>
            </w:r>
          </w:p>
        </w:tc>
        <w:tc>
          <w:tcPr>
            <w:tcW w:w="1042" w:type="dxa"/>
          </w:tcPr>
          <w:p w:rsidR="002D7A3C" w:rsidRDefault="002D7A3C" w:rsidP="00AE005E">
            <w:r>
              <w:t>64</w:t>
            </w:r>
          </w:p>
        </w:tc>
      </w:tr>
      <w:tr w:rsidR="002D7A3C" w:rsidTr="002D7A3C">
        <w:tc>
          <w:tcPr>
            <w:tcW w:w="1107" w:type="dxa"/>
          </w:tcPr>
          <w:p w:rsidR="002D7A3C" w:rsidRDefault="002D7A3C" w:rsidP="00AE005E">
            <w:r>
              <w:t>2S43D:07701:07310</w:t>
            </w:r>
          </w:p>
        </w:tc>
        <w:tc>
          <w:tcPr>
            <w:tcW w:w="1124" w:type="dxa"/>
          </w:tcPr>
          <w:p w:rsidR="002D7A3C" w:rsidRDefault="002D7A3C" w:rsidP="00AE005E">
            <w:r>
              <w:t>contig1</w:t>
            </w:r>
          </w:p>
        </w:tc>
        <w:tc>
          <w:tcPr>
            <w:tcW w:w="1070" w:type="dxa"/>
          </w:tcPr>
          <w:p w:rsidR="002D7A3C" w:rsidRDefault="00A41BDD" w:rsidP="00AE005E">
            <w:r>
              <w:t>20</w:t>
            </w:r>
          </w:p>
        </w:tc>
        <w:tc>
          <w:tcPr>
            <w:tcW w:w="1025" w:type="dxa"/>
          </w:tcPr>
          <w:p w:rsidR="002D7A3C" w:rsidRDefault="00A41BDD" w:rsidP="00AE005E">
            <w:r>
              <w:t>112</w:t>
            </w:r>
          </w:p>
        </w:tc>
        <w:tc>
          <w:tcPr>
            <w:tcW w:w="1087" w:type="dxa"/>
          </w:tcPr>
          <w:p w:rsidR="002D7A3C" w:rsidRDefault="00A41BDD" w:rsidP="00AE005E">
            <w:r>
              <w:t>240</w:t>
            </w:r>
          </w:p>
        </w:tc>
        <w:tc>
          <w:tcPr>
            <w:tcW w:w="1042" w:type="dxa"/>
          </w:tcPr>
          <w:p w:rsidR="002D7A3C" w:rsidRDefault="000D128A" w:rsidP="00AE005E">
            <w:r>
              <w:t>332</w:t>
            </w:r>
          </w:p>
        </w:tc>
      </w:tr>
      <w:tr w:rsidR="002D7A3C" w:rsidTr="002D7A3C">
        <w:tc>
          <w:tcPr>
            <w:tcW w:w="1107" w:type="dxa"/>
          </w:tcPr>
          <w:p w:rsidR="002D7A3C" w:rsidRDefault="002D7A3C" w:rsidP="00AE005E">
            <w:r>
              <w:t>2S43D:07489:10315</w:t>
            </w:r>
          </w:p>
        </w:tc>
        <w:tc>
          <w:tcPr>
            <w:tcW w:w="1124" w:type="dxa"/>
          </w:tcPr>
          <w:p w:rsidR="002D7A3C" w:rsidRDefault="002D7A3C" w:rsidP="00AE005E">
            <w:r>
              <w:t>contig1</w:t>
            </w:r>
          </w:p>
        </w:tc>
        <w:tc>
          <w:tcPr>
            <w:tcW w:w="1070" w:type="dxa"/>
          </w:tcPr>
          <w:p w:rsidR="002D7A3C" w:rsidRPr="00BD4DAB" w:rsidRDefault="00BD4DAB" w:rsidP="00AE005E">
            <w:pPr>
              <w:rPr>
                <w:i/>
                <w:color w:val="0070C0"/>
              </w:rPr>
            </w:pPr>
            <w:r w:rsidRPr="00BD4DAB">
              <w:rPr>
                <w:i/>
                <w:color w:val="0070C0"/>
              </w:rPr>
              <w:t>123</w:t>
            </w:r>
          </w:p>
        </w:tc>
        <w:tc>
          <w:tcPr>
            <w:tcW w:w="1025" w:type="dxa"/>
          </w:tcPr>
          <w:p w:rsidR="002D7A3C" w:rsidRPr="00BD4DAB" w:rsidRDefault="00BD4DAB" w:rsidP="00AE005E">
            <w:pPr>
              <w:rPr>
                <w:i/>
                <w:color w:val="0070C0"/>
              </w:rPr>
            </w:pPr>
            <w:r w:rsidRPr="00BD4DAB">
              <w:rPr>
                <w:i/>
                <w:color w:val="0070C0"/>
              </w:rPr>
              <w:t>90</w:t>
            </w:r>
          </w:p>
        </w:tc>
        <w:tc>
          <w:tcPr>
            <w:tcW w:w="1087" w:type="dxa"/>
          </w:tcPr>
          <w:p w:rsidR="002D7A3C" w:rsidRDefault="000D128A" w:rsidP="00AE005E">
            <w:r>
              <w:t>20</w:t>
            </w:r>
          </w:p>
        </w:tc>
        <w:tc>
          <w:tcPr>
            <w:tcW w:w="1042" w:type="dxa"/>
          </w:tcPr>
          <w:p w:rsidR="002D7A3C" w:rsidRDefault="000D128A" w:rsidP="00AE005E">
            <w:r>
              <w:t>53</w:t>
            </w:r>
          </w:p>
        </w:tc>
      </w:tr>
      <w:tr w:rsidR="002D7A3C" w:rsidTr="002D7A3C">
        <w:tc>
          <w:tcPr>
            <w:tcW w:w="1107" w:type="dxa"/>
          </w:tcPr>
          <w:p w:rsidR="002D7A3C" w:rsidRDefault="002D7A3C" w:rsidP="00AE005E">
            <w:r>
              <w:t>2S43D:04035:14719</w:t>
            </w:r>
          </w:p>
        </w:tc>
        <w:tc>
          <w:tcPr>
            <w:tcW w:w="1124" w:type="dxa"/>
          </w:tcPr>
          <w:p w:rsidR="002D7A3C" w:rsidRDefault="002D7A3C" w:rsidP="00AE005E">
            <w:r>
              <w:t>contig</w:t>
            </w:r>
            <w:r w:rsidR="002766A7">
              <w:t>1</w:t>
            </w:r>
          </w:p>
        </w:tc>
        <w:tc>
          <w:tcPr>
            <w:tcW w:w="1070" w:type="dxa"/>
          </w:tcPr>
          <w:p w:rsidR="002D7A3C" w:rsidRPr="00BD4DAB" w:rsidRDefault="00BD4DAB" w:rsidP="00AE005E">
            <w:pPr>
              <w:rPr>
                <w:i/>
                <w:color w:val="0070C0"/>
              </w:rPr>
            </w:pPr>
            <w:r w:rsidRPr="00BD4DAB">
              <w:rPr>
                <w:i/>
                <w:color w:val="0070C0"/>
              </w:rPr>
              <w:t>105</w:t>
            </w:r>
          </w:p>
        </w:tc>
        <w:tc>
          <w:tcPr>
            <w:tcW w:w="1025" w:type="dxa"/>
          </w:tcPr>
          <w:p w:rsidR="002D7A3C" w:rsidRPr="00BD4DAB" w:rsidRDefault="00BD4DAB" w:rsidP="00AE005E">
            <w:pPr>
              <w:rPr>
                <w:i/>
                <w:color w:val="0070C0"/>
              </w:rPr>
            </w:pPr>
            <w:r w:rsidRPr="00BD4DAB">
              <w:rPr>
                <w:i/>
                <w:color w:val="0070C0"/>
              </w:rPr>
              <w:t>41</w:t>
            </w:r>
          </w:p>
        </w:tc>
        <w:tc>
          <w:tcPr>
            <w:tcW w:w="1087" w:type="dxa"/>
          </w:tcPr>
          <w:p w:rsidR="002D7A3C" w:rsidRDefault="00BD4DAB" w:rsidP="00AE005E">
            <w:r>
              <w:t>10</w:t>
            </w:r>
          </w:p>
        </w:tc>
        <w:tc>
          <w:tcPr>
            <w:tcW w:w="1042" w:type="dxa"/>
          </w:tcPr>
          <w:p w:rsidR="002D7A3C" w:rsidRDefault="000D128A" w:rsidP="00AE005E">
            <w:r>
              <w:t>74</w:t>
            </w:r>
          </w:p>
        </w:tc>
      </w:tr>
    </w:tbl>
    <w:p w:rsidR="0024546E" w:rsidRDefault="0024546E" w:rsidP="00AE005E">
      <w:pPr>
        <w:spacing w:after="0"/>
      </w:pPr>
    </w:p>
    <w:p w:rsidR="00D632EC" w:rsidRDefault="00D632EC" w:rsidP="001F4027">
      <w:pPr>
        <w:spacing w:after="0"/>
        <w:rPr>
          <w:i/>
        </w:rPr>
      </w:pPr>
      <w:r>
        <w:rPr>
          <w:i/>
        </w:rPr>
        <w:t>Hint: at the most basic level, you need a function to compare (parts of) two sequences.</w:t>
      </w:r>
    </w:p>
    <w:p w:rsidR="00D632EC" w:rsidRDefault="00D632EC" w:rsidP="001F4027">
      <w:pPr>
        <w:spacing w:after="0"/>
        <w:rPr>
          <w:i/>
        </w:rPr>
      </w:pPr>
    </w:p>
    <w:p w:rsidR="001F4027" w:rsidRPr="00BA6443" w:rsidRDefault="001F4027" w:rsidP="001F4027">
      <w:pPr>
        <w:spacing w:after="0"/>
        <w:rPr>
          <w:i/>
        </w:rPr>
      </w:pPr>
      <w:r w:rsidRPr="00BA6443">
        <w:rPr>
          <w:i/>
        </w:rPr>
        <w:t>Bonus: Assuming the organism was diploid and the data resulted from a gene ta</w:t>
      </w:r>
      <w:r w:rsidR="00347E8A">
        <w:rPr>
          <w:i/>
        </w:rPr>
        <w:t>rgeting knockout-model, describe</w:t>
      </w:r>
      <w:r w:rsidRPr="00BA6443">
        <w:rPr>
          <w:i/>
        </w:rPr>
        <w:t xml:space="preserve"> </w:t>
      </w:r>
      <w:r w:rsidR="000B67ED">
        <w:rPr>
          <w:i/>
        </w:rPr>
        <w:t>how you would</w:t>
      </w:r>
      <w:r w:rsidR="00C75368">
        <w:rPr>
          <w:i/>
        </w:rPr>
        <w:t xml:space="preserve"> use/</w:t>
      </w:r>
      <w:r w:rsidR="000B67ED">
        <w:rPr>
          <w:i/>
        </w:rPr>
        <w:t xml:space="preserve"> modify</w:t>
      </w:r>
      <w:r w:rsidR="004A1F0C" w:rsidRPr="00BA6443">
        <w:rPr>
          <w:i/>
        </w:rPr>
        <w:t xml:space="preserve"> your program to determine </w:t>
      </w:r>
      <w:r w:rsidRPr="00BA6443">
        <w:rPr>
          <w:i/>
        </w:rPr>
        <w:t xml:space="preserve">whether the organism was a heterozygote or a homozygote for the </w:t>
      </w:r>
      <w:r w:rsidR="004A1F0C" w:rsidRPr="00BA6443">
        <w:rPr>
          <w:i/>
        </w:rPr>
        <w:t xml:space="preserve">knock-out. </w:t>
      </w:r>
    </w:p>
    <w:p w:rsidR="009F70A5" w:rsidRDefault="009F70A5" w:rsidP="00AE005E">
      <w:pPr>
        <w:spacing w:after="0"/>
      </w:pPr>
    </w:p>
    <w:p w:rsidR="0072113F" w:rsidRDefault="0072113F"/>
    <w:sectPr w:rsidR="0072113F" w:rsidSect="00F0343C">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03B4A"/>
    <w:multiLevelType w:val="hybridMultilevel"/>
    <w:tmpl w:val="78DC220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005E"/>
    <w:rsid w:val="00043F2B"/>
    <w:rsid w:val="000B67ED"/>
    <w:rsid w:val="000C5D23"/>
    <w:rsid w:val="000D128A"/>
    <w:rsid w:val="00162496"/>
    <w:rsid w:val="00197160"/>
    <w:rsid w:val="001F0668"/>
    <w:rsid w:val="001F4027"/>
    <w:rsid w:val="0024546E"/>
    <w:rsid w:val="002766A7"/>
    <w:rsid w:val="002B78E3"/>
    <w:rsid w:val="002D7A3C"/>
    <w:rsid w:val="0033152B"/>
    <w:rsid w:val="00347E8A"/>
    <w:rsid w:val="00367615"/>
    <w:rsid w:val="003E750F"/>
    <w:rsid w:val="00496123"/>
    <w:rsid w:val="004A1F0C"/>
    <w:rsid w:val="004A75E5"/>
    <w:rsid w:val="00533452"/>
    <w:rsid w:val="00631F9E"/>
    <w:rsid w:val="00684FB0"/>
    <w:rsid w:val="006A64D8"/>
    <w:rsid w:val="006B34B9"/>
    <w:rsid w:val="006B4076"/>
    <w:rsid w:val="0072113F"/>
    <w:rsid w:val="00773284"/>
    <w:rsid w:val="00786C8E"/>
    <w:rsid w:val="007C7814"/>
    <w:rsid w:val="00835088"/>
    <w:rsid w:val="00910449"/>
    <w:rsid w:val="00911A04"/>
    <w:rsid w:val="00933058"/>
    <w:rsid w:val="00935573"/>
    <w:rsid w:val="009F70A5"/>
    <w:rsid w:val="00A41BDD"/>
    <w:rsid w:val="00A7104B"/>
    <w:rsid w:val="00A72EA6"/>
    <w:rsid w:val="00A92C77"/>
    <w:rsid w:val="00A967E7"/>
    <w:rsid w:val="00AA4146"/>
    <w:rsid w:val="00AE005E"/>
    <w:rsid w:val="00BA6443"/>
    <w:rsid w:val="00BB6E9E"/>
    <w:rsid w:val="00BC3070"/>
    <w:rsid w:val="00BD4DAB"/>
    <w:rsid w:val="00C321ED"/>
    <w:rsid w:val="00C370CF"/>
    <w:rsid w:val="00C75368"/>
    <w:rsid w:val="00D632EC"/>
    <w:rsid w:val="00D67A5D"/>
    <w:rsid w:val="00E165B5"/>
    <w:rsid w:val="00F0343C"/>
    <w:rsid w:val="00F95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05E"/>
  </w:style>
  <w:style w:type="paragraph" w:styleId="Heading1">
    <w:name w:val="heading 1"/>
    <w:basedOn w:val="Normal"/>
    <w:next w:val="Normal"/>
    <w:link w:val="Heading1Char"/>
    <w:uiPriority w:val="9"/>
    <w:qFormat/>
    <w:rsid w:val="00F0343C"/>
    <w:pPr>
      <w:keepNext/>
      <w:keepLines/>
      <w:pBdr>
        <w:bottom w:val="single" w:sz="4" w:space="1" w:color="auto"/>
      </w:pBdr>
      <w:spacing w:before="480" w:after="120" w:line="240" w:lineRule="auto"/>
      <w:outlineLvl w:val="0"/>
    </w:pPr>
    <w:rPr>
      <w:rFonts w:asciiTheme="majorHAnsi" w:eastAsiaTheme="majorEastAsia" w:hAnsiTheme="majorHAnsi" w:cstheme="majorBidi"/>
      <w:b/>
      <w:bCs/>
      <w:sz w:val="24"/>
      <w:szCs w:val="24"/>
    </w:rPr>
  </w:style>
  <w:style w:type="paragraph" w:styleId="Heading2">
    <w:name w:val="heading 2"/>
    <w:basedOn w:val="Normal"/>
    <w:next w:val="Normal"/>
    <w:link w:val="Heading2Char"/>
    <w:uiPriority w:val="9"/>
    <w:unhideWhenUsed/>
    <w:qFormat/>
    <w:rsid w:val="00F0343C"/>
    <w:pPr>
      <w:spacing w:after="120" w:line="240" w:lineRule="auto"/>
      <w:outlineLvl w:val="1"/>
    </w:pPr>
    <w:rPr>
      <w:rFonts w:asciiTheme="majorHAnsi" w:eastAsiaTheme="minorEastAsia" w:hAnsiTheme="majorHAns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6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C8E"/>
    <w:rPr>
      <w:rFonts w:ascii="Tahoma" w:hAnsi="Tahoma" w:cs="Tahoma"/>
      <w:sz w:val="16"/>
      <w:szCs w:val="16"/>
    </w:rPr>
  </w:style>
  <w:style w:type="character" w:customStyle="1" w:styleId="Heading1Char">
    <w:name w:val="Heading 1 Char"/>
    <w:basedOn w:val="DefaultParagraphFont"/>
    <w:link w:val="Heading1"/>
    <w:uiPriority w:val="9"/>
    <w:rsid w:val="00F0343C"/>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0343C"/>
    <w:rPr>
      <w:rFonts w:asciiTheme="majorHAnsi" w:eastAsiaTheme="minorEastAsia" w:hAnsiTheme="majorHAnsi"/>
      <w:b/>
      <w:i/>
      <w:sz w:val="24"/>
      <w:szCs w:val="24"/>
    </w:rPr>
  </w:style>
  <w:style w:type="character" w:styleId="CommentReference">
    <w:name w:val="annotation reference"/>
    <w:basedOn w:val="DefaultParagraphFont"/>
    <w:uiPriority w:val="99"/>
    <w:semiHidden/>
    <w:unhideWhenUsed/>
    <w:rsid w:val="00F0343C"/>
    <w:rPr>
      <w:sz w:val="18"/>
      <w:szCs w:val="18"/>
    </w:rPr>
  </w:style>
  <w:style w:type="paragraph" w:styleId="CommentText">
    <w:name w:val="annotation text"/>
    <w:basedOn w:val="Normal"/>
    <w:link w:val="CommentTextChar"/>
    <w:uiPriority w:val="99"/>
    <w:semiHidden/>
    <w:unhideWhenUsed/>
    <w:rsid w:val="00F0343C"/>
    <w:pPr>
      <w:spacing w:after="120" w:line="240" w:lineRule="auto"/>
    </w:pPr>
    <w:rPr>
      <w:rFonts w:asciiTheme="majorHAnsi" w:eastAsiaTheme="minorEastAsia" w:hAnsiTheme="majorHAnsi"/>
      <w:szCs w:val="24"/>
    </w:rPr>
  </w:style>
  <w:style w:type="character" w:customStyle="1" w:styleId="CommentTextChar">
    <w:name w:val="Comment Text Char"/>
    <w:basedOn w:val="DefaultParagraphFont"/>
    <w:link w:val="CommentText"/>
    <w:uiPriority w:val="99"/>
    <w:semiHidden/>
    <w:rsid w:val="00F0343C"/>
    <w:rPr>
      <w:rFonts w:asciiTheme="majorHAnsi" w:eastAsiaTheme="minorEastAsia" w:hAnsiTheme="majorHAnsi"/>
      <w:szCs w:val="24"/>
    </w:rPr>
  </w:style>
  <w:style w:type="paragraph" w:styleId="ListParagraph">
    <w:name w:val="List Paragraph"/>
    <w:basedOn w:val="Normal"/>
    <w:uiPriority w:val="34"/>
    <w:qFormat/>
    <w:rsid w:val="009F70A5"/>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9F2ADB-B6A3-45C4-A8FA-E2268192D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Denver, CO</Company>
  <LinksUpToDate>false</LinksUpToDate>
  <CharactersWithSpaces>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Leach</dc:creator>
  <cp:keywords/>
  <dc:description/>
  <cp:lastModifiedBy>Sonia Leach</cp:lastModifiedBy>
  <cp:revision>40</cp:revision>
  <dcterms:created xsi:type="dcterms:W3CDTF">2015-05-28T18:50:00Z</dcterms:created>
  <dcterms:modified xsi:type="dcterms:W3CDTF">2015-06-02T21:32:00Z</dcterms:modified>
</cp:coreProperties>
</file>