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9412" w:type="dxa"/>
        <w:tblLayout w:type="fixed"/>
        <w:tblLook w:firstRow="1" w:lastRow="0" w:firstColumn="0" w:lastColumn="0" w:noHBand="0" w:noVBand="1" w:val="0020"/>
      </w:tblPr>
      <w:tblGrid>
        <w:gridCol w:w="1667"/>
        <w:gridCol w:w="1471"/>
        <w:gridCol w:w="1471"/>
        <w:gridCol w:w="1667"/>
        <w:gridCol w:w="1373"/>
        <w:gridCol w:w="1763"/>
      </w:tblGrid>
      <w:tr>
        <w:trPr>
          <w:tblHeader w:val="on"/>
        </w:trPr>
        <w:tc>
          <w:tcPr>
            <w:tcW w:w="1667" w:type="dxa"/>
          </w:tcPr>
          <w:p>
            <w:pPr>
              <w:pStyle w:val="Compact"/>
            </w:pPr>
            <w:r>
              <w:t xml:space="preserve">Region</w:t>
            </w:r>
          </w:p>
        </w:tc>
        <w:tc>
          <w:tcPr>
            <w:tcW w:w="1471" w:type="dxa"/>
          </w:tcPr>
          <w:p>
            <w:pPr>
              <w:pStyle w:val="Compact"/>
              <w:jc w:val="right"/>
            </w:pPr>
            <w:r>
              <w:t xml:space="preserve">Volume (m)</w:t>
            </w:r>
          </w:p>
        </w:tc>
        <w:tc>
          <w:tcPr>
            <w:tcW w:w="1471" w:type="dxa"/>
          </w:tcPr>
          <w:p>
            <w:pPr>
              <w:pStyle w:val="Compact"/>
              <w:jc w:val="right"/>
            </w:pPr>
            <w:r>
              <w:t xml:space="preserve">Revenue</w:t>
            </w:r>
          </w:p>
        </w:tc>
        <w:tc>
          <w:tcPr>
            <w:tcW w:w="1667" w:type="dxa"/>
          </w:tcPr>
          <w:p>
            <w:pPr>
              <w:pStyle w:val="Compact"/>
              <w:jc w:val="right"/>
            </w:pPr>
            <w:r>
              <w:t xml:space="preserve">Cost per txn</w:t>
            </w:r>
          </w:p>
        </w:tc>
        <w:tc>
          <w:tcPr>
            <w:tcW w:w="1373" w:type="dxa"/>
          </w:tcPr>
          <w:p>
            <w:pPr>
              <w:pStyle w:val="Compact"/>
              <w:jc w:val="right"/>
            </w:pPr>
            <w:r>
              <w:t xml:space="preserve">Change</w:t>
            </w:r>
          </w:p>
        </w:tc>
        <w:tc>
          <w:tcPr>
            <w:tcW w:w="1763" w:type="dxa"/>
          </w:tcPr>
          <w:p>
            <w:pPr>
              <w:pStyle w:val="Compact"/>
            </w:pPr>
            <w:r>
              <w:t xml:space="preserve">Status</w:t>
            </w:r>
          </w:p>
        </w:tc>
      </w:tr>
      <w:tr>
        <w:tc>
          <w:tcPr>
            <w:tcW w:w="1667" w:type="dxa"/>
          </w:tcPr>
          <w:p>
            <w:pPr>
              <w:pStyle w:val="Compact"/>
            </w:pPr>
            <w:r>
              <w:t xml:space="preserve">Northern</w:t>
            </w:r>
          </w:p>
        </w:tc>
        <w:tc>
          <w:tcPr>
            <w:tcW w:w="1471" w:type="dxa"/>
          </w:tcPr>
          <w:p>
            <w:pPr>
              <w:pStyle w:val="Compact"/>
              <w:jc w:val="right"/>
            </w:pPr>
            <w:r>
              <w:t xml:space="preserve">412.8</w:t>
            </w:r>
          </w:p>
        </w:tc>
        <w:tc>
          <w:tcPr>
            <w:tcW w:w="1471" w:type="dxa"/>
          </w:tcPr>
          <w:p>
            <w:pPr>
              <w:pStyle w:val="Compact"/>
              <w:jc w:val="right"/>
            </w:pPr>
            <w:r>
              <w:t xml:space="preserve">1,204.5</w:t>
            </w:r>
          </w:p>
        </w:tc>
        <w:tc>
          <w:tcPr>
            <w:tcW w:w="1667" w:type="dxa"/>
          </w:tcPr>
          <w:p>
            <w:pPr>
              <w:pStyle w:val="Compact"/>
              <w:jc w:val="right"/>
            </w:pPr>
            <w:r>
              <w:t xml:space="preserve">0.284</w:t>
            </w:r>
          </w:p>
        </w:tc>
        <w:tc>
          <w:tcPr>
            <w:tcW w:w="1373" w:type="dxa"/>
          </w:tcPr>
          <w:p>
            <w:pPr>
              <w:pStyle w:val="Compact"/>
              <w:jc w:val="right"/>
            </w:pPr>
            <w:r>
              <w:t xml:space="preserve">−8.1%</w:t>
            </w:r>
          </w:p>
        </w:tc>
        <w:tc>
          <w:tcPr>
            <w:tcW w:w="1763" w:type="dxa"/>
          </w:tcPr>
          <w:p>
            <w:pPr>
              <w:pStyle w:val="Compact"/>
            </w:pPr>
            <w:r>
              <w:t xml:space="preserve">Complete</w:t>
            </w:r>
          </w:p>
        </w:tc>
      </w:tr>
      <w:tr>
        <w:tc>
          <w:tcPr>
            <w:tcW w:w="1667" w:type="dxa"/>
          </w:tcPr>
          <w:p>
            <w:pPr>
              <w:pStyle w:val="Compact"/>
            </w:pPr>
            <w:r>
              <w:t xml:space="preserve">Eastern</w:t>
            </w:r>
          </w:p>
        </w:tc>
        <w:tc>
          <w:tcPr>
            <w:tcW w:w="1471" w:type="dxa"/>
          </w:tcPr>
          <w:p>
            <w:pPr>
              <w:pStyle w:val="Compact"/>
              <w:jc w:val="right"/>
            </w:pPr>
            <w:r>
              <w:t xml:space="preserve">318.2</w:t>
            </w:r>
          </w:p>
        </w:tc>
        <w:tc>
          <w:tcPr>
            <w:tcW w:w="1471" w:type="dxa"/>
          </w:tcPr>
          <w:p>
            <w:pPr>
              <w:pStyle w:val="Compact"/>
              <w:jc w:val="right"/>
            </w:pPr>
            <w:r>
              <w:t xml:space="preserve">987.1</w:t>
            </w:r>
          </w:p>
        </w:tc>
        <w:tc>
          <w:tcPr>
            <w:tcW w:w="1667" w:type="dxa"/>
          </w:tcPr>
          <w:p>
            <w:pPr>
              <w:pStyle w:val="Compact"/>
              <w:jc w:val="right"/>
            </w:pPr>
            <w:r>
              <w:t xml:space="preserve">0.311</w:t>
            </w:r>
          </w:p>
        </w:tc>
        <w:tc>
          <w:tcPr>
            <w:tcW w:w="1373" w:type="dxa"/>
          </w:tcPr>
          <w:p>
            <w:pPr>
              <w:pStyle w:val="Compact"/>
              <w:jc w:val="right"/>
            </w:pPr>
            <w:r>
              <w:t xml:space="preserve">−5.2%</w:t>
            </w:r>
          </w:p>
        </w:tc>
        <w:tc>
          <w:tcPr>
            <w:tcW w:w="1763" w:type="dxa"/>
          </w:tcPr>
          <w:p>
            <w:pPr>
              <w:pStyle w:val="Compact"/>
            </w:pPr>
            <w:r>
              <w:t xml:space="preserve">In progress</w:t>
            </w:r>
          </w:p>
        </w:tc>
      </w:tr>
      <w:tr>
        <w:tc>
          <w:tcPr>
            <w:tcW w:w="1667" w:type="dxa"/>
          </w:tcPr>
          <w:p>
            <w:pPr>
              <w:pStyle w:val="Compact"/>
            </w:pPr>
            <w:r>
              <w:t xml:space="preserve">Southern</w:t>
            </w:r>
          </w:p>
        </w:tc>
        <w:tc>
          <w:tcPr>
            <w:tcW w:w="1471" w:type="dxa"/>
          </w:tcPr>
          <w:p>
            <w:pPr>
              <w:pStyle w:val="Compact"/>
              <w:jc w:val="right"/>
            </w:pPr>
            <w:r>
              <w:t xml:space="preserve">204.6</w:t>
            </w:r>
          </w:p>
        </w:tc>
        <w:tc>
          <w:tcPr>
            <w:tcW w:w="1471" w:type="dxa"/>
          </w:tcPr>
          <w:p>
            <w:pPr>
              <w:pStyle w:val="Compact"/>
              <w:jc w:val="right"/>
            </w:pPr>
            <w:r>
              <w:t xml:space="preserve">612.4</w:t>
            </w:r>
          </w:p>
        </w:tc>
        <w:tc>
          <w:tcPr>
            <w:tcW w:w="1667" w:type="dxa"/>
          </w:tcPr>
          <w:p>
            <w:pPr>
              <w:pStyle w:val="Compact"/>
              <w:jc w:val="right"/>
            </w:pPr>
            <w:r>
              <w:t xml:space="preserve">0.377</w:t>
            </w:r>
          </w:p>
        </w:tc>
        <w:tc>
          <w:tcPr>
            <w:tcW w:w="1373" w:type="dxa"/>
          </w:tcPr>
          <w:p>
            <w:pPr>
              <w:pStyle w:val="Compact"/>
              <w:jc w:val="right"/>
            </w:pPr>
            <w:r>
              <w:t xml:space="preserve">+1.9%</w:t>
            </w:r>
          </w:p>
        </w:tc>
        <w:tc>
          <w:tcPr>
            <w:tcW w:w="1763" w:type="dxa"/>
          </w:tcPr>
          <w:p>
            <w:pPr>
              <w:pStyle w:val="Compact"/>
            </w:pPr>
            <w:r>
              <w:t xml:space="preserve">Under review</w:t>
            </w:r>
          </w:p>
        </w:tc>
      </w:tr>
      <w:tr>
        <w:tc>
          <w:tcPr>
            <w:tcW w:w="1667" w:type="dxa"/>
          </w:tcPr>
          <w:p>
            <w:pPr>
              <w:pStyle w:val="Compact"/>
            </w:pPr>
            <w:r>
              <w:t xml:space="preserve">Western</w:t>
            </w:r>
          </w:p>
        </w:tc>
        <w:tc>
          <w:tcPr>
            <w:tcW w:w="1471" w:type="dxa"/>
          </w:tcPr>
          <w:p>
            <w:pPr>
              <w:pStyle w:val="Compact"/>
              <w:jc w:val="right"/>
            </w:pPr>
            <w:r>
              <w:t xml:space="preserve">289.9</w:t>
            </w:r>
          </w:p>
        </w:tc>
        <w:tc>
          <w:tcPr>
            <w:tcW w:w="1471" w:type="dxa"/>
          </w:tcPr>
          <w:p>
            <w:pPr>
              <w:pStyle w:val="Compact"/>
              <w:jc w:val="right"/>
            </w:pPr>
            <w:r>
              <w:t xml:space="preserve">845.0</w:t>
            </w:r>
          </w:p>
        </w:tc>
        <w:tc>
          <w:tcPr>
            <w:tcW w:w="1667" w:type="dxa"/>
          </w:tcPr>
          <w:p>
            <w:pPr>
              <w:pStyle w:val="Compact"/>
              <w:jc w:val="right"/>
            </w:pPr>
            <w:r>
              <w:t xml:space="preserve">0.298</w:t>
            </w:r>
          </w:p>
        </w:tc>
        <w:tc>
          <w:tcPr>
            <w:tcW w:w="1373" w:type="dxa"/>
          </w:tcPr>
          <w:p>
            <w:pPr>
              <w:pStyle w:val="Compact"/>
              <w:jc w:val="right"/>
            </w:pPr>
            <w:r>
              <w:t xml:space="preserve">−6.8%</w:t>
            </w:r>
          </w:p>
        </w:tc>
        <w:tc>
          <w:tcPr>
            <w:tcW w:w="1763" w:type="dxa"/>
          </w:tcPr>
          <w:p>
            <w:pPr>
              <w:pStyle w:val="Compact"/>
            </w:pPr>
            <w:r>
              <w:t xml:space="preserve">Complete</w:t>
            </w:r>
          </w:p>
        </w:tc>
      </w:tr>
      <w:tr>
        <w:tc>
          <w:tcPr>
            <w:tcW w:w="1667" w:type="dxa"/>
          </w:tcPr>
          <w:p>
            <w:pPr>
              <w:pStyle w:val="Compact"/>
            </w:pPr>
            <w:r>
              <w:t xml:space="preserve">Group</w:t>
            </w:r>
          </w:p>
        </w:tc>
        <w:tc>
          <w:tcPr>
            <w:tcW w:w="1471" w:type="dxa"/>
          </w:tcPr>
          <w:p>
            <w:pPr>
              <w:pStyle w:val="Compact"/>
              <w:jc w:val="right"/>
            </w:pPr>
            <w:r>
              <w:t xml:space="preserve">1,225.5</w:t>
            </w:r>
          </w:p>
        </w:tc>
        <w:tc>
          <w:tcPr>
            <w:tcW w:w="1471" w:type="dxa"/>
          </w:tcPr>
          <w:p>
            <w:pPr>
              <w:pStyle w:val="Compact"/>
              <w:jc w:val="right"/>
            </w:pPr>
            <w:r>
              <w:t xml:space="preserve">3,649.0</w:t>
            </w:r>
          </w:p>
        </w:tc>
        <w:tc>
          <w:tcPr>
            <w:tcW w:w="1667" w:type="dxa"/>
          </w:tcPr>
          <w:p>
            <w:pPr>
              <w:pStyle w:val="Compact"/>
              <w:jc w:val="right"/>
            </w:pPr>
            <w:r>
              <w:t xml:space="preserve">0.312</w:t>
            </w:r>
          </w:p>
        </w:tc>
        <w:tc>
          <w:tcPr>
            <w:tcW w:w="1373" w:type="dxa"/>
          </w:tcPr>
          <w:p>
            <w:pPr>
              <w:pStyle w:val="Compact"/>
              <w:jc w:val="right"/>
            </w:pPr>
            <w:r>
              <w:t xml:space="preserve">−6.4%</w:t>
            </w:r>
          </w:p>
        </w:tc>
        <w:tc>
          <w:tcPr>
            <w:tcW w:w="1763"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EEF1F4"/>
        <w:pBdr>
          <w:top w:val="single" w:sz="4" w:space="28" w:color="D9DDE1"/>
          <w:bottom w:val="single" w:sz="4" w:space="28" w:color="D9DDE1"/>
          <w:left w:val="single" w:sz="4" w:space="8" w:color="D9DDE1"/>
          <w:right w:val="single" w:sz="4" w:space="8" w:color="D9DDE1"/>
        </w:pBdr>
        <w:jc w:val="center"/>
      </w:pPr>
      <w:r>
        <w:rPr>
          <w:rFonts w:ascii="Consolas" w:hAnsi="Consolas" w:cs="Consolas"/>
          <w:color w:val="565C63"/>
          <w:sz w:val="16"/>
          <w:szCs w:val="16"/>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134" w:right="1247" w:bottom="1134" w:left="1247"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2">
    <w:multiLevelType w:val="multilevel"/>
    <w:lvl w:ilvl="0">
      <w:start w:val="1"/>
      <w:numFmt w:val="decimal"/>
      <w:pStyle w:val="Heading1"/>
      <w:suff w:val="space"/>
      <w:lvlText w:val="%1"/>
      <w:lvlJc w:val="left"/>
      <w:pPr>
        <w:ind w:left="595" w:hanging="595"/>
      </w:pPr>
    </w:lvl>
    <w:lvl w:ilvl="1">
      <w:start w:val="1"/>
      <w:numFmt w:val="decimal"/>
      <w:pStyle w:val="Heading2"/>
      <w:suff w:val="tab"/>
      <w:lvlText w:val="%1.%2"/>
      <w:lvlJc w:val="left"/>
      <w:pPr>
        <w:ind w:left="793" w:hanging="793"/>
      </w:pPr>
    </w:lvl>
    <w:lvl w:ilvl="2">
      <w:start w:val="1"/>
      <w:numFmt w:val="decimal"/>
      <w:pStyle w:val="Heading3"/>
      <w:suff w:val="tab"/>
      <w:lvlText w:val="%1.%2.%3"/>
      <w:lvlJc w:val="left"/>
      <w:pPr>
        <w:ind w:left="992" w:hanging="992"/>
      </w:pPr>
    </w:lvl>
    <w:lvl w:ilvl="3">
      <w:start w:val="1"/>
      <w:numFmt w:val="decimal"/>
      <w:pStyle w:val="Heading4"/>
      <w:suff w:val="tab"/>
      <w:lvlText w:val="%1.%2.%3.%4"/>
      <w:lvlJc w:val="left"/>
      <w:pPr>
        <w:ind w:left="1190" w:hanging="1190"/>
      </w:pPr>
    </w:lvl>
    <w:lvl w:ilvl="4">
      <w:start w:val="1"/>
      <w:numFmt w:val="decimal"/>
      <w:pStyle w:val="Heading5"/>
      <w:suff w:val="tab"/>
      <w:lvlText w:val="%1.%2.%3.%4.%5"/>
      <w:lvlJc w:val="left"/>
      <w:pPr>
        <w:ind w:left="1389" w:hanging="1389"/>
      </w:pPr>
    </w:lvl>
    <w:lvl w:ilvl="5">
      <w:numFmt w:val="none"/>
      <w:lvlText w:val=""/>
      <w:lvlJc w:val="left"/>
    </w:lvl>
    <w:lvl w:ilvl="6">
      <w:numFmt w:val="none"/>
      <w:lvlText w:val=""/>
      <w:lvlJc w:val="left"/>
    </w:lvl>
    <w:lvl w:ilvl="7">
      <w:numFmt w:val="none"/>
      <w:lvlText w:val=""/>
      <w:lvlJc w:val="left"/>
    </w:lvl>
    <w:lvl w:ilvl="8">
      <w:numFmt w:val="none"/>
      <w:lvlText w:val=""/>
      <w:lvlJc w:val="left"/>
    </w:lvl>
  </w:abstractNum>
  <w:num w:numId="42">
    <w:abstractNumId w:val="42"/>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hAnsi="Calibri" w:cs="Calibri"/>
        <w:color w:val="16191D"/>
        <w:sz w:val="20"/>
        <w:szCs w:val="20"/>
        <w:lang w:val="en-GB"/>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100" w:line="240" w:lineRule="auto"/>
    </w:pPr>
  </w:style>
  <w:style w:type="paragraph" w:styleId="FirstParagraph">
    <w:name w:val="First Paragraph"/>
    <w:basedOn w:val="BodyText"/>
    <w:next w:val="BodyText"/>
    <w:qFormat/>
  </w:style>
  <w:style w:type="paragraph" w:styleId="Compact">
    <w:name w:val="Compact"/>
    <w:basedOn w:val="BodyText"/>
    <w:qFormat/>
    <w:pPr>
      <w:spacing w:after="40" w:line="240" w:lineRule="auto"/>
    </w:pPr>
  </w:style>
  <w:style w:type="paragraph" w:styleId="Title">
    <w:name w:val="Title"/>
    <w:basedOn w:val="Normal"/>
    <w:next w:val="Subtitle"/>
    <w:link w:val="TitleChar"/>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60" w:line="240" w:lineRule="auto"/>
    </w:pPr>
    <w:rPr>
      <w:rFonts w:ascii="Calibri" w:hAnsi="Calibri" w:cs="Calibri"/>
      <w:b/>
      <w:color w:val="21456E"/>
      <w:sz w:val="40"/>
      <w:szCs w:val="40"/>
    </w:rPr>
  </w:style>
  <w:style w:type="character" w:styleId="TitleChar">
    <w:name w:val="Title Char"/>
    <w:basedOn w:val="DefaultParagraphFont"/>
    <w:rPr>
      <w:rFonts w:ascii="Calibri" w:hAnsi="Calibri" w:cs="Calibri"/>
      <w:color w:val="21456E"/>
      <w:sz w:val="40"/>
      <w:szCs w:val="40"/>
    </w:rPr>
  </w:style>
  <w:style w:type="paragraph" w:styleId="Subtitle">
    <w:name w:val="Subtitle"/>
    <w:basedOn w:val="Normal"/>
    <w:next w:val="Author"/>
    <w:link w:val="SubtitleChar"/>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160" w:line="240" w:lineRule="auto"/>
    </w:pPr>
    <w:rPr>
      <w:rFonts w:ascii="Calibri" w:hAnsi="Calibri" w:cs="Calibri"/>
      <w:color w:val="565C63"/>
      <w:sz w:val="24"/>
      <w:szCs w:val="24"/>
    </w:rPr>
  </w:style>
  <w:style w:type="character" w:styleId="SubtitleChar">
    <w:name w:val="Subtitle Char"/>
    <w:basedOn w:val="DefaultParagraphFont"/>
    <w:rPr>
      <w:rFonts w:ascii="Calibri" w:hAnsi="Calibri" w:cs="Calibri"/>
      <w:color w:val="565C63"/>
      <w:sz w:val="24"/>
      <w:szCs w:val="24"/>
    </w:rPr>
  </w:style>
  <w:style w:type="paragraph" w:styleId="Author">
    <w:name w:val="Author"/>
    <w:basedOn w:val="Normal"/>
    <w:next w:val="Date"/>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0" w:line="240" w:lineRule="auto"/>
    </w:pPr>
    <w:rPr>
      <w:rFonts w:ascii="Consolas" w:hAnsi="Consolas" w:cs="Consolas"/>
      <w:b/>
      <w:color w:val="16191D"/>
      <w:sz w:val="18"/>
      <w:szCs w:val="18"/>
    </w:rPr>
  </w:style>
  <w:style w:type="paragraph" w:styleId="Date">
    <w:name w:val="Date"/>
    <w:basedOn w:val="Normal"/>
    <w:next w:val="BodyText"/>
    <w:qFormat/>
    <w:pPr>
      <w:shd w:val="clear" w:color="auto" w:fill="EEF1F4"/>
      <w:pBdr>
        <w:left w:val="single" w:sz="24" w:space="8" w:color="21456E"/>
        <w:top w:val="single" w:sz="4" w:space="6" w:color="EEF1F4"/>
        <w:bottom w:val="single" w:sz="4" w:space="6" w:color="EEF1F4"/>
        <w:right w:val="single" w:sz="4" w:space="8" w:color="EEF1F4"/>
      </w:pBdr>
      <w:spacing w:line="240" w:lineRule="auto"/>
      <w:spacing w:before="0" w:after="280" w:line="240" w:lineRule="auto"/>
    </w:pPr>
    <w:rPr>
      <w:rFonts w:ascii="Consolas" w:hAnsi="Consolas" w:cs="Consolas"/>
      <w:color w:val="565C63"/>
      <w:sz w:val="18"/>
      <w:szCs w:val="18"/>
    </w:rPr>
  </w:style>
  <w:style w:type="paragraph" w:styleId="AbstractTitle">
    <w:name w:val="Abstract Title"/>
    <w:basedOn w:val="Normal"/>
    <w:next w:val="Abstract"/>
    <w:qFormat/>
    <w:pPr>
      <w:keepNext/>
      <w:spacing w:before="240" w:after="60" w:line="240" w:lineRule="auto"/>
    </w:pPr>
    <w:rPr>
      <w:rFonts w:ascii="Calibri" w:hAnsi="Calibri" w:cs="Calibri"/>
      <w:b/>
      <w:smallCaps/>
      <w:color w:val="21456E"/>
      <w:sz w:val="19"/>
      <w:szCs w:val="19"/>
      <w:spacing w:val="20"/>
    </w:rPr>
  </w:style>
  <w:style w:type="paragraph" w:styleId="Abstract">
    <w:name w:val="Abstract"/>
    <w:basedOn w:val="BodyText"/>
    <w:next w:val="BodyText"/>
    <w:qFormat/>
    <w:pPr>
      <w:spacing w:after="160" w:line="240" w:lineRule="auto"/>
      <w:ind w:left="283"/>
    </w:pPr>
    <w:rPr>
      <w:rFonts w:ascii="Calibri" w:hAnsi="Calibri" w:cs="Calibri"/>
      <w:color w:val="565C63"/>
      <w:sz w:val="19"/>
      <w:szCs w:val="19"/>
    </w:rPr>
  </w:style>
  <w:style w:type="paragraph" w:styleId="Heading1">
    <w:name w:val="heading 1"/>
    <w:basedOn w:val="Normal"/>
    <w:next w:val="BodyText"/>
    <w:link w:val="Heading1Char"/>
    <w:qFormat/>
    <w:pPr>
      <w:keepNext/>
      <w:keepLines/>
      <w:numPr>
        <w:ilvl w:val="0"/>
        <w:numId w:val="42"/>
      </w:numPr>
      <w:shd w:val="clear" w:color="auto" w:fill="21456E"/>
      <w:pBdr>
        <w:top w:val="single" w:sz="2" w:space="5" w:color="21456E"/>
        <w:bottom w:val="single" w:sz="2" w:space="5" w:color="21456E"/>
        <w:left w:val="single" w:sz="2" w:space="8" w:color="21456E"/>
        <w:right w:val="single" w:sz="2" w:space="8" w:color="21456E"/>
      </w:pBdr>
      <w:spacing w:before="360" w:after="140" w:line="240" w:lineRule="auto"/>
      <w:ind w:left="595" w:hanging="595"/>
    </w:pPr>
    <w:rPr>
      <w:rFonts w:ascii="Calibri" w:hAnsi="Calibri" w:cs="Calibri"/>
      <w:b/>
      <w:color w:val="FFFFFF"/>
      <w:sz w:val="28"/>
      <w:szCs w:val="28"/>
    </w:rPr>
  </w:style>
  <w:style w:type="character" w:styleId="Heading1Char">
    <w:name w:val="Heading 1 Char"/>
    <w:basedOn w:val="DefaultParagraphFont"/>
    <w:rPr>
      <w:rFonts w:ascii="Calibri" w:hAnsi="Calibri" w:cs="Calibri"/>
      <w:b/>
      <w:color w:val="FFFFFF"/>
      <w:sz w:val="28"/>
      <w:szCs w:val="28"/>
    </w:rPr>
  </w:style>
  <w:style w:type="paragraph" w:styleId="Heading2">
    <w:name w:val="heading 2"/>
    <w:basedOn w:val="Normal"/>
    <w:next w:val="BodyText"/>
    <w:link w:val="Heading2Char"/>
    <w:qFormat/>
    <w:pPr>
      <w:keepNext/>
      <w:keepLines/>
      <w:numPr>
        <w:ilvl w:val="1"/>
        <w:numId w:val="42"/>
      </w:numPr>
      <w:pBdr>
        <w:bottom w:val="single" w:sz="4" w:space="3" w:color="D9DDE1"/>
      </w:pBdr>
      <w:spacing w:before="280" w:after="80" w:line="240" w:lineRule="auto"/>
      <w:ind w:left="793" w:hanging="793"/>
    </w:pPr>
    <w:rPr>
      <w:rFonts w:ascii="Calibri" w:hAnsi="Calibri" w:cs="Calibri"/>
      <w:b/>
      <w:color w:val="21456E"/>
      <w:sz w:val="24"/>
      <w:szCs w:val="24"/>
    </w:rPr>
  </w:style>
  <w:style w:type="character" w:styleId="Heading2Char">
    <w:name w:val="Heading 2 Char"/>
    <w:basedOn w:val="DefaultParagraphFont"/>
    <w:rPr>
      <w:rFonts w:ascii="Calibri" w:hAnsi="Calibri" w:cs="Calibri"/>
      <w:b/>
      <w:color w:val="21456E"/>
      <w:sz w:val="24"/>
      <w:szCs w:val="24"/>
    </w:rPr>
  </w:style>
  <w:style w:type="paragraph" w:styleId="Heading3">
    <w:name w:val="heading 3"/>
    <w:basedOn w:val="Normal"/>
    <w:next w:val="BodyText"/>
    <w:link w:val="Heading3Char"/>
    <w:qFormat/>
    <w:pPr>
      <w:keepNext/>
      <w:keepLines/>
      <w:numPr>
        <w:ilvl w:val="2"/>
        <w:numId w:val="42"/>
      </w:numPr>
      <w:spacing w:before="240" w:after="60" w:line="240" w:lineRule="auto"/>
      <w:ind w:left="992" w:hanging="992"/>
    </w:pPr>
    <w:rPr>
      <w:rFonts w:ascii="Calibri" w:hAnsi="Calibri" w:cs="Calibri"/>
      <w:b/>
      <w:color w:val="16191D"/>
      <w:sz w:val="21"/>
      <w:szCs w:val="21"/>
    </w:rPr>
  </w:style>
  <w:style w:type="character" w:styleId="Heading3Char">
    <w:name w:val="Heading 3 Char"/>
    <w:basedOn w:val="DefaultParagraphFont"/>
    <w:rPr>
      <w:rFonts w:ascii="Calibri" w:hAnsi="Calibri" w:cs="Calibri"/>
      <w:b/>
      <w:color w:val="16191D"/>
      <w:sz w:val="21"/>
      <w:szCs w:val="21"/>
    </w:rPr>
  </w:style>
  <w:style w:type="paragraph" w:styleId="Heading4">
    <w:name w:val="heading 4"/>
    <w:basedOn w:val="Normal"/>
    <w:next w:val="BodyText"/>
    <w:link w:val="Heading4Char"/>
    <w:qFormat/>
    <w:pPr>
      <w:keepNext/>
      <w:keepLines/>
      <w:numPr>
        <w:ilvl w:val="3"/>
        <w:numId w:val="42"/>
      </w:numPr>
      <w:spacing w:before="200" w:after="50" w:line="240" w:lineRule="auto"/>
      <w:ind w:left="1190" w:hanging="1190"/>
    </w:pPr>
    <w:rPr>
      <w:rFonts w:ascii="Calibri" w:hAnsi="Calibri" w:cs="Calibri"/>
      <w:b/>
      <w:color w:val="565C63"/>
      <w:sz w:val="20"/>
      <w:szCs w:val="20"/>
    </w:rPr>
  </w:style>
  <w:style w:type="character" w:styleId="Heading4Char">
    <w:name w:val="Heading 4 Char"/>
    <w:basedOn w:val="DefaultParagraphFont"/>
    <w:rPr>
      <w:rFonts w:ascii="Calibri" w:hAnsi="Calibri" w:cs="Calibri"/>
      <w:b/>
      <w:color w:val="565C63"/>
      <w:sz w:val="20"/>
      <w:szCs w:val="20"/>
    </w:rPr>
  </w:style>
  <w:style w:type="paragraph" w:styleId="Heading5">
    <w:name w:val="heading 5"/>
    <w:basedOn w:val="Normal"/>
    <w:next w:val="BodyText"/>
    <w:link w:val="Heading5Char"/>
    <w:qFormat/>
    <w:pPr>
      <w:keepNext/>
      <w:keepLines/>
      <w:numPr>
        <w:ilvl w:val="4"/>
        <w:numId w:val="42"/>
      </w:numPr>
      <w:spacing w:before="180" w:after="40" w:line="240" w:lineRule="auto"/>
      <w:ind w:left="1389" w:hanging="1389"/>
    </w:pPr>
    <w:rPr>
      <w:rFonts w:ascii="Calibri" w:hAnsi="Calibri" w:cs="Calibri"/>
      <w:b/>
      <w:i/>
      <w:color w:val="565C63"/>
      <w:sz w:val="19"/>
      <w:szCs w:val="19"/>
    </w:rPr>
  </w:style>
  <w:style w:type="character" w:styleId="Heading5Char">
    <w:name w:val="Heading 5 Char"/>
    <w:basedOn w:val="DefaultParagraphFont"/>
    <w:rPr>
      <w:rFonts w:ascii="Calibri" w:hAnsi="Calibri" w:cs="Calibri"/>
      <w:b/>
      <w:i/>
      <w:color w:val="565C63"/>
      <w:sz w:val="19"/>
      <w:szCs w:val="19"/>
    </w:rPr>
  </w:style>
  <w:style w:type="paragraph" w:styleId="Heading6">
    <w:name w:val="heading 6"/>
    <w:basedOn w:val="Normal"/>
    <w:next w:val="BodyText"/>
    <w:link w:val="Heading6Char"/>
    <w:qFormat/>
    <w:pPr>
      <w:keepNext/>
      <w:keepLines/>
      <w:spacing w:before="160" w:after="40" w:line="240" w:lineRule="auto"/>
    </w:pPr>
    <w:rPr>
      <w:rFonts w:ascii="Calibri" w:hAnsi="Calibri" w:cs="Calibri"/>
      <w:i/>
      <w:color w:val="565C63"/>
      <w:sz w:val="19"/>
      <w:szCs w:val="19"/>
    </w:rPr>
  </w:style>
  <w:style w:type="character" w:styleId="Heading6Char">
    <w:name w:val="Heading 6 Char"/>
    <w:basedOn w:val="DefaultParagraphFont"/>
    <w:rPr>
      <w:rFonts w:ascii="Calibri" w:hAnsi="Calibri" w:cs="Calibri"/>
      <w:i/>
      <w:color w:val="565C63"/>
      <w:sz w:val="19"/>
      <w:szCs w:val="19"/>
    </w:rPr>
  </w:style>
  <w:style w:type="paragraph" w:styleId="Heading7">
    <w:name w:val="heading 7"/>
    <w:basedOn w:val="Heading6"/>
    <w:next w:val="BodyText"/>
    <w:link w:val="Heading7Char"/>
    <w:qFormat/>
  </w:style>
  <w:style w:type="character" w:styleId="Heading7Char">
    <w:name w:val="Heading 7 Char"/>
    <w:basedOn w:val="DefaultParagraphFont"/>
    <w:rPr>
      <w:rFonts w:ascii="Calibri" w:hAnsi="Calibri" w:cs="Calibri"/>
      <w:i/>
      <w:color w:val="565C63"/>
      <w:sz w:val="19"/>
      <w:szCs w:val="19"/>
    </w:rPr>
  </w:style>
  <w:style w:type="paragraph" w:styleId="Heading8">
    <w:name w:val="heading 8"/>
    <w:basedOn w:val="Heading6"/>
    <w:next w:val="BodyText"/>
    <w:link w:val="Heading8Char"/>
    <w:qFormat/>
  </w:style>
  <w:style w:type="character" w:styleId="Heading8Char">
    <w:name w:val="Heading 8 Char"/>
    <w:basedOn w:val="DefaultParagraphFont"/>
    <w:rPr>
      <w:rFonts w:ascii="Calibri" w:hAnsi="Calibri" w:cs="Calibri"/>
      <w:i/>
      <w:color w:val="565C63"/>
      <w:sz w:val="19"/>
      <w:szCs w:val="19"/>
    </w:rPr>
  </w:style>
  <w:style w:type="paragraph" w:styleId="Heading9">
    <w:name w:val="heading 9"/>
    <w:basedOn w:val="Heading6"/>
    <w:next w:val="BodyText"/>
    <w:link w:val="Heading9Char"/>
    <w:qFormat/>
  </w:style>
  <w:style w:type="character" w:styleId="Heading9Char">
    <w:name w:val="Heading 9 Char"/>
    <w:basedOn w:val="DefaultParagraphFont"/>
    <w:rPr>
      <w:rFonts w:ascii="Calibri" w:hAnsi="Calibri" w:cs="Calibri"/>
      <w:i/>
      <w:color w:val="565C63"/>
      <w:sz w:val="19"/>
      <w:szCs w:val="19"/>
    </w:rPr>
  </w:style>
  <w:style w:type="paragraph" w:styleId="BlockText">
    <w:name w:val="Block Text"/>
    <w:basedOn w:val="BodyText"/>
    <w:next w:val="BodyText"/>
    <w:qFormat/>
    <w:pPr>
      <w:shd w:val="clear" w:color="auto" w:fill="EEF1F4"/>
      <w:pBdr>
        <w:left w:val="single" w:sz="18" w:space="8" w:color="21456E"/>
      </w:pBdr>
      <w:spacing w:before="160" w:after="160" w:line="240" w:lineRule="auto"/>
      <w:ind w:left="226"/>
    </w:pPr>
    <w:rPr>
      <w:rFonts w:ascii="Calibri" w:hAnsi="Calibri" w:cs="Calibri"/>
      <w:i/>
      <w:color w:val="16304F"/>
      <w:sz w:val="21"/>
      <w:szCs w:val="21"/>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Calibri" w:hAnsi="Calibri" w:cs="Calibri"/>
      <w:b/>
      <w:color w:val="21456E"/>
      <w:sz w:val="20"/>
      <w:szCs w:val="20"/>
    </w:rPr>
  </w:style>
  <w:style w:type="paragraph" w:styleId="Definition">
    <w:name w:val="Definition"/>
    <w:basedOn w:val="BodyText"/>
    <w:next w:val="BodyText"/>
    <w:qFormat/>
    <w:pPr>
      <w:pBdr>
        <w:bottom w:val="single" w:sz="4" w:space="3" w:color="D9DDE1"/>
      </w:pBdr>
      <w:spacing w:after="100" w:line="240" w:lineRule="auto"/>
      <w:ind w:left="396"/>
    </w:pPr>
  </w:style>
  <w:style w:type="paragraph" w:styleId="Caption">
    <w:name w:val="Caption"/>
    <w:basedOn w:val="Normal"/>
    <w:next w:val="BodyText"/>
    <w:qFormat/>
    <w:pPr>
      <w:spacing w:before="60" w:after="200" w:line="240" w:lineRule="auto"/>
    </w:pPr>
    <w:rPr>
      <w:rFonts w:ascii="Calibri" w:hAnsi="Calibri" w:cs="Calibri"/>
      <w:b/>
      <w:color w:val="565C63"/>
      <w:sz w:val="17"/>
      <w:szCs w:val="17"/>
    </w:rPr>
  </w:style>
  <w:style w:type="paragraph" w:styleId="TableCaption">
    <w:name w:val="Table Caption"/>
    <w:basedOn w:val="Caption"/>
    <w:next w:val="BodyText"/>
    <w:qFormat/>
    <w:pPr>
      <w:keepNext/>
      <w:spacing w:before="160" w:after="60" w:line="240" w:lineRule="auto"/>
    </w:pPr>
    <w:rPr>
      <w:rFonts w:ascii="Calibri" w:hAnsi="Calibri" w:cs="Calibri"/>
      <w:b/>
      <w:smallCaps/>
      <w:color w:val="21456E"/>
      <w:sz w:val="17"/>
      <w:szCs w:val="17"/>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1E2430"/>
      <w:pBdr>
        <w:top w:val="single" w:sz="2" w:space="5" w:color="1E2430"/>
        <w:bottom w:val="single" w:sz="2" w:space="5" w:color="1E2430"/>
        <w:left w:val="single" w:sz="2" w:space="8" w:color="1E2430"/>
        <w:right w:val="single" w:sz="2" w:space="8" w:color="1E2430"/>
      </w:pBdr>
      <w:spacing w:before="0" w:after="0" w:line="240" w:lineRule="auto"/>
      <w:contextualSpacing/>
    </w:pPr>
    <w:rPr>
      <w:rFonts w:ascii="Consolas" w:hAnsi="Consolas" w:cs="Consolas"/>
      <w:color w:val="D6DBE3"/>
      <w:sz w:val="17"/>
      <w:szCs w:val="17"/>
    </w:rPr>
  </w:style>
  <w:style w:type="character" w:customStyle="1" w:styleId="VerbatimChar">
    <w:name w:val="Verbatim Char"/>
    <w:basedOn w:val="DefaultParagraphFont"/>
    <w:qFormat/>
    <w:rPr>
      <w:rFonts w:ascii="Consolas" w:hAnsi="Consolas" w:cs="Consolas"/>
      <w:color w:val="16191D"/>
      <w:sz w:val="18"/>
      <w:szCs w:val="18"/>
      <w:shd w:val="clear" w:color="auto" w:fill="EEF1F4"/>
    </w:rPr>
  </w:style>
  <w:style w:type="character" w:customStyle="1" w:styleId="KeywordTok">
    <w:name w:val="KeywordTok"/>
    <w:basedOn w:val="DefaultParagraphFont"/>
    <w:rPr>
      <w:rFonts w:ascii="Consolas" w:hAnsi="Consolas" w:cs="Consolas"/>
      <w:b/>
      <w:color w:val="7FB2FF"/>
      <w:sz w:val="17"/>
      <w:szCs w:val="17"/>
    </w:rPr>
  </w:style>
  <w:style w:type="character" w:customStyle="1" w:styleId="ControlFlowTok">
    <w:name w:val="ControlFlowTok"/>
    <w:basedOn w:val="DefaultParagraphFont"/>
    <w:rPr>
      <w:rFonts w:ascii="Consolas" w:hAnsi="Consolas" w:cs="Consolas"/>
      <w:b/>
      <w:color w:val="7FB2FF"/>
      <w:sz w:val="17"/>
      <w:szCs w:val="17"/>
    </w:rPr>
  </w:style>
  <w:style w:type="character" w:customStyle="1" w:styleId="ImportTok">
    <w:name w:val="ImportTok"/>
    <w:basedOn w:val="DefaultParagraphFont"/>
    <w:rPr>
      <w:rFonts w:ascii="Consolas" w:hAnsi="Consolas" w:cs="Consolas"/>
      <w:b/>
      <w:color w:val="7FB2FF"/>
      <w:sz w:val="17"/>
      <w:szCs w:val="17"/>
    </w:rPr>
  </w:style>
  <w:style w:type="character" w:customStyle="1" w:styleId="DataTypeTok">
    <w:name w:val="DataTypeTok"/>
    <w:basedOn w:val="DefaultParagraphFont"/>
    <w:rPr>
      <w:rFonts w:ascii="Consolas" w:hAnsi="Consolas" w:cs="Consolas"/>
      <w:color w:val="7FD8C0"/>
      <w:sz w:val="17"/>
      <w:szCs w:val="17"/>
    </w:rPr>
  </w:style>
  <w:style w:type="character" w:customStyle="1" w:styleId="DecValTok">
    <w:name w:val="DecValTok"/>
    <w:basedOn w:val="DefaultParagraphFont"/>
    <w:rPr>
      <w:rFonts w:ascii="Consolas" w:hAnsi="Consolas" w:cs="Consolas"/>
      <w:color w:val="FFB86B"/>
      <w:sz w:val="17"/>
      <w:szCs w:val="17"/>
    </w:rPr>
  </w:style>
  <w:style w:type="character" w:customStyle="1" w:styleId="BaseNTok">
    <w:name w:val="BaseNTok"/>
    <w:basedOn w:val="DefaultParagraphFont"/>
    <w:rPr>
      <w:rFonts w:ascii="Consolas" w:hAnsi="Consolas" w:cs="Consolas"/>
      <w:color w:val="FFB86B"/>
      <w:sz w:val="17"/>
      <w:szCs w:val="17"/>
    </w:rPr>
  </w:style>
  <w:style w:type="character" w:customStyle="1" w:styleId="FloatTok">
    <w:name w:val="FloatTok"/>
    <w:basedOn w:val="DefaultParagraphFont"/>
    <w:rPr>
      <w:rFonts w:ascii="Consolas" w:hAnsi="Consolas" w:cs="Consolas"/>
      <w:color w:val="FFB86B"/>
      <w:sz w:val="17"/>
      <w:szCs w:val="17"/>
    </w:rPr>
  </w:style>
  <w:style w:type="character" w:customStyle="1" w:styleId="ConstantTok">
    <w:name w:val="ConstantTok"/>
    <w:basedOn w:val="DefaultParagraphFont"/>
    <w:rPr>
      <w:rFonts w:ascii="Consolas" w:hAnsi="Consolas" w:cs="Consolas"/>
      <w:color w:val="FFB86B"/>
      <w:sz w:val="17"/>
      <w:szCs w:val="17"/>
    </w:rPr>
  </w:style>
  <w:style w:type="character" w:customStyle="1" w:styleId="SpecialCharTok">
    <w:name w:val="SpecialCharTok"/>
    <w:basedOn w:val="DefaultParagraphFont"/>
    <w:rPr>
      <w:rFonts w:ascii="Consolas" w:hAnsi="Consolas" w:cs="Consolas"/>
      <w:color w:val="FFB86B"/>
      <w:sz w:val="17"/>
      <w:szCs w:val="17"/>
    </w:rPr>
  </w:style>
  <w:style w:type="character" w:customStyle="1" w:styleId="AttributeTok">
    <w:name w:val="AttributeTok"/>
    <w:basedOn w:val="DefaultParagraphFont"/>
    <w:rPr>
      <w:rFonts w:ascii="Consolas" w:hAnsi="Consolas" w:cs="Consolas"/>
      <w:color w:val="FFB86B"/>
      <w:sz w:val="17"/>
      <w:szCs w:val="17"/>
    </w:rPr>
  </w:style>
  <w:style w:type="character" w:customStyle="1" w:styleId="PreprocessorTok">
    <w:name w:val="PreprocessorTok"/>
    <w:basedOn w:val="DefaultParagraphFont"/>
    <w:rPr>
      <w:rFonts w:ascii="Consolas" w:hAnsi="Consolas" w:cs="Consolas"/>
      <w:color w:val="FFB86B"/>
      <w:sz w:val="17"/>
      <w:szCs w:val="17"/>
    </w:rPr>
  </w:style>
  <w:style w:type="character" w:customStyle="1" w:styleId="WarningTok">
    <w:name w:val="WarningTok"/>
    <w:basedOn w:val="DefaultParagraphFont"/>
    <w:rPr>
      <w:rFonts w:ascii="Consolas" w:hAnsi="Consolas" w:cs="Consolas"/>
      <w:color w:val="FFB86B"/>
      <w:sz w:val="17"/>
      <w:szCs w:val="17"/>
    </w:rPr>
  </w:style>
  <w:style w:type="character" w:customStyle="1" w:styleId="StringTok">
    <w:name w:val="StringTok"/>
    <w:basedOn w:val="DefaultParagraphFont"/>
    <w:rPr>
      <w:rFonts w:ascii="Consolas" w:hAnsi="Consolas" w:cs="Consolas"/>
      <w:color w:val="9EDE9B"/>
      <w:sz w:val="17"/>
      <w:szCs w:val="17"/>
    </w:rPr>
  </w:style>
  <w:style w:type="character" w:customStyle="1" w:styleId="CharTok">
    <w:name w:val="CharTok"/>
    <w:basedOn w:val="DefaultParagraphFont"/>
    <w:rPr>
      <w:rFonts w:ascii="Consolas" w:hAnsi="Consolas" w:cs="Consolas"/>
      <w:color w:val="9EDE9B"/>
      <w:sz w:val="17"/>
      <w:szCs w:val="17"/>
    </w:rPr>
  </w:style>
  <w:style w:type="character" w:customStyle="1" w:styleId="VerbatimStringTok">
    <w:name w:val="VerbatimStringTok"/>
    <w:basedOn w:val="DefaultParagraphFont"/>
    <w:rPr>
      <w:rFonts w:ascii="Consolas" w:hAnsi="Consolas" w:cs="Consolas"/>
      <w:color w:val="9EDE9B"/>
      <w:sz w:val="17"/>
      <w:szCs w:val="17"/>
    </w:rPr>
  </w:style>
  <w:style w:type="character" w:customStyle="1" w:styleId="SpecialStringTok">
    <w:name w:val="SpecialStringTok"/>
    <w:basedOn w:val="DefaultParagraphFont"/>
    <w:rPr>
      <w:rFonts w:ascii="Consolas" w:hAnsi="Consolas" w:cs="Consolas"/>
      <w:color w:val="9EDE9B"/>
      <w:sz w:val="17"/>
      <w:szCs w:val="17"/>
    </w:rPr>
  </w:style>
  <w:style w:type="character" w:customStyle="1" w:styleId="CommentTok">
    <w:name w:val="CommentTok"/>
    <w:basedOn w:val="DefaultParagraphFont"/>
    <w:rPr>
      <w:rFonts w:ascii="Consolas" w:hAnsi="Consolas" w:cs="Consolas"/>
      <w:i/>
      <w:color w:val="7D8794"/>
      <w:sz w:val="17"/>
      <w:szCs w:val="17"/>
    </w:rPr>
  </w:style>
  <w:style w:type="character" w:customStyle="1" w:styleId="CommentVarTok">
    <w:name w:val="CommentVarTok"/>
    <w:basedOn w:val="DefaultParagraphFont"/>
    <w:rPr>
      <w:rFonts w:ascii="Consolas" w:hAnsi="Consolas" w:cs="Consolas"/>
      <w:i/>
      <w:color w:val="7D8794"/>
      <w:sz w:val="17"/>
      <w:szCs w:val="17"/>
    </w:rPr>
  </w:style>
  <w:style w:type="character" w:customStyle="1" w:styleId="DocumentationTok">
    <w:name w:val="DocumentationTok"/>
    <w:basedOn w:val="DefaultParagraphFont"/>
    <w:rPr>
      <w:rFonts w:ascii="Consolas" w:hAnsi="Consolas" w:cs="Consolas"/>
      <w:i/>
      <w:color w:val="7D8794"/>
      <w:sz w:val="17"/>
      <w:szCs w:val="17"/>
    </w:rPr>
  </w:style>
  <w:style w:type="character" w:customStyle="1" w:styleId="AnnotationTok">
    <w:name w:val="AnnotationTok"/>
    <w:basedOn w:val="DefaultParagraphFont"/>
    <w:rPr>
      <w:rFonts w:ascii="Consolas" w:hAnsi="Consolas" w:cs="Consolas"/>
      <w:i/>
      <w:color w:val="7D8794"/>
      <w:sz w:val="17"/>
      <w:szCs w:val="17"/>
    </w:rPr>
  </w:style>
  <w:style w:type="character" w:customStyle="1" w:styleId="InformationTok">
    <w:name w:val="InformationTok"/>
    <w:basedOn w:val="DefaultParagraphFont"/>
    <w:rPr>
      <w:rFonts w:ascii="Consolas" w:hAnsi="Consolas" w:cs="Consolas"/>
      <w:i/>
      <w:color w:val="7D8794"/>
      <w:sz w:val="17"/>
      <w:szCs w:val="17"/>
    </w:rPr>
  </w:style>
  <w:style w:type="character" w:customStyle="1" w:styleId="RegionMarkerTok">
    <w:name w:val="RegionMarkerTok"/>
    <w:basedOn w:val="DefaultParagraphFont"/>
    <w:rPr>
      <w:rFonts w:ascii="Consolas" w:hAnsi="Consolas" w:cs="Consolas"/>
      <w:i/>
      <w:color w:val="7D8794"/>
      <w:sz w:val="17"/>
      <w:szCs w:val="17"/>
    </w:rPr>
  </w:style>
  <w:style w:type="character" w:customStyle="1" w:styleId="FunctionTok">
    <w:name w:val="FunctionTok"/>
    <w:basedOn w:val="DefaultParagraphFont"/>
    <w:rPr>
      <w:rFonts w:ascii="Consolas" w:hAnsi="Consolas" w:cs="Consolas"/>
      <w:color w:val="E0A3FF"/>
      <w:sz w:val="17"/>
      <w:szCs w:val="17"/>
    </w:rPr>
  </w:style>
  <w:style w:type="character" w:customStyle="1" w:styleId="BuiltInTok">
    <w:name w:val="BuiltInTok"/>
    <w:basedOn w:val="DefaultParagraphFont"/>
    <w:rPr>
      <w:rFonts w:ascii="Consolas" w:hAnsi="Consolas" w:cs="Consolas"/>
      <w:color w:val="E0A3FF"/>
      <w:sz w:val="17"/>
      <w:szCs w:val="17"/>
    </w:rPr>
  </w:style>
  <w:style w:type="character" w:customStyle="1" w:styleId="ExtensionTok">
    <w:name w:val="ExtensionTok"/>
    <w:basedOn w:val="DefaultParagraphFont"/>
    <w:rPr>
      <w:rFonts w:ascii="Consolas" w:hAnsi="Consolas" w:cs="Consolas"/>
      <w:color w:val="E0A3FF"/>
      <w:sz w:val="17"/>
      <w:szCs w:val="17"/>
    </w:rPr>
  </w:style>
  <w:style w:type="character" w:customStyle="1" w:styleId="NormalTok">
    <w:name w:val="NormalTok"/>
    <w:basedOn w:val="DefaultParagraphFont"/>
    <w:rPr>
      <w:rFonts w:ascii="Consolas" w:hAnsi="Consolas" w:cs="Consolas"/>
      <w:color w:val="D6DBE3"/>
      <w:sz w:val="17"/>
      <w:szCs w:val="17"/>
    </w:rPr>
  </w:style>
  <w:style w:type="character" w:customStyle="1" w:styleId="OperatorTok">
    <w:name w:val="OperatorTok"/>
    <w:basedOn w:val="DefaultParagraphFont"/>
    <w:rPr>
      <w:rFonts w:ascii="Consolas" w:hAnsi="Consolas" w:cs="Consolas"/>
      <w:color w:val="D6DBE3"/>
      <w:sz w:val="17"/>
      <w:szCs w:val="17"/>
    </w:rPr>
  </w:style>
  <w:style w:type="character" w:customStyle="1" w:styleId="VariableTok">
    <w:name w:val="VariableTok"/>
    <w:basedOn w:val="DefaultParagraphFont"/>
    <w:rPr>
      <w:rFonts w:ascii="Consolas" w:hAnsi="Consolas" w:cs="Consolas"/>
      <w:color w:val="D6DBE3"/>
      <w:sz w:val="17"/>
      <w:szCs w:val="17"/>
    </w:rPr>
  </w:style>
  <w:style w:type="character" w:customStyle="1" w:styleId="OtherTok">
    <w:name w:val="OtherTok"/>
    <w:basedOn w:val="DefaultParagraphFont"/>
    <w:rPr>
      <w:rFonts w:ascii="Consolas" w:hAnsi="Consolas" w:cs="Consolas"/>
      <w:color w:val="D6DBE3"/>
      <w:sz w:val="17"/>
      <w:szCs w:val="17"/>
    </w:rPr>
  </w:style>
  <w:style w:type="character" w:customStyle="1" w:styleId="AlertTok">
    <w:name w:val="AlertTok"/>
    <w:basedOn w:val="DefaultParagraphFont"/>
    <w:rPr>
      <w:rFonts w:ascii="Consolas" w:hAnsi="Consolas" w:cs="Consolas"/>
      <w:b/>
      <w:color w:val="FF8A6B"/>
      <w:sz w:val="17"/>
      <w:szCs w:val="17"/>
    </w:rPr>
  </w:style>
  <w:style w:type="character" w:customStyle="1" w:styleId="ErrorTok">
    <w:name w:val="ErrorTok"/>
    <w:basedOn w:val="DefaultParagraphFont"/>
    <w:rPr>
      <w:rFonts w:ascii="Consolas" w:hAnsi="Consolas" w:cs="Consolas"/>
      <w:b/>
      <w:color w:val="FF8A6B"/>
      <w:sz w:val="17"/>
      <w:szCs w:val="17"/>
    </w:rPr>
  </w:style>
  <w:style w:type="paragraph" w:styleId="FootnoteText">
    <w:name w:val="Footnote Text"/>
    <w:basedOn w:val="Normal"/>
    <w:next w:val="FootnoteText"/>
    <w:qFormat/>
    <w:pPr>
      <w:spacing w:after="40" w:line="240" w:lineRule="auto"/>
    </w:pPr>
    <w:rPr>
      <w:rFonts w:ascii="Calibri" w:hAnsi="Calibri" w:cs="Calibri"/>
      <w:color w:val="565C63"/>
      <w:sz w:val="16"/>
      <w:szCs w:val="16"/>
    </w:rPr>
  </w:style>
  <w:style w:type="character" w:styleId="FootnoteReference">
    <w:name w:val="Footnote Reference"/>
    <w:basedOn w:val="DefaultParagraphFont"/>
    <w:rPr>
      <w:rFonts w:ascii="Calibri" w:hAnsi="Calibri" w:cs="Calibri"/>
      <w:b/>
      <w:color w:val="21456E"/>
      <w:sz w:val="14"/>
      <w:szCs w:val="14"/>
      <w:vertAlign w:val="superscript"/>
    </w:rPr>
  </w:style>
  <w:style w:type="character" w:styleId="Hyperlink">
    <w:name w:val="Hyperlink"/>
    <w:basedOn w:val="DefaultParagraphFont"/>
    <w:rPr>
      <w:rFonts w:ascii="Calibri" w:hAnsi="Calibri" w:cs="Calibri"/>
      <w:color w:val="21456E"/>
      <w:u w:val="single"/>
    </w:rPr>
  </w:style>
  <w:style w:type="character" w:styleId="SectionNumber">
    <w:name w:val="Section Number"/>
    <w:basedOn w:val="DefaultParagraphFont"/>
    <w:rPr>
      <w:rFonts w:ascii="Calibri" w:hAnsi="Calibri" w:cs="Calibri"/>
      <w:color w:val="565C63"/>
    </w:rPr>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21456E"/>
      </w:pBdr>
      <w:spacing w:before="240" w:after="120" w:line="240" w:lineRule="auto"/>
    </w:pPr>
    <w:rPr>
      <w:rFonts w:ascii="Calibri" w:hAnsi="Calibri" w:cs="Calibri"/>
      <w:b/>
      <w:smallCaps/>
      <w:color w:val="21456E"/>
      <w:sz w:val="24"/>
      <w:szCs w:val="24"/>
      <w:spacing w:val="24"/>
    </w:rPr>
  </w:style>
  <w:style w:type="paragraph" w:styleId="TOC1">
    <w:name w:val="toc 1"/>
    <w:basedOn w:val="Normal"/>
    <w:next w:val="BodyText"/>
    <w:pPr>
      <w:tabs>
        <w:tab w:val="right" w:leader="dot" w:pos="9412"/>
      </w:tabs>
      <w:spacing w:after="40" w:line="240" w:lineRule="auto"/>
      <w:ind w:left="0"/>
    </w:pPr>
    <w:rPr>
      <w:rFonts w:ascii="Calibri" w:hAnsi="Calibri" w:cs="Calibri"/>
      <w:b/>
      <w:color w:val="16191D"/>
      <w:sz w:val="19"/>
      <w:szCs w:val="19"/>
    </w:rPr>
  </w:style>
  <w:style w:type="paragraph" w:styleId="TOC2">
    <w:name w:val="toc 2"/>
    <w:basedOn w:val="Normal"/>
    <w:next w:val="BodyText"/>
    <w:pPr>
      <w:tabs>
        <w:tab w:val="right" w:leader="dot" w:pos="9412"/>
      </w:tabs>
      <w:spacing w:after="40" w:line="240" w:lineRule="auto"/>
      <w:ind w:left="340"/>
    </w:pPr>
    <w:rPr>
      <w:rFonts w:ascii="Calibri" w:hAnsi="Calibri" w:cs="Calibri"/>
      <w:color w:val="565C63"/>
      <w:sz w:val="19"/>
      <w:szCs w:val="19"/>
    </w:rPr>
  </w:style>
  <w:style w:type="paragraph" w:styleId="TOC3">
    <w:name w:val="toc 3"/>
    <w:basedOn w:val="Normal"/>
    <w:next w:val="BodyText"/>
    <w:pPr>
      <w:tabs>
        <w:tab w:val="right" w:leader="dot" w:pos="9412"/>
      </w:tabs>
      <w:spacing w:after="40" w:line="240" w:lineRule="auto"/>
      <w:ind w:left="680"/>
    </w:pPr>
    <w:rPr>
      <w:rFonts w:ascii="Calibri" w:hAnsi="Calibri" w:cs="Calibri"/>
      <w:color w:val="565C63"/>
      <w:sz w:val="19"/>
      <w:szCs w:val="19"/>
    </w:rPr>
  </w:style>
  <w:style w:type="paragraph" w:styleId="Header">
    <w:name w:val="header"/>
    <w:basedOn w:val="Normal"/>
    <w:next w:val="BodyText"/>
    <w:pPr>
      <w:pBdr>
        <w:bottom w:val="single" w:sz="12" w:space="4" w:color="21456E"/>
      </w:pBdr>
      <w:tabs>
        <w:tab w:val="center" w:pos="4706"/>
        <w:tab w:val="right" w:pos="9412"/>
      </w:tabs>
      <w:spacing w:after="0" w:line="240" w:lineRule="auto"/>
    </w:pPr>
    <w:rPr>
      <w:rFonts w:ascii="Consolas" w:hAnsi="Consolas" w:cs="Consolas"/>
      <w:color w:val="565C63"/>
      <w:sz w:val="15"/>
      <w:szCs w:val="15"/>
      <w:spacing w:val="14"/>
    </w:rPr>
  </w:style>
  <w:style w:type="paragraph" w:styleId="Footer">
    <w:name w:val="footer"/>
    <w:basedOn w:val="Normal"/>
    <w:next w:val="BodyText"/>
    <w:pPr>
      <w:pBdr>
        <w:top w:val="single" w:sz="12" w:space="4" w:color="21456E"/>
      </w:pBdr>
      <w:tabs>
        <w:tab w:val="center" w:pos="4706"/>
        <w:tab w:val="right" w:pos="9412"/>
      </w:tabs>
      <w:spacing w:after="0" w:line="240" w:lineRule="auto"/>
    </w:pPr>
    <w:rPr>
      <w:rFonts w:ascii="Consolas" w:hAnsi="Consolas" w:cs="Consolas"/>
      <w:color w:val="565C63"/>
      <w:sz w:val="15"/>
      <w:szCs w:val="15"/>
      <w:spacing w:val="14"/>
    </w:rPr>
  </w:style>
  <w:style w:type="paragraph" w:customStyle="1" w:styleId="Lead">
    <w:name w:val="Lead"/>
    <w:basedOn w:val="BodyText"/>
    <w:next w:val="BodyText"/>
    <w:qFormat/>
    <w:pPr>
      <w:shd w:val="clear" w:color="auto" w:fill="FDF6EE"/>
      <w:pBdr>
        <w:left w:val="single" w:sz="18" w:space="8" w:color="A35A00"/>
        <w:top w:val="single" w:sz="2" w:space="5" w:color="FDF6EE"/>
        <w:bottom w:val="single" w:sz="2" w:space="5" w:color="FDF6EE"/>
        <w:left w:val="single" w:sz="2" w:space="8" w:color="FDF6EE"/>
        <w:right w:val="single" w:sz="2" w:space="8" w:color="FDF6EE"/>
      </w:pBdr>
      <w:spacing w:before="140" w:after="140" w:line="240" w:lineRule="auto"/>
    </w:pPr>
    <w:rPr>
      <w:rFonts w:ascii="Calibri" w:hAnsi="Calibri" w:cs="Calibri"/>
      <w:b/>
      <w:color w:val="16191D"/>
      <w:sz w:val="20"/>
      <w:szCs w:val="20"/>
    </w:rPr>
  </w:style>
  <w:style w:type="paragraph" w:customStyle="1" w:styleId="Note">
    <w:name w:val="Note"/>
    <w:basedOn w:val="BodyText"/>
    <w:next w:val="BodyText"/>
    <w:qFormat/>
    <w:pPr>
      <w:shd w:val="clear" w:color="auto" w:fill="EEF1F4"/>
      <w:pBdr>
        <w:left w:val="single" w:sz="18" w:space="8" w:color="21456E"/>
        <w:top w:val="single" w:sz="2" w:space="5" w:color="EEF1F4"/>
        <w:bottom w:val="single" w:sz="2" w:space="5" w:color="EEF1F4"/>
        <w:left w:val="single" w:sz="2" w:space="8" w:color="EEF1F4"/>
        <w:right w:val="single" w:sz="2" w:space="8" w:color="EEF1F4"/>
      </w:pBdr>
      <w:spacing w:before="140" w:after="140" w:line="240" w:lineRule="auto"/>
    </w:pPr>
    <w:rPr>
      <w:rFonts w:ascii="Calibri" w:hAnsi="Calibri" w:cs="Calibri"/>
      <w:color w:val="16191D"/>
      <w:sz w:val="19"/>
      <w:szCs w:val="19"/>
    </w:rPr>
  </w:style>
  <w:style w:type="paragraph" w:customStyle="1" w:styleId="Caution">
    <w:name w:val="Caution"/>
    <w:basedOn w:val="Note"/>
    <w:next w:val="BodyText"/>
    <w:qFormat/>
    <w:pPr>
      <w:shd w:val="clear" w:color="auto" w:fill="FDF6EE"/>
      <w:pBdr>
        <w:left w:val="single" w:sz="18" w:space="8" w:color="A35A00"/>
        <w:top w:val="single" w:sz="2" w:space="5" w:color="FDF6EE"/>
        <w:bottom w:val="single" w:sz="2" w:space="5" w:color="FDF6EE"/>
        <w:left w:val="single" w:sz="2" w:space="8" w:color="FDF6EE"/>
        <w:right w:val="single" w:sz="2" w:space="8" w:color="FDF6EE"/>
      </w:pBdr>
      <w:spacing w:before="140" w:after="140" w:line="240" w:lineRule="auto"/>
    </w:pPr>
  </w:style>
  <w:style w:type="paragraph" w:customStyle="1" w:styleId="SourceNote">
    <w:name w:val="Source Note"/>
    <w:basedOn w:val="BodyText"/>
    <w:next w:val="BodyText"/>
    <w:qFormat/>
    <w:pPr>
      <w:spacing w:before="0" w:after="160" w:line="240" w:lineRule="auto"/>
    </w:pPr>
    <w:rPr>
      <w:rFonts w:ascii="Consolas" w:hAnsi="Consolas" w:cs="Consolas"/>
      <w:color w:val="565C63"/>
      <w:sz w:val="16"/>
      <w:szCs w:val="16"/>
    </w:rPr>
  </w:style>
  <w:style w:type="table" w:styleId="Table">
    <w:name w:val="Table"/>
    <w:basedOn w:val="TableNormal"/>
    <w:qFormat/>
    <w:pPr>
      <w:spacing w:after="0" w:line="240" w:lineRule="auto"/>
    </w:pPr>
    <w:rPr>
      <w:rFonts w:ascii="Calibri" w:hAnsi="Calibri" w:cs="Calibri"/>
      <w:color w:val="16191D"/>
      <w:sz w:val="18"/>
      <w:szCs w:val="18"/>
    </w:rPr>
    <w:tblPr>
      <w:tblBorders>
        <w:top w:val="single" w:sz="12" w:space="0" w:color="21456E"/>
        <w:bottom w:val="single" w:sz="12" w:space="0" w:color="21456E"/>
        <w:left w:val="single" w:sz="4" w:space="0" w:color="D9DDE1"/>
        <w:right w:val="single" w:sz="4" w:space="0" w:color="D9DDE1"/>
        <w:insideH w:val="single" w:sz="4" w:space="0" w:color="D9DDE1"/>
        <w:insideV w:val="single" w:sz="4" w:space="0" w:color="D9DDE1"/>
      </w:tblBorders>
      <w:tblCellMar>
        <w:top w:w="60" w:type="dxa"/>
        <w:left w:w="108" w:type="dxa"/>
        <w:bottom w:w="60" w:type="dxa"/>
        <w:right w:w="108" w:type="dxa"/>
      </w:tblCellMar>
    </w:tblPr>
    <w:tblStylePr w:type="firstRow">
      <w:pPr>
        <w:keepNext/>
      </w:pPr>
      <w:rPr>
        <w:rFonts w:ascii="Calibri" w:hAnsi="Calibri" w:cs="Calibri"/>
        <w:b/>
        <w:color w:val="FFFFFF"/>
        <w:sz w:val="17"/>
        <w:szCs w:val="17"/>
      </w:rPr>
      <w:tcPr>
        <w:shd w:val="clear" w:color="auto" w:fill="21456E"/>
        <w:tcBorders>
          <w:bottom w:val="single" w:sz="12" w:space="0" w:color="21456E"/>
        </w:tcBorders>
      </w:tcPr>
    </w:tblStylePr>
    <w:tblStylePr w:type="band1Horz">
      <w:tcPr>
        <w:shd w:val="clear" w:color="auto" w:fill="F7F9FA"/>
      </w:tcPr>
    </w:tblStylePr>
    <w:tblStylePr w:type="lastRow">
      <w:rPr>
        <w:rFonts w:ascii="Calibri" w:hAnsi="Calibri" w:cs="Calibri"/>
        <w:b/>
        <w:color w:val="16191D"/>
        <w:sz w:val="18"/>
        <w:szCs w:val="18"/>
      </w:rPr>
      <w:tcPr>
        <w:shd w:val="clear" w:color="auto" w:fill="EEF1F4"/>
        <w:tcBorders>
          <w:top w:val="single" w:sz="12" w:space="0" w:color="21456E"/>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