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Operational Resilience and Capital Efficiency</w:t>
      </w:r>
    </w:p>
    <w:p>
      <w:pPr>
        <w:pStyle w:val="Subtitle"/>
      </w:pPr>
      <w:r>
        <w:t xml:space="preserve">Consolidated findings for fiscal year 2026 across the four operating regions</w:t>
      </w:r>
    </w:p>
    <w:p>
      <w:pPr>
        <w:pStyle w:val="Author"/>
      </w:pPr>
      <w:r>
        <w:t xml:space="preserve">Strategy &amp; Analytics</w:t>
      </w:r>
    </w:p>
    <w:p>
      <w:pPr>
        <w:pStyle w:val="Date"/>
      </w:pPr>
      <w:r>
        <w:t xml:space="preserve">21 September 2026</w:t>
      </w:r>
    </w:p>
    <w:p>
      <w:pPr>
        <w:pStyle w:val="AbstractTitle"/>
      </w:pPr>
      <w:r>
        <w:t xml:space="preserve">Abstract</w:t>
      </w:r>
    </w:p>
    <w:p>
      <w:pPr>
        <w:pStyle w:val="Abstract"/>
      </w:pPr>
      <w:r>
        <w:t xml:space="preserve">The group completed the year with a stable cost base and an improved capital position. Throughput increased in three of the four regions, and the cost per transaction decreased by 6.4 per cent.</w:t>
      </w:r>
    </w:p>
    <w:p>
      <w:pPr>
        <w:pStyle w:val="TOCHeading"/>
      </w:pPr>
      <w:r>
        <w:t xml:space="preserve">Table of Contents</w:t>
      </w:r>
    </w:p>
    <w:p>
      <w:pPr>
        <w:pStyle w:val="TOC1"/>
      </w:pPr>
      <w:r>
        <w:t xml:space="preserve">Executive summary</w:t>
      </w:r>
      <w:r>
        <w:tab/>
      </w:r>
      <w:r>
        <w:t xml:space="preserve">3</w:t>
      </w:r>
    </w:p>
    <w:p>
      <w:pPr>
        <w:pStyle w:val="TOC2"/>
      </w:pPr>
      <w:r>
        <w:t xml:space="preserve">Method and scope</w:t>
      </w:r>
      <w:r>
        <w:tab/>
      </w:r>
      <w:r>
        <w:t xml:space="preserve">5</w:t>
      </w:r>
    </w:p>
    <w:p>
      <w:pPr>
        <w:pStyle w:val="TOC3"/>
      </w:pPr>
      <w:r>
        <w:t xml:space="preserve">Data sources</w:t>
      </w:r>
      <w:r>
        <w:tab/>
      </w:r>
      <w:r>
        <w:t xml:space="preserve">6</w:t>
      </w:r>
    </w:p>
    <w:p>
      <w:pPr>
        <w:pStyle w:val="SourceNote"/>
      </w:pPr>
      <w:r>
        <w:t xml:space="preserve">The entries above are specimen text. A converted report carries a live field here; update it in Word with F9.</w:t>
      </w:r>
    </w:p>
    <w:p>
      <w:pPr>
        <w:pStyle w:val="Heading1"/>
      </w:pPr>
      <w:r>
        <w:t xml:space="preserve">Executive summary</w:t>
      </w:r>
    </w:p>
    <w:p>
      <w:pPr>
        <w:pStyle w:val="FirstParagraph"/>
      </w:pPr>
      <w:r>
        <w:t xml:space="preserve">The group completed the year with a stable cost base and an improved capital position. Throughput increased in three of the four regions, while the cost per transaction decreased by 6.4 per cent.</w:t>
      </w:r>
    </w:p>
    <w:p>
      <w:pPr>
        <w:pStyle w:val="BodyText"/>
      </w:pPr>
      <w:r>
        <w:t xml:space="preserve">Two conditions limit the conclusions. First, the reconciliation of the Southern region ledger was not complete at the reporting date. Second, the new settlement platform was live for only seven months, so the annualised figures are estimates.</w:t>
      </w:r>
    </w:p>
    <w:p>
      <w:pPr>
        <w:pStyle w:val="Lead"/>
      </w:pPr>
      <w:r>
        <w:t xml:space="preserve">Recommendation: approve the second phase of the platform migration and release the contingency reserve of 12.4 million.</w:t>
      </w:r>
    </w:p>
    <w:p>
      <w:pPr>
        <w:pStyle w:val="Heading2"/>
      </w:pPr>
      <w:r>
        <w:t xml:space="preserve">Method and scope</w:t>
      </w:r>
    </w:p>
    <w:p>
      <w:pPr>
        <w:pStyle w:val="FirstParagraph"/>
      </w:pPr>
      <w:r>
        <w:t xml:space="preserve">The analysis covers all entities consolidated at 31 August 2026. Transactions below the materiality threshold of 25,000 were excluded, except where they formed part of a recurring series.</w:t>
      </w:r>
    </w:p>
    <w:p>
      <w:pPr>
        <w:pStyle w:val="Heading3"/>
      </w:pPr>
      <w:r>
        <w:t xml:space="preserve">Data sources</w:t>
      </w:r>
    </w:p>
    <w:p>
      <w:pPr>
        <w:pStyle w:val="FirstParagraph"/>
      </w:pPr>
      <w:r>
        <w:t xml:space="preserve">Three systems supplied the primary records. Where the systems disagreed, the general ledger was used as the reference. Manual adjustments are identified with the marker </w:t>
      </w:r>
      <w:r>
        <w:rPr>
          <w:rStyle w:val="VerbatimChar"/>
        </w:rPr>
        <w:t xml:space="preserve">ADJ-</w:t>
      </w:r>
      <w:r>
        <w:t xml:space="preserve"> followed by the sequence number.</w:t>
      </w:r>
      <w:r>
        <w:rPr>
          <w:rStyle w:val="FootnoteReference"/>
        </w:rPr>
        <w:footnoteReference w:id="31"/>
      </w:r>
    </w:p>
    <w:p>
      <w:pPr>
        <w:pStyle w:val="Heading4"/>
      </w:pPr>
      <w:r>
        <w:t xml:space="preserve">Reconciliation procedure</w:t>
      </w:r>
    </w:p>
    <w:p>
      <w:pPr>
        <w:pStyle w:val="FirstParagraph"/>
      </w:pPr>
      <w:r>
        <w:t xml:space="preserve">Each regional controller confirmed the closing balance in writing. The confirmation was matched against the automated extract before the figures entered this report.</w:t>
      </w:r>
    </w:p>
    <w:p>
      <w:pPr>
        <w:pStyle w:val="Heading5"/>
      </w:pPr>
      <w:r>
        <w:t xml:space="preserve">Exception handling</w:t>
      </w:r>
    </w:p>
    <w:p>
      <w:pPr>
        <w:pStyle w:val="FirstParagraph"/>
      </w:pPr>
      <w:r>
        <w:t xml:space="preserve">An exception was raised when the difference was more than 0.5 per cent of the regional total. Fourteen exceptions were raised, and twelve were closed before the reporting date.</w:t>
      </w:r>
    </w:p>
    <w:p>
      <w:pPr>
        <w:pStyle w:val="Heading6"/>
      </w:pPr>
      <w:r>
        <w:t xml:space="preserve">Residual items</w:t>
      </w:r>
    </w:p>
    <w:p>
      <w:pPr>
        <w:pStyle w:val="FirstParagraph"/>
      </w:pPr>
      <w:r>
        <w:t xml:space="preserve">The two open items relate to a currency translation in the Southern region and to an unposted supplier credit.</w:t>
      </w:r>
    </w:p>
    <w:p>
      <w:pPr>
        <w:pStyle w:val="Heading2"/>
      </w:pPr>
      <w:r>
        <w:t xml:space="preserve">Findings</w:t>
      </w:r>
    </w:p>
    <w:p>
      <w:pPr>
        <w:pStyle w:val="FirstParagraph"/>
      </w:pPr>
      <w:r>
        <w:t xml:space="preserve">The review produced four findings. They are given in order of financial effect.</w:t>
      </w:r>
    </w:p>
    <w:p>
      <w:pPr>
        <w:pStyle w:val="Compact"/>
        <w:numPr>
          <w:ilvl w:val="0"/>
          <w:numId w:val="44"/>
        </w:numPr>
      </w:pPr>
      <w:r>
        <w:t xml:space="preserve">Settlement cycles decreased from four days to one day in the regions that use the new platform.</w:t>
      </w:r>
    </w:p>
    <w:p>
      <w:pPr>
        <w:pStyle w:val="Compact"/>
        <w:numPr>
          <w:ilvl w:val="1"/>
          <w:numId w:val="44"/>
        </w:numPr>
      </w:pPr>
      <w:r>
        <w:t xml:space="preserve">Northern region: full migration completed in March.</w:t>
      </w:r>
    </w:p>
    <w:p>
      <w:pPr>
        <w:pStyle w:val="Compact"/>
        <w:numPr>
          <w:ilvl w:val="1"/>
          <w:numId w:val="44"/>
        </w:numPr>
      </w:pPr>
      <w:r>
        <w:t xml:space="preserve">Eastern region: partial migration, two legacy queues remain.</w:t>
      </w:r>
    </w:p>
    <w:p>
      <w:pPr>
        <w:pStyle w:val="Compact"/>
        <w:numPr>
          <w:ilvl w:val="0"/>
          <w:numId w:val="44"/>
        </w:numPr>
      </w:pPr>
      <w:r>
        <w:t xml:space="preserve">Manual intervention rates stay above target in high-value corridors.</w:t>
      </w:r>
    </w:p>
    <w:p>
      <w:pPr>
        <w:pStyle w:val="Compact"/>
        <w:numPr>
          <w:ilvl w:val="0"/>
          <w:numId w:val="44"/>
        </w:numPr>
      </w:pPr>
      <w:r>
        <w:t xml:space="preserve">Vendor concentration increased. One supplier now provides 38 per cent of processing capacity.</w:t>
      </w:r>
    </w:p>
    <w:p>
      <w:pPr>
        <w:pStyle w:val="BodyText"/>
      </w:pPr>
      <w:r>
        <w:t xml:space="preserve">The proposed actions follow the same order.</w:t>
      </w:r>
    </w:p>
    <w:p>
      <w:pPr>
        <w:pStyle w:val="Compact"/>
        <w:numPr>
          <w:ilvl w:val="0"/>
          <w:numId w:val="43"/>
        </w:numPr>
      </w:pPr>
      <w:r>
        <w:t xml:space="preserve">Complete the Eastern region migration before the end of the first quarter.</w:t>
      </w:r>
    </w:p>
    <w:p>
      <w:pPr>
        <w:pStyle w:val="Compact"/>
        <w:numPr>
          <w:ilvl w:val="1"/>
          <w:numId w:val="43"/>
        </w:numPr>
      </w:pPr>
      <w:r>
        <w:t xml:space="preserve">Decommission the legacy queues.</w:t>
      </w:r>
    </w:p>
    <w:p>
      <w:pPr>
        <w:pStyle w:val="Compact"/>
        <w:numPr>
          <w:ilvl w:val="1"/>
          <w:numId w:val="43"/>
        </w:numPr>
      </w:pPr>
      <w:r>
        <w:t xml:space="preserve">Transfer the reconciliation rules to the new engine.</w:t>
      </w:r>
    </w:p>
    <w:p>
      <w:pPr>
        <w:pStyle w:val="Compact"/>
        <w:numPr>
          <w:ilvl w:val="0"/>
          <w:numId w:val="43"/>
        </w:numPr>
      </w:pPr>
      <w:r>
        <w:t xml:space="preserve">Introduce a second processing supplier for corridors above 50 million per month.</w:t>
      </w:r>
    </w:p>
    <w:p>
      <w:pPr>
        <w:pStyle w:val="Compact"/>
        <w:numPr>
          <w:ilvl w:val="0"/>
          <w:numId w:val="43"/>
        </w:numPr>
      </w:pPr>
      <w:r>
        <w:t xml:space="preserve">Rehearse the ledger recovery procedure each quarter.</w:t>
      </w:r>
    </w:p>
    <w:p>
      <w:pPr>
        <w:pStyle w:val="DefinitionTerm"/>
      </w:pPr>
      <w:r>
        <w:t xml:space="preserve">Cost per transaction</w:t>
      </w:r>
    </w:p>
    <w:p>
      <w:pPr>
        <w:pStyle w:val="Definition"/>
      </w:pPr>
      <w:r>
        <w:t xml:space="preserve">Total processing cost divided by the number of settled transactions in the period.</w:t>
      </w:r>
    </w:p>
    <w:p>
      <w:pPr>
        <w:pStyle w:val="DefinitionTerm"/>
      </w:pPr>
      <w:r>
        <w:t xml:space="preserve">Recovery time objective</w:t>
      </w:r>
    </w:p>
    <w:p>
      <w:pPr>
        <w:pStyle w:val="Definition"/>
      </w:pPr>
      <w:r>
        <w:t xml:space="preserve">The maximum time permitted between the loss of a service and its return to operation.</w:t>
      </w:r>
    </w:p>
    <w:p>
      <w:pPr>
        <w:pStyle w:val="BlockText"/>
      </w:pPr>
      <w:r>
        <w:t xml:space="preserve">The control environment is adequate for the current volume. It will not be adequate at twice the current volume without further automation.</w:t>
      </w:r>
    </w:p>
    <w:p>
      <w:pPr>
        <w:pStyle w:val="Note"/>
      </w:pPr>
      <w:r>
        <w:rPr>
          <w:b/>
        </w:rPr>
        <w:t xml:space="preserve">Note. </w:t>
      </w:r>
      <w:r>
        <w:t xml:space="preserve">The figures in this section are unaudited. The audited figures will be released with the statutory accounts in November.</w:t>
      </w:r>
    </w:p>
    <w:p>
      <w:pPr>
        <w:pStyle w:val="Caution"/>
      </w:pPr>
      <w:r>
        <w:rPr>
          <w:b/>
        </w:rPr>
        <w:t xml:space="preserve">Caution. </w:t>
      </w:r>
      <w:r>
        <w:t xml:space="preserve">Vendor concentration above 35 per cent breaches the group risk appetite statement and needs board acknowledgement.</w:t>
      </w:r>
    </w:p>
    <w:p>
      <w:pPr>
        <w:pStyle w:val="Heading2"/>
      </w:pPr>
      <w:r>
        <w:t xml:space="preserve">Regional performance</w:t>
      </w:r>
    </w:p>
    <w:p>
      <w:pPr>
        <w:pStyle w:val="FirstParagraph"/>
      </w:pPr>
      <w:r>
        <w:t xml:space="preserve">Table 1 gives the principal measures for each region. Amounts are in millions of euro unless stated otherwise.</w:t>
      </w:r>
    </w:p>
    <w:p>
      <w:pPr>
        <w:pStyle w:val="TableCaption"/>
      </w:pPr>
      <w:r>
        <w:t xml:space="preserve">Table 1 — Principal measures by region, fiscal year 2026</w:t>
      </w:r>
    </w:p>
    <w:tbl>
      <w:tblPr>
        <w:tblStyle w:val="Table"/>
        <w:tblW w:w="9186" w:type="dxa"/>
        <w:tblLayout w:type="fixed"/>
        <w:tblLook w:firstRow="1" w:lastRow="0" w:firstColumn="0" w:lastColumn="0" w:noHBand="0" w:noVBand="1" w:val="0020"/>
      </w:tblPr>
      <w:tblGrid>
        <w:gridCol w:w="1627"/>
        <w:gridCol w:w="1435"/>
        <w:gridCol w:w="1435"/>
        <w:gridCol w:w="1627"/>
        <w:gridCol w:w="1340"/>
        <w:gridCol w:w="1722"/>
      </w:tblGrid>
      <w:tr>
        <w:trPr>
          <w:tblHeader w:val="on"/>
        </w:trPr>
        <w:tc>
          <w:tcPr>
            <w:tcW w:w="1627" w:type="dxa"/>
          </w:tcPr>
          <w:p>
            <w:pPr>
              <w:pStyle w:val="Compact"/>
            </w:pPr>
            <w:r>
              <w:t xml:space="preserve">Region</w:t>
            </w:r>
          </w:p>
        </w:tc>
        <w:tc>
          <w:tcPr>
            <w:tcW w:w="1435" w:type="dxa"/>
          </w:tcPr>
          <w:p>
            <w:pPr>
              <w:pStyle w:val="Compact"/>
              <w:jc w:val="right"/>
            </w:pPr>
            <w:r>
              <w:t xml:space="preserve">Volume (m)</w:t>
            </w:r>
          </w:p>
        </w:tc>
        <w:tc>
          <w:tcPr>
            <w:tcW w:w="1435" w:type="dxa"/>
          </w:tcPr>
          <w:p>
            <w:pPr>
              <w:pStyle w:val="Compact"/>
              <w:jc w:val="right"/>
            </w:pPr>
            <w:r>
              <w:t xml:space="preserve">Revenue</w:t>
            </w:r>
          </w:p>
        </w:tc>
        <w:tc>
          <w:tcPr>
            <w:tcW w:w="1627" w:type="dxa"/>
          </w:tcPr>
          <w:p>
            <w:pPr>
              <w:pStyle w:val="Compact"/>
              <w:jc w:val="right"/>
            </w:pPr>
            <w:r>
              <w:t xml:space="preserve">Cost per txn</w:t>
            </w:r>
          </w:p>
        </w:tc>
        <w:tc>
          <w:tcPr>
            <w:tcW w:w="1340" w:type="dxa"/>
          </w:tcPr>
          <w:p>
            <w:pPr>
              <w:pStyle w:val="Compact"/>
              <w:jc w:val="right"/>
            </w:pPr>
            <w:r>
              <w:t xml:space="preserve">Change</w:t>
            </w:r>
          </w:p>
        </w:tc>
        <w:tc>
          <w:tcPr>
            <w:tcW w:w="1722" w:type="dxa"/>
          </w:tcPr>
          <w:p>
            <w:pPr>
              <w:pStyle w:val="Compact"/>
            </w:pPr>
            <w:r>
              <w:t xml:space="preserve">Status</w:t>
            </w:r>
          </w:p>
        </w:tc>
      </w:tr>
      <w:tr>
        <w:tc>
          <w:tcPr>
            <w:tcW w:w="1627" w:type="dxa"/>
          </w:tcPr>
          <w:p>
            <w:pPr>
              <w:pStyle w:val="Compact"/>
            </w:pPr>
            <w:r>
              <w:t xml:space="preserve">Northern</w:t>
            </w:r>
          </w:p>
        </w:tc>
        <w:tc>
          <w:tcPr>
            <w:tcW w:w="1435" w:type="dxa"/>
          </w:tcPr>
          <w:p>
            <w:pPr>
              <w:pStyle w:val="Compact"/>
              <w:jc w:val="right"/>
            </w:pPr>
            <w:r>
              <w:t xml:space="preserve">412.8</w:t>
            </w:r>
          </w:p>
        </w:tc>
        <w:tc>
          <w:tcPr>
            <w:tcW w:w="1435" w:type="dxa"/>
          </w:tcPr>
          <w:p>
            <w:pPr>
              <w:pStyle w:val="Compact"/>
              <w:jc w:val="right"/>
            </w:pPr>
            <w:r>
              <w:t xml:space="preserve">1,204.5</w:t>
            </w:r>
          </w:p>
        </w:tc>
        <w:tc>
          <w:tcPr>
            <w:tcW w:w="1627" w:type="dxa"/>
          </w:tcPr>
          <w:p>
            <w:pPr>
              <w:pStyle w:val="Compact"/>
              <w:jc w:val="right"/>
            </w:pPr>
            <w:r>
              <w:t xml:space="preserve">0.284</w:t>
            </w:r>
          </w:p>
        </w:tc>
        <w:tc>
          <w:tcPr>
            <w:tcW w:w="1340" w:type="dxa"/>
          </w:tcPr>
          <w:p>
            <w:pPr>
              <w:pStyle w:val="Compact"/>
              <w:jc w:val="right"/>
            </w:pPr>
            <w:r>
              <w:t xml:space="preserve">−8.1%</w:t>
            </w:r>
          </w:p>
        </w:tc>
        <w:tc>
          <w:tcPr>
            <w:tcW w:w="1722" w:type="dxa"/>
          </w:tcPr>
          <w:p>
            <w:pPr>
              <w:pStyle w:val="Compact"/>
            </w:pPr>
            <w:r>
              <w:t xml:space="preserve">Complete</w:t>
            </w:r>
          </w:p>
        </w:tc>
      </w:tr>
      <w:tr>
        <w:tc>
          <w:tcPr>
            <w:tcW w:w="1627" w:type="dxa"/>
          </w:tcPr>
          <w:p>
            <w:pPr>
              <w:pStyle w:val="Compact"/>
            </w:pPr>
            <w:r>
              <w:t xml:space="preserve">Eastern</w:t>
            </w:r>
          </w:p>
        </w:tc>
        <w:tc>
          <w:tcPr>
            <w:tcW w:w="1435" w:type="dxa"/>
          </w:tcPr>
          <w:p>
            <w:pPr>
              <w:pStyle w:val="Compact"/>
              <w:jc w:val="right"/>
            </w:pPr>
            <w:r>
              <w:t xml:space="preserve">318.2</w:t>
            </w:r>
          </w:p>
        </w:tc>
        <w:tc>
          <w:tcPr>
            <w:tcW w:w="1435" w:type="dxa"/>
          </w:tcPr>
          <w:p>
            <w:pPr>
              <w:pStyle w:val="Compact"/>
              <w:jc w:val="right"/>
            </w:pPr>
            <w:r>
              <w:t xml:space="preserve">987.1</w:t>
            </w:r>
          </w:p>
        </w:tc>
        <w:tc>
          <w:tcPr>
            <w:tcW w:w="1627" w:type="dxa"/>
          </w:tcPr>
          <w:p>
            <w:pPr>
              <w:pStyle w:val="Compact"/>
              <w:jc w:val="right"/>
            </w:pPr>
            <w:r>
              <w:t xml:space="preserve">0.311</w:t>
            </w:r>
          </w:p>
        </w:tc>
        <w:tc>
          <w:tcPr>
            <w:tcW w:w="1340" w:type="dxa"/>
          </w:tcPr>
          <w:p>
            <w:pPr>
              <w:pStyle w:val="Compact"/>
              <w:jc w:val="right"/>
            </w:pPr>
            <w:r>
              <w:t xml:space="preserve">−5.2%</w:t>
            </w:r>
          </w:p>
        </w:tc>
        <w:tc>
          <w:tcPr>
            <w:tcW w:w="1722" w:type="dxa"/>
          </w:tcPr>
          <w:p>
            <w:pPr>
              <w:pStyle w:val="Compact"/>
            </w:pPr>
            <w:r>
              <w:t xml:space="preserve">In progress</w:t>
            </w:r>
          </w:p>
        </w:tc>
      </w:tr>
      <w:tr>
        <w:tc>
          <w:tcPr>
            <w:tcW w:w="1627" w:type="dxa"/>
          </w:tcPr>
          <w:p>
            <w:pPr>
              <w:pStyle w:val="Compact"/>
            </w:pPr>
            <w:r>
              <w:t xml:space="preserve">Southern</w:t>
            </w:r>
          </w:p>
        </w:tc>
        <w:tc>
          <w:tcPr>
            <w:tcW w:w="1435" w:type="dxa"/>
          </w:tcPr>
          <w:p>
            <w:pPr>
              <w:pStyle w:val="Compact"/>
              <w:jc w:val="right"/>
            </w:pPr>
            <w:r>
              <w:t xml:space="preserve">204.6</w:t>
            </w:r>
          </w:p>
        </w:tc>
        <w:tc>
          <w:tcPr>
            <w:tcW w:w="1435" w:type="dxa"/>
          </w:tcPr>
          <w:p>
            <w:pPr>
              <w:pStyle w:val="Compact"/>
              <w:jc w:val="right"/>
            </w:pPr>
            <w:r>
              <w:t xml:space="preserve">612.4</w:t>
            </w:r>
          </w:p>
        </w:tc>
        <w:tc>
          <w:tcPr>
            <w:tcW w:w="1627" w:type="dxa"/>
          </w:tcPr>
          <w:p>
            <w:pPr>
              <w:pStyle w:val="Compact"/>
              <w:jc w:val="right"/>
            </w:pPr>
            <w:r>
              <w:t xml:space="preserve">0.377</w:t>
            </w:r>
          </w:p>
        </w:tc>
        <w:tc>
          <w:tcPr>
            <w:tcW w:w="1340" w:type="dxa"/>
          </w:tcPr>
          <w:p>
            <w:pPr>
              <w:pStyle w:val="Compact"/>
              <w:jc w:val="right"/>
            </w:pPr>
            <w:r>
              <w:t xml:space="preserve">+1.9%</w:t>
            </w:r>
          </w:p>
        </w:tc>
        <w:tc>
          <w:tcPr>
            <w:tcW w:w="1722" w:type="dxa"/>
          </w:tcPr>
          <w:p>
            <w:pPr>
              <w:pStyle w:val="Compact"/>
            </w:pPr>
            <w:r>
              <w:t xml:space="preserve">Under review</w:t>
            </w:r>
          </w:p>
        </w:tc>
      </w:tr>
      <w:tr>
        <w:tc>
          <w:tcPr>
            <w:tcW w:w="1627" w:type="dxa"/>
          </w:tcPr>
          <w:p>
            <w:pPr>
              <w:pStyle w:val="Compact"/>
            </w:pPr>
            <w:r>
              <w:t xml:space="preserve">Western</w:t>
            </w:r>
          </w:p>
        </w:tc>
        <w:tc>
          <w:tcPr>
            <w:tcW w:w="1435" w:type="dxa"/>
          </w:tcPr>
          <w:p>
            <w:pPr>
              <w:pStyle w:val="Compact"/>
              <w:jc w:val="right"/>
            </w:pPr>
            <w:r>
              <w:t xml:space="preserve">289.9</w:t>
            </w:r>
          </w:p>
        </w:tc>
        <w:tc>
          <w:tcPr>
            <w:tcW w:w="1435" w:type="dxa"/>
          </w:tcPr>
          <w:p>
            <w:pPr>
              <w:pStyle w:val="Compact"/>
              <w:jc w:val="right"/>
            </w:pPr>
            <w:r>
              <w:t xml:space="preserve">845.0</w:t>
            </w:r>
          </w:p>
        </w:tc>
        <w:tc>
          <w:tcPr>
            <w:tcW w:w="1627" w:type="dxa"/>
          </w:tcPr>
          <w:p>
            <w:pPr>
              <w:pStyle w:val="Compact"/>
              <w:jc w:val="right"/>
            </w:pPr>
            <w:r>
              <w:t xml:space="preserve">0.298</w:t>
            </w:r>
          </w:p>
        </w:tc>
        <w:tc>
          <w:tcPr>
            <w:tcW w:w="1340" w:type="dxa"/>
          </w:tcPr>
          <w:p>
            <w:pPr>
              <w:pStyle w:val="Compact"/>
              <w:jc w:val="right"/>
            </w:pPr>
            <w:r>
              <w:t xml:space="preserve">−6.8%</w:t>
            </w:r>
          </w:p>
        </w:tc>
        <w:tc>
          <w:tcPr>
            <w:tcW w:w="1722" w:type="dxa"/>
          </w:tcPr>
          <w:p>
            <w:pPr>
              <w:pStyle w:val="Compact"/>
            </w:pPr>
            <w:r>
              <w:t xml:space="preserve">Complete</w:t>
            </w:r>
          </w:p>
        </w:tc>
      </w:tr>
      <w:tr>
        <w:tc>
          <w:tcPr>
            <w:tcW w:w="1627" w:type="dxa"/>
          </w:tcPr>
          <w:p>
            <w:pPr>
              <w:pStyle w:val="Compact"/>
            </w:pPr>
            <w:r>
              <w:t xml:space="preserve">Group</w:t>
            </w:r>
          </w:p>
        </w:tc>
        <w:tc>
          <w:tcPr>
            <w:tcW w:w="1435" w:type="dxa"/>
          </w:tcPr>
          <w:p>
            <w:pPr>
              <w:pStyle w:val="Compact"/>
              <w:jc w:val="right"/>
            </w:pPr>
            <w:r>
              <w:t xml:space="preserve">1,225.5</w:t>
            </w:r>
          </w:p>
        </w:tc>
        <w:tc>
          <w:tcPr>
            <w:tcW w:w="1435" w:type="dxa"/>
          </w:tcPr>
          <w:p>
            <w:pPr>
              <w:pStyle w:val="Compact"/>
              <w:jc w:val="right"/>
            </w:pPr>
            <w:r>
              <w:t xml:space="preserve">3,649.0</w:t>
            </w:r>
          </w:p>
        </w:tc>
        <w:tc>
          <w:tcPr>
            <w:tcW w:w="1627" w:type="dxa"/>
          </w:tcPr>
          <w:p>
            <w:pPr>
              <w:pStyle w:val="Compact"/>
              <w:jc w:val="right"/>
            </w:pPr>
            <w:r>
              <w:t xml:space="preserve">0.312</w:t>
            </w:r>
          </w:p>
        </w:tc>
        <w:tc>
          <w:tcPr>
            <w:tcW w:w="1340" w:type="dxa"/>
          </w:tcPr>
          <w:p>
            <w:pPr>
              <w:pStyle w:val="Compact"/>
              <w:jc w:val="right"/>
            </w:pPr>
            <w:r>
              <w:t xml:space="preserve">−6.4%</w:t>
            </w:r>
          </w:p>
        </w:tc>
        <w:tc>
          <w:tcPr>
            <w:tcW w:w="1722" w:type="dxa"/>
          </w:tcPr>
          <w:p>
            <w:pPr>
              <w:pStyle w:val="Compact"/>
            </w:pPr>
            <w:r>
              <w:t xml:space="preserve">—</w:t>
            </w:r>
          </w:p>
        </w:tc>
      </w:tr>
    </w:tbl>
    <w:p>
      <w:pPr>
        <w:pStyle w:val="SourceNote"/>
      </w:pPr>
      <w:r>
        <w:t xml:space="preserve">Source: consolidated ledger extract, 31 August 2026. Southern region figures are provisional.</w:t>
      </w:r>
    </w:p>
    <w:p>
      <w:pPr>
        <w:pStyle w:val="CaptionedFigure"/>
        <w:shd w:val="clear" w:color="auto" w:fill="F7EDEF"/>
        <w:pBdr>
          <w:top w:val="single" w:sz="4" w:space="28" w:color="DFDBD8"/>
          <w:bottom w:val="single" w:sz="4" w:space="28" w:color="DFDBD8"/>
          <w:left w:val="single" w:sz="4" w:space="8" w:color="DFDBD8"/>
          <w:right w:val="single" w:sz="4" w:space="8" w:color="DFDBD8"/>
        </w:pBdr>
        <w:jc w:val="center"/>
      </w:pPr>
      <w:r>
        <w:rPr>
          <w:rFonts w:ascii="Consolas" w:hAnsi="Consolas" w:cs="Consolas"/>
          <w:color w:val="6A6A70"/>
          <w:sz w:val="18"/>
          <w:szCs w:val="18"/>
        </w:rPr>
        <w:t xml:space="preserve">CHART OR PHOTOGRAPH — an image sits here, unframed, at the width of the text</w:t>
      </w:r>
    </w:p>
    <w:p>
      <w:pPr>
        <w:pStyle w:val="ImageCaption"/>
      </w:pPr>
      <w:r>
        <w:t xml:space="preserve">Figure 1 — Cost per transaction by region, euro per settled transaction</w:t>
      </w:r>
    </w:p>
    <w:p>
      <w:pPr>
        <w:pStyle w:val="Heading2"/>
      </w:pPr>
      <w:r>
        <w:t xml:space="preserve">Model definition</w:t>
      </w:r>
    </w:p>
    <w:p>
      <w:pPr>
        <w:pStyle w:val="FirstParagraph"/>
      </w:pPr>
      <w:r>
        <w:t xml:space="preserve">The cost per transaction is the ratio of allocated cost to settled volume, adjusted for the seasonal factor.</w:t>
      </w:r>
    </w:p>
    <w:p>
      <w:pPr>
        <w:pStyle w:val="BodyText"/>
      </w:pPr>
      <m:oMathPara>
        <m:oMath>
          <m:r>
            <m:t>cost per transaction = </m:t>
          </m:r>
          <m:f>
            <m:fPr>
              <m:ctrlPr/>
            </m:fPr>
            <m:num>
              <m:r>
                <m:t>allocated cost</m:t>
              </m:r>
            </m:num>
            <m:den>
              <m:r>
                <m:t>settled volume × (1 − seasonal factor)</m:t>
              </m:r>
            </m:den>
          </m:f>
        </m:oMath>
      </m:oMathPara>
    </w:p>
    <w:p>
      <w:pPr>
        <w:pStyle w:val="Heading2"/>
      </w:pPr>
      <w:r>
        <w:t xml:space="preserve">Reproduction of the calculation</w:t>
      </w:r>
    </w:p>
    <w:p>
      <w:pPr>
        <w:pStyle w:val="FirstParagraph"/>
      </w:pPr>
      <w:r>
        <w:t xml:space="preserve">The extract is produced with the query below. Run it with the </w:t>
      </w:r>
      <w:r>
        <w:rPr>
          <w:rStyle w:val="VerbatimChar"/>
        </w:rPr>
        <w:t xml:space="preserve">--reconcile</w:t>
      </w:r>
      <w:r>
        <w:t xml:space="preserve"> flag to include the manual adjustments.</w:t>
      </w:r>
    </w:p>
    <w:p>
      <w:pPr>
        <w:pStyle w:val="SourceCode"/>
      </w:pPr>
      <w:r>
        <w:rPr>
          <w:rStyle w:val="KeywordTok"/>
        </w:rPr>
        <w:t xml:space="preserve">SELECT</w:t>
      </w:r>
      <w:r>
        <w:t xml:space="preserve"> region,</w:t>
      </w:r>
    </w:p>
    <w:p>
      <w:pPr>
        <w:pStyle w:val="SourceCode"/>
      </w:pPr>
      <w:r>
        <w:rPr>
          <w:rStyle w:val="FunctionTok"/>
        </w:rPr>
        <w:t xml:space="preserve">       SUM</w:t>
      </w:r>
      <w:r>
        <w:t xml:space="preserve">(weighted_cost) / </w:t>
      </w:r>
      <w:r>
        <w:rPr>
          <w:rStyle w:val="FunctionTok"/>
        </w:rPr>
        <w:t xml:space="preserve">NULLIF</w:t>
      </w:r>
      <w:r>
        <w:t xml:space="preserve">(</w:t>
      </w:r>
      <w:r>
        <w:rPr>
          <w:rStyle w:val="FunctionTok"/>
        </w:rPr>
        <w:t xml:space="preserve">SUM</w:t>
      </w:r>
      <w:r>
        <w:t xml:space="preserve">(settled_volume), </w:t>
      </w:r>
      <w:r>
        <w:rPr>
          <w:rStyle w:val="DecValTok"/>
        </w:rPr>
        <w:t xml:space="preserve">0</w:t>
      </w:r>
      <w:r>
        <w:t xml:space="preserve">) </w:t>
      </w:r>
      <w:r>
        <w:rPr>
          <w:rStyle w:val="KeywordTok"/>
        </w:rPr>
        <w:t xml:space="preserve">AS</w:t>
      </w:r>
      <w:r>
        <w:t xml:space="preserve"> cost_per_txn</w:t>
      </w:r>
    </w:p>
    <w:p>
      <w:pPr>
        <w:pStyle w:val="SourceCode"/>
      </w:pPr>
      <w:r>
        <w:rPr>
          <w:rStyle w:val="KeywordTok"/>
        </w:rPr>
        <w:t xml:space="preserve">  FROM</w:t>
      </w:r>
      <w:r>
        <w:t xml:space="preserve"> ledger.settlement_fact</w:t>
      </w:r>
    </w:p>
    <w:p>
      <w:pPr>
        <w:pStyle w:val="SourceCode"/>
      </w:pPr>
      <w:r>
        <w:rPr>
          <w:rStyle w:val="KeywordTok"/>
        </w:rPr>
        <w:t xml:space="preserve"> WHERE</w:t>
      </w:r>
      <w:r>
        <w:t xml:space="preserve"> period </w:t>
      </w:r>
      <w:r>
        <w:rPr>
          <w:rStyle w:val="KeywordTok"/>
        </w:rPr>
        <w:t xml:space="preserve">BETWEEN</w:t>
      </w:r>
      <w:r>
        <w:t xml:space="preserve"> </w:t>
      </w:r>
      <w:r>
        <w:rPr>
          <w:rStyle w:val="StringTok"/>
        </w:rPr>
        <w:t xml:space="preserve">'2025-09-01'</w:t>
      </w:r>
      <w:r>
        <w:t xml:space="preserve"> </w:t>
      </w:r>
      <w:r>
        <w:rPr>
          <w:rStyle w:val="KeywordTok"/>
        </w:rPr>
        <w:t xml:space="preserve">AND</w:t>
      </w:r>
      <w:r>
        <w:t xml:space="preserve"> </w:t>
      </w:r>
      <w:r>
        <w:rPr>
          <w:rStyle w:val="StringTok"/>
        </w:rPr>
        <w:t xml:space="preserve">'2026-08-31'</w:t>
      </w:r>
    </w:p>
    <w:p>
      <w:pPr>
        <w:pStyle w:val="SourceCode"/>
      </w:pPr>
      <w:r>
        <w:rPr>
          <w:rStyle w:val="KeywordTok"/>
        </w:rPr>
        <w:t xml:space="preserve">   AND</w:t>
      </w:r>
      <w:r>
        <w:t xml:space="preserve"> amount &gt;= </w:t>
      </w:r>
      <w:r>
        <w:rPr>
          <w:rStyle w:val="DecValTok"/>
        </w:rPr>
        <w:t xml:space="preserve">25000</w:t>
      </w:r>
      <w:r>
        <w:t xml:space="preserve">   </w:t>
      </w:r>
      <w:r>
        <w:rPr>
          <w:rStyle w:val="CommentTok"/>
        </w:rPr>
        <w:t xml:space="preserve">-- materiality threshold</w:t>
      </w:r>
    </w:p>
    <w:p>
      <w:pPr>
        <w:pStyle w:val="SourceCode"/>
      </w:pPr>
      <w:r>
        <w:rPr>
          <w:rStyle w:val="KeywordTok"/>
        </w:rPr>
        <w:t xml:space="preserve"> GROUP BY</w:t>
      </w:r>
      <w:r>
        <w:t xml:space="preserve"> region</w:t>
      </w:r>
    </w:p>
    <w:p>
      <w:pPr>
        <w:pStyle w:val="SourceCode"/>
      </w:pPr>
      <w:r>
        <w:rPr>
          <w:rStyle w:val="KeywordTok"/>
        </w:rPr>
        <w:t xml:space="preserve"> ORDER BY</w:t>
      </w:r>
      <w:r>
        <w:t xml:space="preserve"> cost_per_txn </w:t>
      </w:r>
      <w:r>
        <w:rPr>
          <w:rStyle w:val="KeywordTok"/>
        </w:rPr>
        <w:t xml:space="preserve">DESC</w:t>
      </w:r>
      <w:r>
        <w:t xml:space="preserve">;</w:t>
      </w:r>
    </w:p>
    <w:p>
      <w:pPr>
        <w:pStyle w:val="BodyText"/>
      </w:pPr>
      <w:r>
        <w:t xml:space="preserve">The procedure is described in </w:t>
      </w:r>
      <w:r>
        <w:rPr>
          <w:rStyle w:val="Hyperlink"/>
        </w:rPr>
        <w:t xml:space="preserve">Method and scope</w:t>
      </w:r>
      <w:r>
        <w:t xml:space="preserve">. A verbatim path is written as </w:t>
      </w:r>
      <w:r>
        <w:rPr>
          <w:rStyle w:val="VerbatimChar"/>
        </w:rPr>
        <w:t xml:space="preserve">/srv/reports/gor-2026/extract.csv</w:t>
      </w:r>
      <w:r>
        <w:t xml:space="preserve">.</w:t>
      </w:r>
    </w:p>
    <w:sectPr>
      <w:headerReference r:id="rIdHeader" w:type="default"/>
      <w:footerReference r:id="rIdFooter" w:type="default"/>
      <w:footnotePr>
        <w:numRestart w:val="continuous"/>
      </w:footnotePr>
      <w:pgSz w:w="11906" w:h="16838"/>
      <w:pgMar w:top="1247" w:right="1360" w:bottom="1247" w:left="1360" w:header="623" w:footer="623"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r>
    <w:r>
      <w:tab/>
    </w:r>
    <w:r>
      <w:t xml:space="preserve">CONFIDENTIAL</w:t>
    </w:r>
    <w:r>
      <w:tab/>
    </w: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31">
    <w:p>
      <w:pPr>
        <w:pStyle w:val="FootnoteText"/>
      </w:pPr>
      <w:r>
        <w:rPr>
          <w:rStyle w:val="FootnoteReference"/>
        </w:rPr>
        <w:footnoteRef/>
      </w:r>
      <w:r>
        <w:t xml:space="preserve"> The Southern region ledger reconciliation was 94 per cent complete at the reporting date. The residual difference is 1.2 million.</w:t>
      </w:r>
    </w:p>
  </w:footnote>
</w:footnotes>
</file>

<file path=word/header1.xml><?xml version="1.0" encoding="utf-8"?>
<w:hdr xmlns:w="http://schemas.openxmlformats.org/wordprocessingml/2006/main" xmlns:r="http://schemas.openxmlformats.org/officeDocument/2006/relationships">
  <w:p>
    <w:pPr>
      <w:pStyle w:val="Header"/>
    </w:pPr>
    <w:r>
      <w:t xml:space="preserve"/>
    </w:r>
    <w:r>
      <w:tab/>
    </w:r>
    <w:r>
      <w:t xml:space="preserve"/>
    </w:r>
    <w:r>
      <w:tab/>
    </w:r>
    <w:r>
      <w:t xml:space="preserve">CONFIDENTIAL — INTERNAL USE ONLY</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abstractNum w:abstractNumId="43">
    <w:multiLevelType w:val="multilevel"/>
    <w:lvl w:ilvl="0">
      <w:start w:val="1"/>
      <w:numFmt w:val="decimal"/>
      <w:lvlText w:val="%1."/>
      <w:lvlJc w:val="left"/>
      <w:pPr>
        <w:ind w:left="480" w:hanging="480"/>
      </w:pPr>
    </w:lvl>
    <w:lvl w:ilvl="1">
      <w:start w:val="1"/>
      <w:numFmt w:val="decimal"/>
      <w:lvlText w:val="%1.%2."/>
      <w:lvlJc w:val="left"/>
      <w:pPr>
        <w:ind w:left="960" w:hanging="480"/>
      </w:pPr>
    </w:lvl>
    <w:lvl w:ilvl="2">
      <w:start w:val="1"/>
      <w:numFmt w:val="decimal"/>
      <w:lvlText w:val="%1.%2."/>
      <w:lvlJc w:val="left"/>
      <w:pPr>
        <w:ind w:left="1440" w:hanging="480"/>
      </w:pPr>
    </w:lvl>
    <w:lvl w:ilvl="3">
      <w:start w:val="1"/>
      <w:numFmt w:val="decimal"/>
      <w:lvlText w:val="%1.%2."/>
      <w:lvlJc w:val="left"/>
      <w:pPr>
        <w:ind w:left="1920" w:hanging="480"/>
      </w:pPr>
    </w:lvl>
    <w:lvl w:ilvl="4">
      <w:start w:val="1"/>
      <w:numFmt w:val="decimal"/>
      <w:lvlText w:val="%1.%2."/>
      <w:lvlJc w:val="left"/>
      <w:pPr>
        <w:ind w:left="2400" w:hanging="480"/>
      </w:pPr>
    </w:lvl>
    <w:lvl w:ilvl="5">
      <w:start w:val="1"/>
      <w:numFmt w:val="decimal"/>
      <w:lvlText w:val="%1.%2."/>
      <w:lvlJc w:val="left"/>
      <w:pPr>
        <w:ind w:left="2880" w:hanging="480"/>
      </w:pPr>
    </w:lvl>
    <w:lvl w:ilvl="6">
      <w:start w:val="1"/>
      <w:numFmt w:val="decimal"/>
      <w:lvlText w:val="%1.%2."/>
      <w:lvlJc w:val="left"/>
      <w:pPr>
        <w:ind w:left="3360" w:hanging="480"/>
      </w:pPr>
    </w:lvl>
    <w:lvl w:ilvl="7">
      <w:start w:val="1"/>
      <w:numFmt w:val="decimal"/>
      <w:lvlText w:val="%1.%2."/>
      <w:lvlJc w:val="left"/>
      <w:pPr>
        <w:ind w:left="3840" w:hanging="480"/>
      </w:pPr>
    </w:lvl>
    <w:lvl w:ilvl="8">
      <w:start w:val="1"/>
      <w:numFmt w:val="decimal"/>
      <w:lvlText w:val="%1.%2."/>
      <w:lvlJc w:val="left"/>
      <w:pPr>
        <w:ind w:left="4320" w:hanging="480"/>
      </w:pPr>
    </w:lvl>
  </w:abstractNum>
  <w:num w:numId="43">
    <w:abstractNumId w:val="43"/>
  </w:num>
  <w:abstractNum w:abstractNumId="44">
    <w:multiLevelType w:val="multilevel"/>
    <w:lvl w:ilvl="0">
      <w:numFmt w:val="bullet"/>
      <w:lvlText w:val=""/>
      <w:lvlJc w:val="left"/>
      <w:pPr>
        <w:ind w:left="480" w:hanging="480"/>
      </w:pPr>
      <w:rPr>
        <w:rFonts w:ascii="Symbol" w:hAnsi="Symbol" w:hint="default"/>
      </w:rPr>
    </w:lvl>
    <w:lvl w:ilvl="1">
      <w:numFmt w:val="bullet"/>
      <w:lvlText w:val="o"/>
      <w:lvlJc w:val="left"/>
      <w:pPr>
        <w:ind w:left="960" w:hanging="480"/>
      </w:pPr>
      <w:rPr>
        <w:rFonts w:ascii="Courier New" w:hAnsi="Courier New" w:hint="default"/>
      </w:rPr>
    </w:lvl>
    <w:lvl w:ilvl="2">
      <w:numFmt w:val="bullet"/>
      <w:lvlText w:val=""/>
      <w:lvlJc w:val="left"/>
      <w:pPr>
        <w:ind w:left="1440" w:hanging="480"/>
      </w:pPr>
      <w:rPr>
        <w:rFonts w:ascii="Wingdings" w:hAnsi="Wingdings" w:hint="default"/>
      </w:rPr>
    </w:lvl>
    <w:lvl w:ilvl="3">
      <w:numFmt w:val="bullet"/>
      <w:lvlText w:val=""/>
      <w:lvlJc w:val="left"/>
      <w:pPr>
        <w:ind w:left="1920" w:hanging="480"/>
      </w:pPr>
      <w:rPr>
        <w:rFonts w:ascii="Symbol" w:hAnsi="Symbol" w:hint="default"/>
      </w:rPr>
    </w:lvl>
    <w:lvl w:ilvl="4">
      <w:numFmt w:val="bullet"/>
      <w:lvlText w:val="o"/>
      <w:lvlJc w:val="left"/>
      <w:pPr>
        <w:ind w:left="2400" w:hanging="480"/>
      </w:pPr>
      <w:rPr>
        <w:rFonts w:ascii="Courier New" w:hAnsi="Courier New" w:hint="default"/>
      </w:rPr>
    </w:lvl>
    <w:lvl w:ilvl="5">
      <w:numFmt w:val="bullet"/>
      <w:lvlText w:val=""/>
      <w:lvlJc w:val="left"/>
      <w:pPr>
        <w:ind w:left="2880" w:hanging="480"/>
      </w:pPr>
      <w:rPr>
        <w:rFonts w:ascii="Wingdings" w:hAnsi="Wingdings" w:hint="default"/>
      </w:rPr>
    </w:lvl>
    <w:lvl w:ilvl="6">
      <w:numFmt w:val="bullet"/>
      <w:lvlText w:val=""/>
      <w:lvlJc w:val="left"/>
      <w:pPr>
        <w:ind w:left="3360" w:hanging="480"/>
      </w:pPr>
      <w:rPr>
        <w:rFonts w:ascii="Symbol" w:hAnsi="Symbol" w:hint="default"/>
      </w:rPr>
    </w:lvl>
    <w:lvl w:ilvl="7">
      <w:numFmt w:val="bullet"/>
      <w:lvlText w:val="o"/>
      <w:lvlJc w:val="left"/>
      <w:pPr>
        <w:ind w:left="3840" w:hanging="480"/>
      </w:pPr>
      <w:rPr>
        <w:rFonts w:ascii="Courier New" w:hAnsi="Courier New" w:hint="default"/>
      </w:rPr>
    </w:lvl>
    <w:lvl w:ilvl="8">
      <w:numFmt w:val="bullet"/>
      <w:lvlText w:val=""/>
      <w:lvlJc w:val="left"/>
      <w:pPr>
        <w:ind w:left="4320" w:hanging="480"/>
      </w:pPr>
      <w:rPr>
        <w:rFonts w:ascii="Wingdings" w:hAnsi="Wingdings" w:hint="default"/>
      </w:rPr>
    </w:lvl>
  </w:abstractNum>
  <w:num w:numId="44">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hAnsi="Aptos" w:cs="Aptos"/>
        <w:color w:val="1B1B1D"/>
        <w:sz w:val="22"/>
        <w:szCs w:val="22"/>
        <w:lang w:val="en-GB"/>
      </w:rPr>
    </w:rPrDefault>
    <w:pPrDefault>
      <w:pPr>
        <w:spacing w:after="140" w:line="292" w:lineRule="auto"/>
      </w:pPr>
    </w:pPrDefault>
  </w:docDefaults>
  <w:latentStyles w:defLockedState="0" w:defUIPriority="0" w:defSemiHidden="0" w:defUnhideWhenUsed="0" w:defQFormat="0" w:count="276"/>
  <w:style w:type="paragraph" w:default="1" w:styleId="Normal">
    <w:name w:val="Normal"/>
    <w:qFormat/>
  </w:style>
  <w:style w:type="character" w:default="1" w:styleId="DefaultParagraphFont">
    <w:name w:val="Default Paragraph Font"/>
  </w:style>
  <w:style w:type="paragraph" w:styleId="BodyText">
    <w:name w:val="Body Text"/>
    <w:basedOn w:val="Normal"/>
    <w:next w:val="BodyText"/>
    <w:qFormat/>
    <w:pPr>
      <w:spacing w:after="140" w:line="292" w:lineRule="auto"/>
    </w:pPr>
  </w:style>
  <w:style w:type="paragraph" w:styleId="FirstParagraph">
    <w:name w:val="First Paragraph"/>
    <w:basedOn w:val="BodyText"/>
    <w:next w:val="BodyText"/>
    <w:qFormat/>
  </w:style>
  <w:style w:type="paragraph" w:styleId="Compact">
    <w:name w:val="Compact"/>
    <w:basedOn w:val="BodyText"/>
    <w:qFormat/>
    <w:pPr>
      <w:spacing w:after="40" w:line="292" w:lineRule="auto"/>
    </w:pPr>
  </w:style>
  <w:style w:type="paragraph" w:styleId="Title">
    <w:name w:val="Title"/>
    <w:basedOn w:val="Normal"/>
    <w:next w:val="Subtitle"/>
    <w:link w:val="TitleChar"/>
    <w:qFormat/>
    <w:pPr>
      <w:shd w:val="clear" w:color="auto" w:fill="8C1D34"/>
      <w:pBdr>
        <w:top w:val="single" w:sz="2" w:space="8" w:color="8C1D34"/>
        <w:bottom w:val="single" w:sz="2" w:space="8" w:color="8C1D34"/>
        <w:left w:val="single" w:sz="2" w:space="10" w:color="8C1D34"/>
        <w:right w:val="single" w:sz="2" w:space="10" w:color="8C1D34"/>
      </w:pBdr>
      <w:spacing w:line="240" w:lineRule="auto"/>
      <w:keepNext/>
      <w:spacing w:before="0" w:after="60" w:line="240" w:lineRule="auto"/>
    </w:pPr>
    <w:rPr>
      <w:rFonts w:ascii="Aptos Display" w:hAnsi="Aptos Display" w:cs="Aptos Display"/>
      <w:b/>
      <w:color w:val="FFFFFF"/>
      <w:sz w:val="60"/>
      <w:szCs w:val="60"/>
    </w:rPr>
  </w:style>
  <w:style w:type="character" w:styleId="TitleChar">
    <w:name w:val="Title Char"/>
    <w:basedOn w:val="DefaultParagraphFont"/>
    <w:rPr>
      <w:rFonts w:ascii="Aptos Display" w:hAnsi="Aptos Display" w:cs="Aptos Display"/>
      <w:color w:val="FFFFFF"/>
      <w:sz w:val="60"/>
      <w:szCs w:val="60"/>
    </w:rPr>
  </w:style>
  <w:style w:type="paragraph" w:styleId="Subtitle">
    <w:name w:val="Subtitle"/>
    <w:basedOn w:val="Normal"/>
    <w:next w:val="Author"/>
    <w:link w:val="SubtitleChar"/>
    <w:qFormat/>
    <w:pPr>
      <w:shd w:val="clear" w:color="auto" w:fill="8C1D34"/>
      <w:pBdr>
        <w:top w:val="single" w:sz="2" w:space="8" w:color="8C1D34"/>
        <w:bottom w:val="single" w:sz="2" w:space="8" w:color="8C1D34"/>
        <w:left w:val="single" w:sz="2" w:space="10" w:color="8C1D34"/>
        <w:right w:val="single" w:sz="2" w:space="10" w:color="8C1D34"/>
      </w:pBdr>
      <w:spacing w:line="240" w:lineRule="auto"/>
      <w:keepNext/>
      <w:spacing w:before="0" w:after="160" w:line="240" w:lineRule="auto"/>
    </w:pPr>
    <w:rPr>
      <w:rFonts w:ascii="Aptos" w:hAnsi="Aptos" w:cs="Aptos"/>
      <w:color w:val="F2E4E7"/>
      <w:sz w:val="24"/>
      <w:szCs w:val="24"/>
    </w:rPr>
  </w:style>
  <w:style w:type="character" w:styleId="SubtitleChar">
    <w:name w:val="Subtitle Char"/>
    <w:basedOn w:val="DefaultParagraphFont"/>
    <w:rPr>
      <w:rFonts w:ascii="Aptos" w:hAnsi="Aptos" w:cs="Aptos"/>
      <w:color w:val="F2E4E7"/>
      <w:sz w:val="24"/>
      <w:szCs w:val="24"/>
    </w:rPr>
  </w:style>
  <w:style w:type="paragraph" w:styleId="Author">
    <w:name w:val="Author"/>
    <w:basedOn w:val="Normal"/>
    <w:next w:val="Date"/>
    <w:qFormat/>
    <w:pPr>
      <w:shd w:val="clear" w:color="auto" w:fill="8C1D34"/>
      <w:pBdr>
        <w:top w:val="single" w:sz="2" w:space="8" w:color="8C1D34"/>
        <w:bottom w:val="single" w:sz="2" w:space="8" w:color="8C1D34"/>
        <w:left w:val="single" w:sz="2" w:space="10" w:color="8C1D34"/>
        <w:right w:val="single" w:sz="2" w:space="10" w:color="8C1D34"/>
      </w:pBdr>
      <w:spacing w:line="240" w:lineRule="auto"/>
      <w:keepNext/>
      <w:spacing w:before="0" w:after="0" w:line="240" w:lineRule="auto"/>
    </w:pPr>
    <w:rPr>
      <w:rFonts w:ascii="Aptos" w:hAnsi="Aptos" w:cs="Aptos"/>
      <w:b/>
      <w:color w:val="FFFFFF"/>
      <w:sz w:val="18"/>
      <w:szCs w:val="18"/>
    </w:rPr>
  </w:style>
  <w:style w:type="paragraph" w:styleId="Date">
    <w:name w:val="Date"/>
    <w:basedOn w:val="Normal"/>
    <w:next w:val="BodyText"/>
    <w:qFormat/>
    <w:pPr>
      <w:shd w:val="clear" w:color="auto" w:fill="8C1D34"/>
      <w:pBdr>
        <w:top w:val="single" w:sz="2" w:space="8" w:color="8C1D34"/>
        <w:bottom w:val="single" w:sz="2" w:space="8" w:color="8C1D34"/>
        <w:left w:val="single" w:sz="2" w:space="10" w:color="8C1D34"/>
        <w:right w:val="single" w:sz="2" w:space="10" w:color="8C1D34"/>
      </w:pBdr>
      <w:spacing w:line="240" w:lineRule="auto"/>
      <w:spacing w:before="0" w:after="280" w:line="240" w:lineRule="auto"/>
    </w:pPr>
    <w:rPr>
      <w:rFonts w:ascii="Aptos" w:hAnsi="Aptos" w:cs="Aptos"/>
      <w:color w:val="EBD6DA"/>
      <w:sz w:val="18"/>
      <w:szCs w:val="18"/>
    </w:rPr>
  </w:style>
  <w:style w:type="paragraph" w:styleId="AbstractTitle">
    <w:name w:val="Abstract Title"/>
    <w:basedOn w:val="Normal"/>
    <w:next w:val="Abstract"/>
    <w:qFormat/>
    <w:pPr>
      <w:keepNext/>
      <w:spacing w:before="240" w:after="60" w:line="240" w:lineRule="auto"/>
    </w:pPr>
    <w:rPr>
      <w:rFonts w:ascii="Aptos" w:hAnsi="Aptos" w:cs="Aptos"/>
      <w:b/>
      <w:smallCaps/>
      <w:color w:val="8C1D34"/>
      <w:sz w:val="21"/>
      <w:szCs w:val="21"/>
      <w:spacing w:val="20"/>
    </w:rPr>
  </w:style>
  <w:style w:type="paragraph" w:styleId="Abstract">
    <w:name w:val="Abstract"/>
    <w:basedOn w:val="BodyText"/>
    <w:next w:val="BodyText"/>
    <w:qFormat/>
    <w:pPr>
      <w:spacing w:after="160" w:line="292" w:lineRule="auto"/>
      <w:ind w:left="283"/>
    </w:pPr>
    <w:rPr>
      <w:rFonts w:ascii="Aptos" w:hAnsi="Aptos" w:cs="Aptos"/>
      <w:color w:val="6A6A70"/>
      <w:sz w:val="21"/>
      <w:szCs w:val="21"/>
    </w:rPr>
  </w:style>
  <w:style w:type="paragraph" w:styleId="Heading1">
    <w:name w:val="heading 1"/>
    <w:basedOn w:val="Normal"/>
    <w:next w:val="BodyText"/>
    <w:link w:val="Heading1Char"/>
    <w:qFormat/>
    <w:pPr>
      <w:keepNext/>
      <w:keepLines/>
      <w:pBdr>
        <w:top w:val="single" w:sz="24" w:space="6" w:color="8C1D34"/>
      </w:pBdr>
      <w:tabs>
        <w:tab w:val="left" w:pos="595"/>
      </w:tabs>
      <w:spacing w:before="560" w:after="180" w:line="240" w:lineRule="auto"/>
    </w:pPr>
    <w:rPr>
      <w:rFonts w:ascii="Aptos Display" w:hAnsi="Aptos Display" w:cs="Aptos Display"/>
      <w:b/>
      <w:color w:val="2C2C30"/>
      <w:sz w:val="42"/>
      <w:szCs w:val="42"/>
    </w:rPr>
  </w:style>
  <w:style w:type="character" w:styleId="Heading1Char">
    <w:name w:val="Heading 1 Char"/>
    <w:basedOn w:val="DefaultParagraphFont"/>
    <w:rPr>
      <w:rFonts w:ascii="Aptos" w:hAnsi="Aptos" w:cs="Aptos"/>
      <w:b/>
      <w:color w:val="2C2C30"/>
      <w:sz w:val="42"/>
      <w:szCs w:val="42"/>
    </w:rPr>
  </w:style>
  <w:style w:type="paragraph" w:styleId="Heading2">
    <w:name w:val="heading 2"/>
    <w:basedOn w:val="Normal"/>
    <w:next w:val="BodyText"/>
    <w:link w:val="Heading2Char"/>
    <w:qFormat/>
    <w:pPr>
      <w:keepNext/>
      <w:keepLines/>
      <w:tabs>
        <w:tab w:val="left" w:pos="793"/>
      </w:tabs>
      <w:spacing w:before="420" w:after="120" w:line="240" w:lineRule="auto"/>
    </w:pPr>
    <w:rPr>
      <w:rFonts w:ascii="Aptos" w:hAnsi="Aptos" w:cs="Aptos"/>
      <w:b/>
      <w:color w:val="8C1D34"/>
      <w:sz w:val="29"/>
      <w:szCs w:val="29"/>
    </w:rPr>
  </w:style>
  <w:style w:type="character" w:styleId="Heading2Char">
    <w:name w:val="Heading 2 Char"/>
    <w:basedOn w:val="DefaultParagraphFont"/>
    <w:rPr>
      <w:rFonts w:ascii="Aptos" w:hAnsi="Aptos" w:cs="Aptos"/>
      <w:b/>
      <w:color w:val="8C1D34"/>
      <w:sz w:val="29"/>
      <w:szCs w:val="29"/>
    </w:rPr>
  </w:style>
  <w:style w:type="paragraph" w:styleId="Heading3">
    <w:name w:val="heading 3"/>
    <w:basedOn w:val="Normal"/>
    <w:next w:val="BodyText"/>
    <w:link w:val="Heading3Char"/>
    <w:qFormat/>
    <w:pPr>
      <w:keepNext/>
      <w:keepLines/>
      <w:tabs>
        <w:tab w:val="left" w:pos="992"/>
      </w:tabs>
      <w:spacing w:before="320" w:after="90" w:line="240" w:lineRule="auto"/>
    </w:pPr>
    <w:rPr>
      <w:rFonts w:ascii="Aptos" w:hAnsi="Aptos" w:cs="Aptos"/>
      <w:b/>
      <w:color w:val="2C2C30"/>
      <w:sz w:val="23"/>
      <w:szCs w:val="23"/>
    </w:rPr>
  </w:style>
  <w:style w:type="character" w:styleId="Heading3Char">
    <w:name w:val="Heading 3 Char"/>
    <w:basedOn w:val="DefaultParagraphFont"/>
    <w:rPr>
      <w:rFonts w:ascii="Aptos" w:hAnsi="Aptos" w:cs="Aptos"/>
      <w:b/>
      <w:color w:val="2C2C30"/>
      <w:sz w:val="23"/>
      <w:szCs w:val="23"/>
    </w:rPr>
  </w:style>
  <w:style w:type="paragraph" w:styleId="Heading4">
    <w:name w:val="heading 4"/>
    <w:basedOn w:val="Normal"/>
    <w:next w:val="BodyText"/>
    <w:link w:val="Heading4Char"/>
    <w:qFormat/>
    <w:pPr>
      <w:keepNext/>
      <w:keepLines/>
      <w:tabs>
        <w:tab w:val="left" w:pos="1190"/>
      </w:tabs>
      <w:spacing w:before="280" w:after="80" w:line="240" w:lineRule="auto"/>
    </w:pPr>
    <w:rPr>
      <w:rFonts w:ascii="Aptos" w:hAnsi="Aptos" w:cs="Aptos"/>
      <w:b/>
      <w:smallCaps/>
      <w:color w:val="8C1D34"/>
      <w:sz w:val="20"/>
      <w:szCs w:val="20"/>
    </w:rPr>
  </w:style>
  <w:style w:type="character" w:styleId="Heading4Char">
    <w:name w:val="Heading 4 Char"/>
    <w:basedOn w:val="DefaultParagraphFont"/>
    <w:rPr>
      <w:rFonts w:ascii="Aptos" w:hAnsi="Aptos" w:cs="Aptos"/>
      <w:b/>
      <w:color w:val="8C1D34"/>
      <w:sz w:val="20"/>
      <w:szCs w:val="20"/>
    </w:rPr>
  </w:style>
  <w:style w:type="paragraph" w:styleId="Heading5">
    <w:name w:val="heading 5"/>
    <w:basedOn w:val="Normal"/>
    <w:next w:val="BodyText"/>
    <w:link w:val="Heading5Char"/>
    <w:qFormat/>
    <w:pPr>
      <w:keepNext/>
      <w:keepLines/>
      <w:tabs>
        <w:tab w:val="left" w:pos="1389"/>
      </w:tabs>
      <w:spacing w:before="250" w:after="70" w:line="240" w:lineRule="auto"/>
    </w:pPr>
    <w:rPr>
      <w:rFonts w:ascii="Aptos" w:hAnsi="Aptos" w:cs="Aptos"/>
      <w:b/>
      <w:color w:val="6A6A70"/>
      <w:sz w:val="20"/>
      <w:szCs w:val="20"/>
    </w:rPr>
  </w:style>
  <w:style w:type="character" w:styleId="Heading5Char">
    <w:name w:val="Heading 5 Char"/>
    <w:basedOn w:val="DefaultParagraphFont"/>
    <w:rPr>
      <w:rFonts w:ascii="Aptos" w:hAnsi="Aptos" w:cs="Aptos"/>
      <w:b/>
      <w:color w:val="6A6A70"/>
      <w:sz w:val="20"/>
      <w:szCs w:val="20"/>
    </w:rPr>
  </w:style>
  <w:style w:type="paragraph" w:styleId="Heading6">
    <w:name w:val="heading 6"/>
    <w:basedOn w:val="Normal"/>
    <w:next w:val="BodyText"/>
    <w:link w:val="Heading6Char"/>
    <w:qFormat/>
    <w:pPr>
      <w:keepNext/>
      <w:keepLines/>
      <w:spacing w:before="220" w:after="60" w:line="240" w:lineRule="auto"/>
    </w:pPr>
    <w:rPr>
      <w:rFonts w:ascii="Aptos" w:hAnsi="Aptos" w:cs="Aptos"/>
      <w:i/>
      <w:color w:val="6A6A70"/>
      <w:sz w:val="22"/>
      <w:szCs w:val="22"/>
    </w:rPr>
  </w:style>
  <w:style w:type="character" w:styleId="Heading6Char">
    <w:name w:val="Heading 6 Char"/>
    <w:basedOn w:val="DefaultParagraphFont"/>
    <w:rPr>
      <w:rFonts w:ascii="Aptos" w:hAnsi="Aptos" w:cs="Aptos"/>
      <w:i/>
      <w:color w:val="6A6A70"/>
      <w:sz w:val="22"/>
      <w:szCs w:val="22"/>
    </w:rPr>
  </w:style>
  <w:style w:type="paragraph" w:styleId="Heading7">
    <w:name w:val="heading 7"/>
    <w:basedOn w:val="Heading6"/>
    <w:next w:val="BodyText"/>
    <w:link w:val="Heading7Char"/>
    <w:qFormat/>
  </w:style>
  <w:style w:type="character" w:styleId="Heading7Char">
    <w:name w:val="Heading 7 Char"/>
    <w:basedOn w:val="DefaultParagraphFont"/>
    <w:rPr>
      <w:rFonts w:ascii="Aptos" w:hAnsi="Aptos" w:cs="Aptos"/>
      <w:i/>
      <w:color w:val="6A6A70"/>
      <w:sz w:val="22"/>
      <w:szCs w:val="22"/>
    </w:rPr>
  </w:style>
  <w:style w:type="paragraph" w:styleId="Heading8">
    <w:name w:val="heading 8"/>
    <w:basedOn w:val="Heading6"/>
    <w:next w:val="BodyText"/>
    <w:link w:val="Heading8Char"/>
    <w:qFormat/>
  </w:style>
  <w:style w:type="character" w:styleId="Heading8Char">
    <w:name w:val="Heading 8 Char"/>
    <w:basedOn w:val="DefaultParagraphFont"/>
    <w:rPr>
      <w:rFonts w:ascii="Aptos" w:hAnsi="Aptos" w:cs="Aptos"/>
      <w:i/>
      <w:color w:val="6A6A70"/>
      <w:sz w:val="22"/>
      <w:szCs w:val="22"/>
    </w:rPr>
  </w:style>
  <w:style w:type="paragraph" w:styleId="Heading9">
    <w:name w:val="heading 9"/>
    <w:basedOn w:val="Heading6"/>
    <w:next w:val="BodyText"/>
    <w:link w:val="Heading9Char"/>
    <w:qFormat/>
  </w:style>
  <w:style w:type="character" w:styleId="Heading9Char">
    <w:name w:val="Heading 9 Char"/>
    <w:basedOn w:val="DefaultParagraphFont"/>
    <w:rPr>
      <w:rFonts w:ascii="Aptos" w:hAnsi="Aptos" w:cs="Aptos"/>
      <w:i/>
      <w:color w:val="6A6A70"/>
      <w:sz w:val="22"/>
      <w:szCs w:val="22"/>
    </w:rPr>
  </w:style>
  <w:style w:type="paragraph" w:styleId="BlockText">
    <w:name w:val="Block Text"/>
    <w:basedOn w:val="BodyText"/>
    <w:next w:val="BodyText"/>
    <w:qFormat/>
    <w:pPr>
      <w:pBdr>
        <w:left w:val="single" w:sz="18" w:space="8" w:color="8C1D34"/>
      </w:pBdr>
      <w:spacing w:before="160" w:after="160" w:line="292" w:lineRule="auto"/>
      <w:ind w:left="226"/>
    </w:pPr>
    <w:rPr>
      <w:rFonts w:ascii="Aptos" w:hAnsi="Aptos" w:cs="Aptos"/>
      <w:i/>
      <w:color w:val="5E1323"/>
      <w:sz w:val="23"/>
      <w:szCs w:val="23"/>
    </w:rPr>
  </w:style>
  <w:style w:type="paragraph" w:styleId="FootnoteBlockText">
    <w:name w:val="Footnote Block Text"/>
    <w:basedOn w:val="BlockText"/>
    <w:qFormat/>
  </w:style>
  <w:style w:type="paragraph" w:styleId="DefinitionTerm">
    <w:name w:val="Definition Term"/>
    <w:basedOn w:val="Normal"/>
    <w:next w:val="Definition"/>
    <w:qFormat/>
    <w:pPr>
      <w:keepNext/>
      <w:spacing w:before="140" w:after="0" w:line="240" w:lineRule="auto"/>
    </w:pPr>
    <w:rPr>
      <w:rFonts w:ascii="Aptos" w:hAnsi="Aptos" w:cs="Aptos"/>
      <w:b/>
      <w:color w:val="8C1D34"/>
      <w:sz w:val="22"/>
      <w:szCs w:val="22"/>
    </w:rPr>
  </w:style>
  <w:style w:type="paragraph" w:styleId="Definition">
    <w:name w:val="Definition"/>
    <w:basedOn w:val="BodyText"/>
    <w:next w:val="BodyText"/>
    <w:qFormat/>
    <w:pPr>
      <w:pBdr>
        <w:bottom w:val="single" w:sz="4" w:space="3" w:color="DFDBD8"/>
      </w:pBdr>
      <w:spacing w:after="100" w:line="292" w:lineRule="auto"/>
      <w:ind w:left="396"/>
    </w:pPr>
  </w:style>
  <w:style w:type="paragraph" w:styleId="Caption">
    <w:name w:val="Caption"/>
    <w:basedOn w:val="Normal"/>
    <w:next w:val="BodyText"/>
    <w:qFormat/>
    <w:pPr>
      <w:spacing w:before="60" w:after="200" w:line="240" w:lineRule="auto"/>
    </w:pPr>
    <w:rPr>
      <w:rFonts w:ascii="Aptos" w:hAnsi="Aptos" w:cs="Aptos"/>
      <w:b/>
      <w:color w:val="6A6A70"/>
      <w:sz w:val="19"/>
      <w:szCs w:val="19"/>
    </w:rPr>
  </w:style>
  <w:style w:type="paragraph" w:styleId="TableCaption">
    <w:name w:val="Table Caption"/>
    <w:basedOn w:val="Caption"/>
    <w:next w:val="BodyText"/>
    <w:qFormat/>
    <w:pPr>
      <w:keepNext/>
      <w:spacing w:before="160" w:after="60" w:line="240" w:lineRule="auto"/>
    </w:pPr>
    <w:rPr>
      <w:rFonts w:ascii="Aptos" w:hAnsi="Aptos" w:cs="Aptos"/>
      <w:b/>
      <w:smallCaps/>
      <w:color w:val="8C1D34"/>
      <w:sz w:val="19"/>
      <w:szCs w:val="19"/>
      <w:spacing w:val="16"/>
    </w:rPr>
  </w:style>
  <w:style w:type="paragraph" w:styleId="ImageCaption">
    <w:name w:val="Image Caption"/>
    <w:basedOn w:val="Caption"/>
    <w:next w:val="BodyText"/>
    <w:qFormat/>
    <w:pPr>
      <w:spacing w:before="60" w:after="200" w:line="240" w:lineRule="auto"/>
    </w:pPr>
  </w:style>
  <w:style w:type="paragraph" w:styleId="Figure">
    <w:name w:val="Figure"/>
    <w:basedOn w:val="BodyText"/>
    <w:next w:val="ImageCaption"/>
    <w:qFormat/>
    <w:pPr>
      <w:keepNext/>
      <w:spacing w:before="140" w:after="60" w:line="240" w:lineRule="auto"/>
    </w:pPr>
  </w:style>
  <w:style w:type="paragraph" w:styleId="CaptionedFigure">
    <w:name w:val="Captioned Figure"/>
    <w:basedOn w:val="BodyText"/>
    <w:next w:val="BodyText"/>
    <w:qFormat/>
    <w:pPr>
      <w:keepNext/>
      <w:spacing w:before="140" w:after="200" w:line="240" w:lineRule="auto"/>
    </w:pPr>
  </w:style>
  <w:style w:type="paragraph" w:customStyle="1" w:styleId="SourceCode">
    <w:name w:val="Source Code"/>
    <w:basedOn w:val="Normal"/>
    <w:next w:val="BodyText"/>
    <w:qFormat/>
    <w:pPr>
      <w:wordWrap w:val="off"/>
      <w:keepLines/>
      <w:shd w:val="clear" w:color="auto" w:fill="F8F5F5"/>
      <w:pBdr>
        <w:left w:val="single" w:sz="18" w:space="8" w:color="8C1D34"/>
        <w:top w:val="single" w:sz="2" w:space="6" w:color="F8F5F5"/>
        <w:bottom w:val="single" w:sz="2" w:space="6" w:color="F8F5F5"/>
        <w:left w:val="single" w:sz="2" w:space="8" w:color="F8F5F5"/>
        <w:right w:val="single" w:sz="2" w:space="8" w:color="F8F5F5"/>
      </w:pBdr>
      <w:spacing w:before="0" w:after="0" w:line="240" w:lineRule="auto"/>
      <w:contextualSpacing/>
    </w:pPr>
    <w:rPr>
      <w:rFonts w:ascii="Consolas" w:hAnsi="Consolas" w:cs="Consolas"/>
      <w:color w:val="24292F"/>
      <w:sz w:val="19"/>
      <w:szCs w:val="19"/>
    </w:rPr>
  </w:style>
  <w:style w:type="character" w:customStyle="1" w:styleId="VerbatimChar">
    <w:name w:val="Verbatim Char"/>
    <w:basedOn w:val="DefaultParagraphFont"/>
    <w:qFormat/>
    <w:rPr>
      <w:rFonts w:ascii="Consolas" w:hAnsi="Consolas" w:cs="Consolas"/>
      <w:color w:val="1B1B1D"/>
      <w:sz w:val="20"/>
      <w:szCs w:val="20"/>
      <w:shd w:val="clear" w:color="auto" w:fill="F8F5F5"/>
    </w:rPr>
  </w:style>
  <w:style w:type="character" w:customStyle="1" w:styleId="KeywordTok">
    <w:name w:val="KeywordTok"/>
    <w:basedOn w:val="DefaultParagraphFont"/>
    <w:rPr>
      <w:rFonts w:ascii="Consolas" w:hAnsi="Consolas" w:cs="Consolas"/>
      <w:b/>
      <w:color w:val="5E1323"/>
      <w:sz w:val="19"/>
      <w:szCs w:val="19"/>
    </w:rPr>
  </w:style>
  <w:style w:type="character" w:customStyle="1" w:styleId="ControlFlowTok">
    <w:name w:val="ControlFlowTok"/>
    <w:basedOn w:val="DefaultParagraphFont"/>
    <w:rPr>
      <w:rFonts w:ascii="Consolas" w:hAnsi="Consolas" w:cs="Consolas"/>
      <w:b/>
      <w:color w:val="5E1323"/>
      <w:sz w:val="19"/>
      <w:szCs w:val="19"/>
    </w:rPr>
  </w:style>
  <w:style w:type="character" w:customStyle="1" w:styleId="ImportTok">
    <w:name w:val="ImportTok"/>
    <w:basedOn w:val="DefaultParagraphFont"/>
    <w:rPr>
      <w:rFonts w:ascii="Consolas" w:hAnsi="Consolas" w:cs="Consolas"/>
      <w:b/>
      <w:color w:val="5E1323"/>
      <w:sz w:val="19"/>
      <w:szCs w:val="19"/>
    </w:rPr>
  </w:style>
  <w:style w:type="character" w:customStyle="1" w:styleId="DataTypeTok">
    <w:name w:val="DataTypeTok"/>
    <w:basedOn w:val="DefaultParagraphFont"/>
    <w:rPr>
      <w:rFonts w:ascii="Consolas" w:hAnsi="Consolas" w:cs="Consolas"/>
      <w:color w:val="0F6F6C"/>
      <w:sz w:val="19"/>
      <w:szCs w:val="19"/>
    </w:rPr>
  </w:style>
  <w:style w:type="character" w:customStyle="1" w:styleId="DecValTok">
    <w:name w:val="DecValTok"/>
    <w:basedOn w:val="DefaultParagraphFont"/>
    <w:rPr>
      <w:rFonts w:ascii="Consolas" w:hAnsi="Consolas" w:cs="Consolas"/>
      <w:color w:val="8C2D18"/>
      <w:sz w:val="19"/>
      <w:szCs w:val="19"/>
    </w:rPr>
  </w:style>
  <w:style w:type="character" w:customStyle="1" w:styleId="BaseNTok">
    <w:name w:val="BaseNTok"/>
    <w:basedOn w:val="DefaultParagraphFont"/>
    <w:rPr>
      <w:rFonts w:ascii="Consolas" w:hAnsi="Consolas" w:cs="Consolas"/>
      <w:color w:val="8C2D18"/>
      <w:sz w:val="19"/>
      <w:szCs w:val="19"/>
    </w:rPr>
  </w:style>
  <w:style w:type="character" w:customStyle="1" w:styleId="FloatTok">
    <w:name w:val="FloatTok"/>
    <w:basedOn w:val="DefaultParagraphFont"/>
    <w:rPr>
      <w:rFonts w:ascii="Consolas" w:hAnsi="Consolas" w:cs="Consolas"/>
      <w:color w:val="8C2D18"/>
      <w:sz w:val="19"/>
      <w:szCs w:val="19"/>
    </w:rPr>
  </w:style>
  <w:style w:type="character" w:customStyle="1" w:styleId="ConstantTok">
    <w:name w:val="ConstantTok"/>
    <w:basedOn w:val="DefaultParagraphFont"/>
    <w:rPr>
      <w:rFonts w:ascii="Consolas" w:hAnsi="Consolas" w:cs="Consolas"/>
      <w:color w:val="8C2D18"/>
      <w:sz w:val="19"/>
      <w:szCs w:val="19"/>
    </w:rPr>
  </w:style>
  <w:style w:type="character" w:customStyle="1" w:styleId="SpecialCharTok">
    <w:name w:val="SpecialCharTok"/>
    <w:basedOn w:val="DefaultParagraphFont"/>
    <w:rPr>
      <w:rFonts w:ascii="Consolas" w:hAnsi="Consolas" w:cs="Consolas"/>
      <w:color w:val="8C2D18"/>
      <w:sz w:val="19"/>
      <w:szCs w:val="19"/>
    </w:rPr>
  </w:style>
  <w:style w:type="character" w:customStyle="1" w:styleId="AttributeTok">
    <w:name w:val="AttributeTok"/>
    <w:basedOn w:val="DefaultParagraphFont"/>
    <w:rPr>
      <w:rFonts w:ascii="Consolas" w:hAnsi="Consolas" w:cs="Consolas"/>
      <w:color w:val="8C2D18"/>
      <w:sz w:val="19"/>
      <w:szCs w:val="19"/>
    </w:rPr>
  </w:style>
  <w:style w:type="character" w:customStyle="1" w:styleId="PreprocessorTok">
    <w:name w:val="PreprocessorTok"/>
    <w:basedOn w:val="DefaultParagraphFont"/>
    <w:rPr>
      <w:rFonts w:ascii="Consolas" w:hAnsi="Consolas" w:cs="Consolas"/>
      <w:color w:val="8C2D18"/>
      <w:sz w:val="19"/>
      <w:szCs w:val="19"/>
    </w:rPr>
  </w:style>
  <w:style w:type="character" w:customStyle="1" w:styleId="WarningTok">
    <w:name w:val="WarningTok"/>
    <w:basedOn w:val="DefaultParagraphFont"/>
    <w:rPr>
      <w:rFonts w:ascii="Consolas" w:hAnsi="Consolas" w:cs="Consolas"/>
      <w:color w:val="8C2D18"/>
      <w:sz w:val="19"/>
      <w:szCs w:val="19"/>
    </w:rPr>
  </w:style>
  <w:style w:type="character" w:customStyle="1" w:styleId="StringTok">
    <w:name w:val="StringTok"/>
    <w:basedOn w:val="DefaultParagraphFont"/>
    <w:rPr>
      <w:rFonts w:ascii="Consolas" w:hAnsi="Consolas" w:cs="Consolas"/>
      <w:color w:val="1D6F42"/>
      <w:sz w:val="19"/>
      <w:szCs w:val="19"/>
    </w:rPr>
  </w:style>
  <w:style w:type="character" w:customStyle="1" w:styleId="CharTok">
    <w:name w:val="CharTok"/>
    <w:basedOn w:val="DefaultParagraphFont"/>
    <w:rPr>
      <w:rFonts w:ascii="Consolas" w:hAnsi="Consolas" w:cs="Consolas"/>
      <w:color w:val="1D6F42"/>
      <w:sz w:val="19"/>
      <w:szCs w:val="19"/>
    </w:rPr>
  </w:style>
  <w:style w:type="character" w:customStyle="1" w:styleId="VerbatimStringTok">
    <w:name w:val="VerbatimStringTok"/>
    <w:basedOn w:val="DefaultParagraphFont"/>
    <w:rPr>
      <w:rFonts w:ascii="Consolas" w:hAnsi="Consolas" w:cs="Consolas"/>
      <w:color w:val="1D6F42"/>
      <w:sz w:val="19"/>
      <w:szCs w:val="19"/>
    </w:rPr>
  </w:style>
  <w:style w:type="character" w:customStyle="1" w:styleId="SpecialStringTok">
    <w:name w:val="SpecialStringTok"/>
    <w:basedOn w:val="DefaultParagraphFont"/>
    <w:rPr>
      <w:rFonts w:ascii="Consolas" w:hAnsi="Consolas" w:cs="Consolas"/>
      <w:color w:val="1D6F42"/>
      <w:sz w:val="19"/>
      <w:szCs w:val="19"/>
    </w:rPr>
  </w:style>
  <w:style w:type="character" w:customStyle="1" w:styleId="CommentTok">
    <w:name w:val="CommentTok"/>
    <w:basedOn w:val="DefaultParagraphFont"/>
    <w:rPr>
      <w:rFonts w:ascii="Consolas" w:hAnsi="Consolas" w:cs="Consolas"/>
      <w:i/>
      <w:color w:val="8A8F98"/>
      <w:sz w:val="19"/>
      <w:szCs w:val="19"/>
    </w:rPr>
  </w:style>
  <w:style w:type="character" w:customStyle="1" w:styleId="CommentVarTok">
    <w:name w:val="CommentVarTok"/>
    <w:basedOn w:val="DefaultParagraphFont"/>
    <w:rPr>
      <w:rFonts w:ascii="Consolas" w:hAnsi="Consolas" w:cs="Consolas"/>
      <w:i/>
      <w:color w:val="8A8F98"/>
      <w:sz w:val="19"/>
      <w:szCs w:val="19"/>
    </w:rPr>
  </w:style>
  <w:style w:type="character" w:customStyle="1" w:styleId="DocumentationTok">
    <w:name w:val="DocumentationTok"/>
    <w:basedOn w:val="DefaultParagraphFont"/>
    <w:rPr>
      <w:rFonts w:ascii="Consolas" w:hAnsi="Consolas" w:cs="Consolas"/>
      <w:i/>
      <w:color w:val="8A8F98"/>
      <w:sz w:val="19"/>
      <w:szCs w:val="19"/>
    </w:rPr>
  </w:style>
  <w:style w:type="character" w:customStyle="1" w:styleId="AnnotationTok">
    <w:name w:val="AnnotationTok"/>
    <w:basedOn w:val="DefaultParagraphFont"/>
    <w:rPr>
      <w:rFonts w:ascii="Consolas" w:hAnsi="Consolas" w:cs="Consolas"/>
      <w:i/>
      <w:color w:val="8A8F98"/>
      <w:sz w:val="19"/>
      <w:szCs w:val="19"/>
    </w:rPr>
  </w:style>
  <w:style w:type="character" w:customStyle="1" w:styleId="InformationTok">
    <w:name w:val="InformationTok"/>
    <w:basedOn w:val="DefaultParagraphFont"/>
    <w:rPr>
      <w:rFonts w:ascii="Consolas" w:hAnsi="Consolas" w:cs="Consolas"/>
      <w:i/>
      <w:color w:val="8A8F98"/>
      <w:sz w:val="19"/>
      <w:szCs w:val="19"/>
    </w:rPr>
  </w:style>
  <w:style w:type="character" w:customStyle="1" w:styleId="RegionMarkerTok">
    <w:name w:val="RegionMarkerTok"/>
    <w:basedOn w:val="DefaultParagraphFont"/>
    <w:rPr>
      <w:rFonts w:ascii="Consolas" w:hAnsi="Consolas" w:cs="Consolas"/>
      <w:i/>
      <w:color w:val="8A8F98"/>
      <w:sz w:val="19"/>
      <w:szCs w:val="19"/>
    </w:rPr>
  </w:style>
  <w:style w:type="character" w:customStyle="1" w:styleId="FunctionTok">
    <w:name w:val="FunctionTok"/>
    <w:basedOn w:val="DefaultParagraphFont"/>
    <w:rPr>
      <w:rFonts w:ascii="Consolas" w:hAnsi="Consolas" w:cs="Consolas"/>
      <w:color w:val="6A3D9A"/>
      <w:sz w:val="19"/>
      <w:szCs w:val="19"/>
    </w:rPr>
  </w:style>
  <w:style w:type="character" w:customStyle="1" w:styleId="BuiltInTok">
    <w:name w:val="BuiltInTok"/>
    <w:basedOn w:val="DefaultParagraphFont"/>
    <w:rPr>
      <w:rFonts w:ascii="Consolas" w:hAnsi="Consolas" w:cs="Consolas"/>
      <w:color w:val="6A3D9A"/>
      <w:sz w:val="19"/>
      <w:szCs w:val="19"/>
    </w:rPr>
  </w:style>
  <w:style w:type="character" w:customStyle="1" w:styleId="ExtensionTok">
    <w:name w:val="ExtensionTok"/>
    <w:basedOn w:val="DefaultParagraphFont"/>
    <w:rPr>
      <w:rFonts w:ascii="Consolas" w:hAnsi="Consolas" w:cs="Consolas"/>
      <w:color w:val="6A3D9A"/>
      <w:sz w:val="19"/>
      <w:szCs w:val="19"/>
    </w:rPr>
  </w:style>
  <w:style w:type="character" w:customStyle="1" w:styleId="NormalTok">
    <w:name w:val="NormalTok"/>
    <w:basedOn w:val="DefaultParagraphFont"/>
    <w:rPr>
      <w:rFonts w:ascii="Consolas" w:hAnsi="Consolas" w:cs="Consolas"/>
      <w:color w:val="24292F"/>
      <w:sz w:val="19"/>
      <w:szCs w:val="19"/>
    </w:rPr>
  </w:style>
  <w:style w:type="character" w:customStyle="1" w:styleId="OperatorTok">
    <w:name w:val="OperatorTok"/>
    <w:basedOn w:val="DefaultParagraphFont"/>
    <w:rPr>
      <w:rFonts w:ascii="Consolas" w:hAnsi="Consolas" w:cs="Consolas"/>
      <w:color w:val="24292F"/>
      <w:sz w:val="19"/>
      <w:szCs w:val="19"/>
    </w:rPr>
  </w:style>
  <w:style w:type="character" w:customStyle="1" w:styleId="VariableTok">
    <w:name w:val="VariableTok"/>
    <w:basedOn w:val="DefaultParagraphFont"/>
    <w:rPr>
      <w:rFonts w:ascii="Consolas" w:hAnsi="Consolas" w:cs="Consolas"/>
      <w:color w:val="24292F"/>
      <w:sz w:val="19"/>
      <w:szCs w:val="19"/>
    </w:rPr>
  </w:style>
  <w:style w:type="character" w:customStyle="1" w:styleId="OtherTok">
    <w:name w:val="OtherTok"/>
    <w:basedOn w:val="DefaultParagraphFont"/>
    <w:rPr>
      <w:rFonts w:ascii="Consolas" w:hAnsi="Consolas" w:cs="Consolas"/>
      <w:color w:val="24292F"/>
      <w:sz w:val="19"/>
      <w:szCs w:val="19"/>
    </w:rPr>
  </w:style>
  <w:style w:type="character" w:customStyle="1" w:styleId="AlertTok">
    <w:name w:val="AlertTok"/>
    <w:basedOn w:val="DefaultParagraphFont"/>
    <w:rPr>
      <w:rFonts w:ascii="Consolas" w:hAnsi="Consolas" w:cs="Consolas"/>
      <w:b/>
      <w:color w:val="B3261E"/>
      <w:sz w:val="19"/>
      <w:szCs w:val="19"/>
    </w:rPr>
  </w:style>
  <w:style w:type="character" w:customStyle="1" w:styleId="ErrorTok">
    <w:name w:val="ErrorTok"/>
    <w:basedOn w:val="DefaultParagraphFont"/>
    <w:rPr>
      <w:rFonts w:ascii="Consolas" w:hAnsi="Consolas" w:cs="Consolas"/>
      <w:b/>
      <w:color w:val="B3261E"/>
      <w:sz w:val="19"/>
      <w:szCs w:val="19"/>
    </w:rPr>
  </w:style>
  <w:style w:type="paragraph" w:styleId="FootnoteText">
    <w:name w:val="Footnote Text"/>
    <w:basedOn w:val="Normal"/>
    <w:next w:val="FootnoteText"/>
    <w:qFormat/>
    <w:pPr>
      <w:spacing w:after="40" w:line="240" w:lineRule="auto"/>
    </w:pPr>
    <w:rPr>
      <w:rFonts w:ascii="Aptos" w:hAnsi="Aptos" w:cs="Aptos"/>
      <w:color w:val="6A6A70"/>
      <w:sz w:val="18"/>
      <w:szCs w:val="18"/>
    </w:rPr>
  </w:style>
  <w:style w:type="character" w:styleId="FootnoteReference">
    <w:name w:val="Footnote Reference"/>
    <w:basedOn w:val="DefaultParagraphFont"/>
    <w:rPr>
      <w:rFonts w:ascii="Aptos" w:hAnsi="Aptos" w:cs="Aptos"/>
      <w:b/>
      <w:color w:val="8C1D34"/>
      <w:sz w:val="16"/>
      <w:szCs w:val="16"/>
      <w:vertAlign w:val="superscript"/>
    </w:rPr>
  </w:style>
  <w:style w:type="character" w:styleId="Hyperlink">
    <w:name w:val="Hyperlink"/>
    <w:basedOn w:val="DefaultParagraphFont"/>
    <w:rPr>
      <w:rFonts w:ascii="Aptos" w:hAnsi="Aptos" w:cs="Aptos"/>
      <w:color w:val="8C1D34"/>
      <w:u w:val="single"/>
    </w:rPr>
  </w:style>
  <w:style w:type="character" w:styleId="SectionNumber">
    <w:name w:val="Section Number"/>
    <w:basedOn w:val="DefaultParagraphFont"/>
  </w:style>
  <w:style w:type="paragraph" w:styleId="Bibliography">
    <w:name w:val="Bibliography"/>
    <w:basedOn w:val="BodyText"/>
    <w:qFormat/>
    <w:pPr>
      <w:spacing w:after="100" w:line="240" w:lineRule="auto"/>
      <w:ind w:left="396" w:hanging="396"/>
    </w:pPr>
  </w:style>
  <w:style w:type="paragraph" w:styleId="TOCHeading">
    <w:name w:val="TOC Heading"/>
    <w:basedOn w:val="Normal"/>
    <w:next w:val="BodyText"/>
    <w:qFormat/>
    <w:pPr>
      <w:keepNext/>
      <w:pBdr>
        <w:bottom w:val="single" w:sz="8" w:space="3" w:color="8C1D34"/>
      </w:pBdr>
      <w:spacing w:before="240" w:after="120" w:line="240" w:lineRule="auto"/>
    </w:pPr>
    <w:rPr>
      <w:rFonts w:ascii="Aptos Display" w:hAnsi="Aptos Display" w:cs="Aptos Display"/>
      <w:b/>
      <w:smallCaps/>
      <w:color w:val="8C1D34"/>
      <w:sz w:val="26"/>
      <w:szCs w:val="26"/>
      <w:spacing w:val="24"/>
    </w:rPr>
  </w:style>
  <w:style w:type="paragraph" w:styleId="TOC1">
    <w:name w:val="toc 1"/>
    <w:basedOn w:val="Normal"/>
    <w:next w:val="BodyText"/>
    <w:pPr>
      <w:tabs>
        <w:tab w:val="right" w:leader="dot" w:pos="9186"/>
      </w:tabs>
      <w:spacing w:after="40" w:line="240" w:lineRule="auto"/>
      <w:ind w:left="0"/>
    </w:pPr>
    <w:rPr>
      <w:rFonts w:ascii="Aptos" w:hAnsi="Aptos" w:cs="Aptos"/>
      <w:b/>
      <w:color w:val="1B1B1D"/>
      <w:sz w:val="21"/>
      <w:szCs w:val="21"/>
    </w:rPr>
  </w:style>
  <w:style w:type="paragraph" w:styleId="TOC2">
    <w:name w:val="toc 2"/>
    <w:basedOn w:val="Normal"/>
    <w:next w:val="BodyText"/>
    <w:pPr>
      <w:tabs>
        <w:tab w:val="right" w:leader="dot" w:pos="9186"/>
      </w:tabs>
      <w:spacing w:after="40" w:line="240" w:lineRule="auto"/>
      <w:ind w:left="340"/>
    </w:pPr>
    <w:rPr>
      <w:rFonts w:ascii="Aptos" w:hAnsi="Aptos" w:cs="Aptos"/>
      <w:color w:val="6A6A70"/>
      <w:sz w:val="21"/>
      <w:szCs w:val="21"/>
    </w:rPr>
  </w:style>
  <w:style w:type="paragraph" w:styleId="TOC3">
    <w:name w:val="toc 3"/>
    <w:basedOn w:val="Normal"/>
    <w:next w:val="BodyText"/>
    <w:pPr>
      <w:tabs>
        <w:tab w:val="right" w:leader="dot" w:pos="9186"/>
      </w:tabs>
      <w:spacing w:after="40" w:line="240" w:lineRule="auto"/>
      <w:ind w:left="680"/>
    </w:pPr>
    <w:rPr>
      <w:rFonts w:ascii="Aptos" w:hAnsi="Aptos" w:cs="Aptos"/>
      <w:color w:val="6A6A70"/>
      <w:sz w:val="21"/>
      <w:szCs w:val="21"/>
    </w:rPr>
  </w:style>
  <w:style w:type="paragraph" w:styleId="Header">
    <w:name w:val="header"/>
    <w:basedOn w:val="Normal"/>
    <w:next w:val="BodyText"/>
    <w:pPr>
      <w:pBdr>
        <w:bottom w:val="single" w:sz="12" w:space="4" w:color="8C1D34"/>
      </w:pBdr>
      <w:tabs>
        <w:tab w:val="center" w:pos="4593"/>
        <w:tab w:val="right" w:pos="9186"/>
      </w:tabs>
      <w:spacing w:after="0" w:line="240" w:lineRule="auto"/>
    </w:pPr>
    <w:rPr>
      <w:rFonts w:ascii="Aptos" w:hAnsi="Aptos" w:cs="Aptos"/>
      <w:color w:val="6A6A70"/>
      <w:sz w:val="17"/>
      <w:szCs w:val="17"/>
      <w:spacing w:val="14"/>
    </w:rPr>
  </w:style>
  <w:style w:type="paragraph" w:styleId="Footer">
    <w:name w:val="footer"/>
    <w:basedOn w:val="Normal"/>
    <w:next w:val="BodyText"/>
    <w:pPr>
      <w:pBdr>
        <w:top w:val="single" w:sz="12" w:space="4" w:color="8C1D34"/>
      </w:pBdr>
      <w:tabs>
        <w:tab w:val="center" w:pos="4593"/>
        <w:tab w:val="right" w:pos="9186"/>
      </w:tabs>
      <w:spacing w:after="0" w:line="240" w:lineRule="auto"/>
    </w:pPr>
    <w:rPr>
      <w:rFonts w:ascii="Aptos" w:hAnsi="Aptos" w:cs="Aptos"/>
      <w:color w:val="6A6A70"/>
      <w:sz w:val="17"/>
      <w:szCs w:val="17"/>
      <w:spacing w:val="14"/>
    </w:rPr>
  </w:style>
  <w:style w:type="paragraph" w:customStyle="1" w:styleId="Lead">
    <w:name w:val="Lead"/>
    <w:basedOn w:val="BodyText"/>
    <w:next w:val="BodyText"/>
    <w:qFormat/>
    <w:pPr>
      <w:shd w:val="clear" w:color="auto" w:fill="FDF6EA"/>
      <w:pBdr>
        <w:left w:val="single" w:sz="18" w:space="8" w:color="8A5A00"/>
        <w:top w:val="single" w:sz="2" w:space="5" w:color="FDF6EA"/>
        <w:bottom w:val="single" w:sz="2" w:space="5" w:color="FDF6EA"/>
        <w:left w:val="single" w:sz="2" w:space="8" w:color="FDF6EA"/>
        <w:right w:val="single" w:sz="2" w:space="8" w:color="FDF6EA"/>
      </w:pBdr>
      <w:spacing w:before="140" w:after="140" w:line="240" w:lineRule="auto"/>
    </w:pPr>
    <w:rPr>
      <w:rFonts w:ascii="Aptos" w:hAnsi="Aptos" w:cs="Aptos"/>
      <w:b/>
      <w:color w:val="1B1B1D"/>
      <w:sz w:val="22"/>
      <w:szCs w:val="22"/>
    </w:rPr>
  </w:style>
  <w:style w:type="paragraph" w:customStyle="1" w:styleId="Note">
    <w:name w:val="Note"/>
    <w:basedOn w:val="BodyText"/>
    <w:next w:val="BodyText"/>
    <w:qFormat/>
    <w:pPr>
      <w:shd w:val="clear" w:color="auto" w:fill="F7EDEF"/>
      <w:pBdr>
        <w:left w:val="single" w:sz="18" w:space="8" w:color="8C1D34"/>
        <w:top w:val="single" w:sz="2" w:space="5" w:color="F7EDEF"/>
        <w:bottom w:val="single" w:sz="2" w:space="5" w:color="F7EDEF"/>
        <w:left w:val="single" w:sz="2" w:space="8" w:color="F7EDEF"/>
        <w:right w:val="single" w:sz="2" w:space="8" w:color="F7EDEF"/>
      </w:pBdr>
      <w:spacing w:before="140" w:after="140" w:line="240" w:lineRule="auto"/>
    </w:pPr>
    <w:rPr>
      <w:rFonts w:ascii="Aptos" w:hAnsi="Aptos" w:cs="Aptos"/>
      <w:color w:val="1B1B1D"/>
      <w:sz w:val="21"/>
      <w:szCs w:val="21"/>
    </w:rPr>
  </w:style>
  <w:style w:type="paragraph" w:customStyle="1" w:styleId="Caution">
    <w:name w:val="Caution"/>
    <w:basedOn w:val="Note"/>
    <w:next w:val="BodyText"/>
    <w:qFormat/>
    <w:pPr>
      <w:shd w:val="clear" w:color="auto" w:fill="FDF6EA"/>
      <w:pBdr>
        <w:left w:val="single" w:sz="18" w:space="8" w:color="8A5A00"/>
        <w:top w:val="single" w:sz="2" w:space="5" w:color="FDF6EA"/>
        <w:bottom w:val="single" w:sz="2" w:space="5" w:color="FDF6EA"/>
        <w:left w:val="single" w:sz="2" w:space="8" w:color="FDF6EA"/>
        <w:right w:val="single" w:sz="2" w:space="8" w:color="FDF6EA"/>
      </w:pBdr>
      <w:spacing w:before="140" w:after="140" w:line="240" w:lineRule="auto"/>
    </w:pPr>
  </w:style>
  <w:style w:type="paragraph" w:customStyle="1" w:styleId="SourceNote">
    <w:name w:val="Source Note"/>
    <w:basedOn w:val="BodyText"/>
    <w:next w:val="BodyText"/>
    <w:qFormat/>
    <w:pPr>
      <w:spacing w:before="0" w:after="160" w:line="240" w:lineRule="auto"/>
    </w:pPr>
    <w:rPr>
      <w:rFonts w:ascii="Aptos" w:hAnsi="Aptos" w:cs="Aptos"/>
      <w:color w:val="6A6A70"/>
      <w:sz w:val="18"/>
      <w:szCs w:val="18"/>
    </w:rPr>
  </w:style>
  <w:style w:type="table" w:styleId="Table">
    <w:name w:val="Table"/>
    <w:basedOn w:val="TableNormal"/>
    <w:qFormat/>
    <w:pPr>
      <w:spacing w:after="0" w:line="240" w:lineRule="auto"/>
    </w:pPr>
    <w:rPr>
      <w:rFonts w:ascii="Aptos" w:hAnsi="Aptos" w:cs="Aptos"/>
      <w:color w:val="1B1B1D"/>
      <w:sz w:val="20"/>
      <w:szCs w:val="20"/>
    </w:rPr>
    <w:tblPr>
      <w:tblBorders>
        <w:insideH w:val="single" w:sz="4" w:space="0" w:color="DFDBD8"/>
        <w:bottom w:val="single" w:sz="12" w:space="0" w:color="8C1D34"/>
      </w:tblBorders>
      <w:tblCellMar>
        <w:top w:w="60" w:type="dxa"/>
        <w:left w:w="108" w:type="dxa"/>
        <w:bottom w:w="60" w:type="dxa"/>
        <w:right w:w="108" w:type="dxa"/>
      </w:tblCellMar>
    </w:tblPr>
    <w:tblStylePr w:type="firstRow">
      <w:pPr>
        <w:keepNext/>
      </w:pPr>
      <w:rPr>
        <w:rFonts w:ascii="Aptos" w:hAnsi="Aptos" w:cs="Aptos"/>
        <w:b/>
        <w:color w:val="FFFFFF"/>
        <w:sz w:val="19"/>
        <w:szCs w:val="19"/>
      </w:rPr>
      <w:tcPr>
        <w:shd w:val="clear" w:color="auto" w:fill="5E1323"/>
      </w:tcPr>
    </w:tblStylePr>
    <w:tblStylePr w:type="lastRow">
      <w:rPr>
        <w:rFonts w:ascii="Aptos" w:hAnsi="Aptos" w:cs="Aptos"/>
        <w:b/>
        <w:color w:val="1B1B1D"/>
        <w:sz w:val="20"/>
        <w:szCs w:val="20"/>
      </w:rPr>
      <w:tcPr>
        <w:shd w:val="clear" w:color="auto" w:fill="F7EDEF"/>
        <w:tcBorders>
          <w:top w:val="single" w:sz="12" w:space="0" w:color="8C1D34"/>
        </w:tcBorders>
      </w:tcPr>
    </w:tblStylePr>
  </w:style>
  <w:style w:type="table" w:default="1" w:styleId="TableNormal">
    <w:name w:val="Normal Table"/>
    <w:tblPr>
      <w:tblCellMar>
        <w:top w:w="60" w:type="dxa"/>
        <w:left w:w="108" w:type="dxa"/>
        <w:bottom w:w="6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example.com" TargetMode="External" /><Relationship Id="rIdHeader" Type="http://schemas.openxmlformats.org/officeDocument/2006/relationships/header" Target="header1.xml"/><Relationship Id="rIdFooter" Type="http://schemas.openxmlformats.org/officeDocument/2006/relationships/footer" Target="footer1.xml"/></Relationships>

</file>

<file path=word/_rels/footnotes.xml.rels><?xml version="1.0" encoding="UTF-8"?>
<Relationships xmlns="http://schemas.openxmlformats.org/package/2006/relationships"><Relationship Type="http://schemas.openxmlformats.org/officeDocument/2006/relationships/hyperlink" Id="rId3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