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楷体" w:hAnsi="华文楷体" w:eastAsia="华文楷体" w:cs="BrowalliaUPC"/>
          <w:sz w:val="24"/>
          <w:szCs w:val="24"/>
        </w:rPr>
      </w:pPr>
      <w:r>
        <w:rPr>
          <w:rFonts w:hint="eastAsia" w:ascii="华文楷体" w:hAnsi="华文楷体" w:eastAsia="华文楷体" w:cs="BrowalliaUPC"/>
          <w:sz w:val="24"/>
          <w:szCs w:val="24"/>
        </w:rPr>
        <w:t>合同编号：</w:t>
      </w:r>
      <w:r>
        <w:rPr>
          <w:rFonts w:hint="eastAsia" w:ascii="华文楷体" w:hAnsi="华文楷体" w:eastAsia="华文楷体" w:cs="BrowalliaUPC"/>
          <w:sz w:val="24"/>
          <w:szCs w:val="24"/>
          <w:lang w:val="en-US" w:eastAsia="zh-CN"/>
        </w:rPr>
        <w:t>LSY201703311229034158</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甲方：</w:t>
      </w:r>
      <w:r>
        <w:rPr>
          <w:rFonts w:ascii="华文楷体" w:hAnsi="华文楷体" w:eastAsia="华文楷体" w:cs="BrowalliaUPC"/>
          <w:sz w:val="24"/>
          <w:szCs w:val="24"/>
          <w:u w:val="single"/>
        </w:rPr>
        <w:t>无锡市灵山后花园有限公司</w:t>
      </w:r>
      <w:r>
        <w:rPr>
          <w:rFonts w:hint="eastAsia"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地址：</w:t>
      </w:r>
      <w:r>
        <w:rPr>
          <w:rFonts w:ascii="华文楷体" w:hAnsi="华文楷体" w:eastAsia="华文楷体" w:cs="BrowalliaUPC"/>
          <w:sz w:val="24"/>
          <w:szCs w:val="24"/>
          <w:u w:val="single"/>
        </w:rPr>
        <w:t>江苏省无锡市太湖国家旅游度假区</w:t>
      </w:r>
      <w:r>
        <w:rPr>
          <w:rFonts w:hint="eastAsia" w:ascii="华文楷体" w:hAnsi="华文楷体" w:eastAsia="华文楷体" w:cs="BrowalliaUPC"/>
          <w:sz w:val="24"/>
          <w:szCs w:val="24"/>
          <w:u w:val="single"/>
        </w:rPr>
        <w:t>新龙</w:t>
      </w:r>
      <w:r>
        <w:rPr>
          <w:rFonts w:ascii="华文楷体" w:hAnsi="华文楷体" w:eastAsia="华文楷体" w:cs="BrowalliaUPC"/>
          <w:sz w:val="24"/>
          <w:szCs w:val="24"/>
          <w:u w:val="single"/>
        </w:rPr>
        <w:t>路</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315" w:beforeAutospacing="0" w:after="315" w:afterAutospacing="0" w:line="20" w:lineRule="atLeast"/>
        <w:ind w:left="0" w:right="0" w:firstLine="0"/>
        <w:rPr>
          <w:rFonts w:ascii="华文楷体" w:hAnsi="华文楷体" w:eastAsia="华文楷体" w:cs="BrowalliaUPC"/>
          <w:sz w:val="24"/>
          <w:szCs w:val="24"/>
          <w:u w:val="single"/>
        </w:rPr>
      </w:pPr>
      <w:r>
        <w:rPr>
          <w:rFonts w:hint="eastAsia" w:ascii="华文楷体" w:hAnsi="华文楷体" w:eastAsia="华文楷体" w:cs="BrowalliaUPC"/>
          <w:sz w:val="24"/>
          <w:szCs w:val="24"/>
        </w:rPr>
        <w:t>邮编</w:t>
      </w:r>
      <w:r>
        <w:rPr>
          <w:rFonts w:hint="eastAsia" w:ascii="华文楷体" w:hAnsi="华文楷体" w:eastAsia="华文楷体" w:cs="BrowalliaUPC"/>
          <w:sz w:val="24"/>
          <w:szCs w:val="24"/>
          <w:lang w:val="en-US" w:eastAsia="zh-CN"/>
        </w:rPr>
        <w:t xml:space="preserve">: </w:t>
      </w:r>
      <w:r>
        <w:rPr>
          <w:rFonts w:hint="eastAsia" w:ascii="华文楷体" w:hAnsi="华文楷体" w:eastAsia="华文楷体" w:cs="BrowalliaUPC"/>
          <w:sz w:val="24"/>
          <w:szCs w:val="24"/>
          <w:u w:val="single"/>
        </w:rPr>
        <w:t xml:space="preserve">814023                      </w:t>
      </w:r>
    </w:p>
    <w:p>
      <w:pPr>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rPr>
        <w:t>电话：</w:t>
      </w:r>
      <w:r>
        <w:rPr>
          <w:rFonts w:hint="eastAsia" w:ascii="华文楷体" w:hAnsi="华文楷体" w:eastAsia="华文楷体" w:cs="BrowalliaUPC"/>
          <w:sz w:val="24"/>
          <w:szCs w:val="24"/>
          <w:u w:val="single"/>
        </w:rPr>
        <w:t xml:space="preserve">0510-85688503                        </w:t>
      </w:r>
    </w:p>
    <w:p>
      <w:pPr>
        <w:adjustRightInd w:val="0"/>
        <w:snapToGrid w:val="0"/>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rPr>
        <w:t>公司开户行：</w:t>
      </w:r>
      <w:r>
        <w:rPr>
          <w:rFonts w:hint="eastAsia" w:ascii="华文楷体" w:hAnsi="华文楷体" w:eastAsia="华文楷体" w:cs="BrowalliaUPC"/>
          <w:sz w:val="24"/>
          <w:szCs w:val="24"/>
          <w:u w:val="single"/>
        </w:rPr>
        <w:t xml:space="preserve">  江苏银行无锡开发支行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帐号：</w:t>
      </w:r>
      <w:r>
        <w:rPr>
          <w:rFonts w:hint="eastAsia" w:ascii="华文楷体" w:hAnsi="华文楷体" w:eastAsia="华文楷体" w:cs="BrowalliaUPC"/>
          <w:sz w:val="24"/>
          <w:szCs w:val="24"/>
          <w:u w:val="single"/>
        </w:rPr>
        <w:t xml:space="preserve">   836010189100171885                </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乙方</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lang w:val="en-US" w:eastAsia="zh-CN"/>
        </w:rPr>
        <w:t>测试</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身份证号码</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lang w:val="en-US" w:eastAsia="zh-CN"/>
        </w:rPr>
        <w:t>123456789</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地址</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lang w:val="en-US" w:eastAsia="zh-CN"/>
        </w:rPr>
        <w:t>辽宁</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邮编</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lang w:val="en-US" w:eastAsia="zh-CN"/>
        </w:rPr>
        <w:t>315600</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电话</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lang w:val="en-US" w:eastAsia="zh-CN"/>
        </w:rPr>
        <w:t>13689897845</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rPr>
        <w:t>乙方</w:t>
      </w:r>
      <w:r>
        <w:rPr>
          <w:rFonts w:ascii="华文楷体" w:hAnsi="华文楷体" w:eastAsia="华文楷体" w:cs="BrowalliaUPC"/>
          <w:sz w:val="24"/>
          <w:szCs w:val="24"/>
        </w:rPr>
        <w:t>授权代表（联系人）</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性别：</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身份证号码：</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地址：</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邮编：</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电话：</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使用方</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lang w:val="en-US" w:eastAsia="zh-CN"/>
        </w:rPr>
        <w:t>测试1</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性</w:t>
      </w:r>
      <w:r>
        <w:rPr>
          <w:rFonts w:hint="eastAsia" w:ascii="华文楷体" w:hAnsi="华文楷体" w:eastAsia="华文楷体" w:cs="BrowalliaUPC"/>
          <w:sz w:val="24"/>
          <w:szCs w:val="24"/>
        </w:rPr>
        <w:t xml:space="preserve"> </w:t>
      </w:r>
      <w:r>
        <w:rPr>
          <w:rFonts w:ascii="华文楷体" w:hAnsi="华文楷体" w:eastAsia="华文楷体" w:cs="BrowalliaUPC"/>
          <w:sz w:val="24"/>
          <w:szCs w:val="24"/>
        </w:rPr>
        <w:t>别</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lang w:val="en-US" w:eastAsia="zh-CN"/>
        </w:rPr>
        <w:t>男</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lang w:val="en-US" w:eastAsia="zh-CN"/>
        </w:rPr>
        <w:t>测试1</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与</w:t>
      </w:r>
      <w:r>
        <w:rPr>
          <w:rFonts w:hint="eastAsia" w:ascii="华文楷体" w:hAnsi="华文楷体" w:eastAsia="华文楷体" w:cs="BrowalliaUPC"/>
          <w:sz w:val="24"/>
          <w:szCs w:val="24"/>
        </w:rPr>
        <w:t>乙</w:t>
      </w:r>
      <w:r>
        <w:rPr>
          <w:rFonts w:ascii="华文楷体" w:hAnsi="华文楷体" w:eastAsia="华文楷体" w:cs="BrowalliaUPC"/>
          <w:sz w:val="24"/>
          <w:szCs w:val="24"/>
        </w:rPr>
        <w:t>方的关系:</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lang w:val="en-US" w:eastAsia="zh-CN"/>
        </w:rPr>
        <w:t>表兄弟</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地址：</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lang w:val="en-US" w:eastAsia="zh-CN"/>
        </w:rPr>
        <w:t>辽宁</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邮编：</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lang w:val="en-US" w:eastAsia="zh-CN"/>
        </w:rPr>
        <w:t>3156891</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电话</w:t>
      </w:r>
      <w:r>
        <w:rPr>
          <w:rFonts w:hint="eastAsia" w:ascii="华文楷体" w:hAnsi="华文楷体" w:eastAsia="华文楷体" w:cs="BrowalliaUPC"/>
          <w:sz w:val="24"/>
          <w:szCs w:val="24"/>
        </w:rPr>
        <w:t>：</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lang w:val="en-US" w:eastAsia="zh-CN"/>
        </w:rPr>
        <w:t>13856457269</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使用方</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性别</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与</w:t>
      </w:r>
      <w:r>
        <w:rPr>
          <w:rFonts w:hint="eastAsia" w:ascii="华文楷体" w:hAnsi="华文楷体" w:eastAsia="华文楷体" w:cs="BrowalliaUPC"/>
          <w:sz w:val="24"/>
          <w:szCs w:val="24"/>
        </w:rPr>
        <w:t>乙</w:t>
      </w:r>
      <w:r>
        <w:rPr>
          <w:rFonts w:ascii="华文楷体" w:hAnsi="华文楷体" w:eastAsia="华文楷体" w:cs="BrowalliaUPC"/>
          <w:sz w:val="24"/>
          <w:szCs w:val="24"/>
        </w:rPr>
        <w:t>方的关系:</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地址：</w:t>
      </w:r>
      <w:r>
        <w:rPr>
          <w:rFonts w:hint="eastAsia"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邮编：</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电话</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ind w:firstLine="480" w:firstLineChars="200"/>
        <w:rPr>
          <w:rFonts w:ascii="华文楷体" w:hAnsi="华文楷体" w:eastAsia="华文楷体" w:cs="BrowalliaUPC"/>
          <w:sz w:val="24"/>
          <w:szCs w:val="24"/>
        </w:rPr>
      </w:pPr>
    </w:p>
    <w:p>
      <w:pPr>
        <w:spacing w:line="360" w:lineRule="exact"/>
        <w:ind w:firstLine="480" w:firstLineChars="200"/>
        <w:rPr>
          <w:rFonts w:ascii="华文楷体" w:hAnsi="华文楷体" w:eastAsia="华文楷体" w:cs="BrowalliaUPC"/>
          <w:sz w:val="24"/>
          <w:szCs w:val="24"/>
        </w:rPr>
      </w:pPr>
      <w:r>
        <w:rPr>
          <w:rFonts w:ascii="华文楷体" w:hAnsi="华文楷体" w:eastAsia="华文楷体" w:cs="BrowalliaUPC"/>
          <w:sz w:val="24"/>
          <w:szCs w:val="24"/>
        </w:rPr>
        <w:t>根据《中华人民共和国合同法》及有关法律、法规</w:t>
      </w:r>
      <w:r>
        <w:rPr>
          <w:rFonts w:hint="eastAsia" w:ascii="华文楷体" w:hAnsi="华文楷体" w:eastAsia="华文楷体" w:cs="BrowalliaUPC"/>
          <w:sz w:val="24"/>
          <w:szCs w:val="24"/>
        </w:rPr>
        <w:t>之</w:t>
      </w:r>
      <w:r>
        <w:rPr>
          <w:rFonts w:ascii="华文楷体" w:hAnsi="华文楷体" w:eastAsia="华文楷体" w:cs="BrowalliaUPC"/>
          <w:sz w:val="24"/>
          <w:szCs w:val="24"/>
        </w:rPr>
        <w:t>规定，</w:t>
      </w:r>
      <w:r>
        <w:rPr>
          <w:rFonts w:hint="eastAsia" w:ascii="华文楷体" w:hAnsi="华文楷体" w:eastAsia="华文楷体" w:cs="BrowalliaUPC"/>
          <w:sz w:val="24"/>
          <w:szCs w:val="24"/>
        </w:rPr>
        <w:t>甲乙双方在平等、自愿、协商一致的基础上</w:t>
      </w:r>
      <w:r>
        <w:rPr>
          <w:rFonts w:ascii="华文楷体" w:hAnsi="华文楷体" w:eastAsia="华文楷体" w:cs="BrowalliaUPC"/>
          <w:sz w:val="24"/>
          <w:szCs w:val="24"/>
        </w:rPr>
        <w:t>，达成如下协议：</w:t>
      </w:r>
    </w:p>
    <w:p>
      <w:pPr>
        <w:spacing w:line="360" w:lineRule="exact"/>
        <w:rPr>
          <w:rFonts w:ascii="华文楷体" w:hAnsi="华文楷体" w:eastAsia="华文楷体" w:cs="BrowalliaUPC"/>
          <w:b/>
          <w:sz w:val="24"/>
          <w:szCs w:val="24"/>
        </w:rPr>
      </w:pPr>
      <w:r>
        <w:rPr>
          <w:rFonts w:ascii="华文楷体" w:hAnsi="华文楷体" w:eastAsia="华文楷体" w:cs="BrowalliaUPC"/>
          <w:b/>
          <w:sz w:val="24"/>
          <w:szCs w:val="24"/>
        </w:rPr>
        <w:t>一、标的物</w:t>
      </w:r>
      <w:r>
        <w:rPr>
          <w:rFonts w:hint="eastAsia" w:ascii="华文楷体" w:hAnsi="华文楷体" w:eastAsia="华文楷体" w:cs="BrowalliaUPC"/>
          <w:b/>
          <w:sz w:val="24"/>
          <w:szCs w:val="24"/>
        </w:rPr>
        <w:t>：</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1、标的物的定义：“福寿位”是指灵山</w:t>
      </w:r>
      <w:r>
        <w:rPr>
          <w:rFonts w:hint="eastAsia" w:ascii="华文楷体" w:hAnsi="华文楷体" w:eastAsia="华文楷体" w:cs="BrowalliaUPC"/>
          <w:sz w:val="24"/>
          <w:szCs w:val="24"/>
        </w:rPr>
        <w:t>后花园</w:t>
      </w:r>
      <w:r>
        <w:rPr>
          <w:rFonts w:ascii="华文楷体" w:hAnsi="华文楷体" w:eastAsia="华文楷体" w:cs="BrowalliaUPC"/>
          <w:sz w:val="24"/>
          <w:szCs w:val="24"/>
        </w:rPr>
        <w:t>内用于存放先人骨灰盒的</w:t>
      </w:r>
      <w:r>
        <w:rPr>
          <w:rFonts w:hint="eastAsia" w:ascii="华文楷体" w:hAnsi="华文楷体" w:eastAsia="华文楷体" w:cs="BrowalliaUPC"/>
          <w:sz w:val="24"/>
          <w:szCs w:val="24"/>
        </w:rPr>
        <w:t>福寿位</w:t>
      </w:r>
      <w:r>
        <w:rPr>
          <w:rFonts w:ascii="华文楷体" w:hAnsi="华文楷体" w:eastAsia="华文楷体" w:cs="BrowalliaUPC"/>
          <w:sz w:val="24"/>
          <w:szCs w:val="24"/>
        </w:rPr>
        <w:t>。</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2、灵山</w:t>
      </w:r>
      <w:r>
        <w:rPr>
          <w:rFonts w:hint="eastAsia" w:ascii="华文楷体" w:hAnsi="华文楷体" w:eastAsia="华文楷体" w:cs="BrowalliaUPC"/>
          <w:sz w:val="24"/>
          <w:szCs w:val="24"/>
        </w:rPr>
        <w:t>后花园</w:t>
      </w:r>
      <w:r>
        <w:rPr>
          <w:rFonts w:ascii="华文楷体" w:hAnsi="华文楷体" w:eastAsia="华文楷体" w:cs="BrowalliaUPC"/>
          <w:sz w:val="24"/>
          <w:szCs w:val="24"/>
        </w:rPr>
        <w:t>的位置：灵山后花园坐落于无锡市太湖国家旅游度假区</w:t>
      </w:r>
      <w:r>
        <w:rPr>
          <w:rFonts w:hint="eastAsia" w:ascii="华文楷体" w:hAnsi="华文楷体" w:eastAsia="华文楷体" w:cs="BrowalliaUPC"/>
          <w:sz w:val="24"/>
          <w:szCs w:val="24"/>
        </w:rPr>
        <w:t>新龙</w:t>
      </w:r>
      <w:r>
        <w:rPr>
          <w:rFonts w:ascii="华文楷体" w:hAnsi="华文楷体" w:eastAsia="华文楷体" w:cs="BrowalliaUPC"/>
          <w:sz w:val="24"/>
          <w:szCs w:val="24"/>
        </w:rPr>
        <w:t>路。</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3、品质和规格：标的物品质和式样均以现场展示的实物和说明为准。</w:t>
      </w:r>
    </w:p>
    <w:p>
      <w:pPr>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lang w:val="en-US" w:eastAsia="zh-CN"/>
        </w:rPr>
        <w:t xml:space="preserve">   </w:t>
      </w:r>
      <w:bookmarkStart w:id="0" w:name="_GoBack"/>
      <w:r>
        <w:rPr>
          <w:rFonts w:hint="eastAsia" w:ascii="华文楷体" w:hAnsi="华文楷体" w:eastAsia="华文楷体" w:cs="BrowalliaUPC"/>
          <w:sz w:val="24"/>
          <w:szCs w:val="24"/>
          <w:u w:val="single"/>
          <w:lang w:val="en-US" w:eastAsia="zh-CN"/>
        </w:rPr>
        <w:t xml:space="preserve"> 单座尺寸约为长    30    CM×高    30    CM×深   30     CM。</w:t>
      </w:r>
    </w:p>
    <w:bookmarkEnd w:id="0"/>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4、“福寿位”需凭居民身份证购买，严禁炒卖。</w:t>
      </w:r>
    </w:p>
    <w:p>
      <w:pPr>
        <w:numPr>
          <w:ilvl w:val="0"/>
          <w:numId w:val="1"/>
        </w:numPr>
        <w:spacing w:line="360" w:lineRule="exact"/>
        <w:rPr>
          <w:rFonts w:ascii="华文楷体" w:hAnsi="华文楷体" w:eastAsia="华文楷体" w:cs="BrowalliaUPC"/>
          <w:b/>
          <w:sz w:val="24"/>
          <w:szCs w:val="24"/>
        </w:rPr>
      </w:pPr>
      <w:r>
        <w:rPr>
          <w:rFonts w:ascii="华文楷体" w:hAnsi="华文楷体" w:eastAsia="华文楷体" w:cs="BrowalliaUPC"/>
          <w:b/>
          <w:sz w:val="24"/>
          <w:szCs w:val="24"/>
        </w:rPr>
        <w:t>购买标的物具体内容</w:t>
      </w:r>
      <w:r>
        <w:rPr>
          <w:rFonts w:hint="eastAsia" w:ascii="华文楷体" w:hAnsi="华文楷体" w:eastAsia="华文楷体" w:cs="BrowalliaUPC"/>
          <w:b/>
          <w:sz w:val="24"/>
          <w:szCs w:val="24"/>
        </w:rPr>
        <w:t>：</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1、 标的物名称、数量、价格、位置</w:t>
      </w:r>
    </w:p>
    <w:tbl>
      <w:tblPr>
        <w:tblStyle w:val="10"/>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89"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名 称</w:t>
            </w:r>
          </w:p>
        </w:tc>
        <w:tc>
          <w:tcPr>
            <w:tcW w:w="1275"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数量</w:t>
            </w:r>
            <w:r>
              <w:rPr>
                <w:rFonts w:hint="eastAsia" w:ascii="华文楷体" w:hAnsi="华文楷体" w:eastAsia="华文楷体" w:cs="BrowalliaUPC"/>
                <w:sz w:val="24"/>
                <w:szCs w:val="24"/>
              </w:rPr>
              <w:t>（座）</w:t>
            </w:r>
          </w:p>
        </w:tc>
        <w:tc>
          <w:tcPr>
            <w:tcW w:w="1223"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总</w:t>
            </w:r>
            <w:r>
              <w:rPr>
                <w:rFonts w:ascii="华文楷体" w:hAnsi="华文楷体" w:eastAsia="华文楷体" w:cs="BrowalliaUPC"/>
                <w:sz w:val="24"/>
                <w:szCs w:val="24"/>
              </w:rPr>
              <w:t>价（元）</w:t>
            </w:r>
          </w:p>
        </w:tc>
        <w:tc>
          <w:tcPr>
            <w:tcW w:w="3455"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位     置</w:t>
            </w:r>
          </w:p>
        </w:tc>
        <w:tc>
          <w:tcPr>
            <w:tcW w:w="1556"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华文楷体" w:hAnsi="华文楷体" w:eastAsia="华文楷体" w:cs="BrowalliaUPC"/>
                <w:sz w:val="24"/>
                <w:szCs w:val="24"/>
                <w:lang w:val="en-US" w:eastAsia="zh-CN"/>
              </w:rPr>
              <w:t>福寿位</w:t>
            </w:r>
          </w:p>
        </w:tc>
        <w:tc>
          <w:tcPr>
            <w:tcW w:w="1275"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华文楷体" w:hAnsi="华文楷体" w:eastAsia="华文楷体" w:cs="BrowalliaUPC"/>
                <w:sz w:val="24"/>
                <w:szCs w:val="24"/>
                <w:lang w:val="en-US" w:eastAsia="zh-CN"/>
              </w:rPr>
              <w:t>1</w:t>
            </w:r>
          </w:p>
        </w:tc>
        <w:tc>
          <w:tcPr>
            <w:tcW w:w="1223"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华文楷体" w:hAnsi="华文楷体" w:eastAsia="华文楷体" w:cs="BrowalliaUPC"/>
                <w:sz w:val="24"/>
                <w:szCs w:val="24"/>
                <w:lang w:val="en-US" w:eastAsia="zh-CN"/>
              </w:rPr>
              <w:t>350000</w:t>
            </w:r>
          </w:p>
        </w:tc>
        <w:tc>
          <w:tcPr>
            <w:tcW w:w="3455" w:type="dxa"/>
          </w:tcPr>
          <w:p>
            <w:pPr>
              <w:spacing w:line="360" w:lineRule="exact"/>
              <w:ind w:firstLine="720" w:firstLineChars="300"/>
              <w:rPr>
                <w:rFonts w:hint="eastAsia" w:ascii="华文楷体" w:hAnsi="华文楷体" w:eastAsia="华文楷体" w:cs="BrowalliaUPC"/>
                <w:sz w:val="24"/>
                <w:szCs w:val="24"/>
                <w:u w:val="single"/>
                <w:lang w:val="en-US" w:eastAsia="zh-CN"/>
              </w:rPr>
            </w:pPr>
            <w:r>
              <w:rPr>
                <w:rFonts w:hint="eastAsia" w:ascii="华文楷体" w:hAnsi="华文楷体" w:eastAsia="华文楷体" w:cs="BrowalliaUPC"/>
                <w:sz w:val="24"/>
                <w:szCs w:val="24"/>
                <w:u w:val="single"/>
                <w:lang w:val="en-US" w:eastAsia="zh-CN"/>
              </w:rPr>
              <w:t>1楼1厅1列1层</w:t>
            </w:r>
          </w:p>
        </w:tc>
        <w:tc>
          <w:tcPr>
            <w:tcW w:w="1556"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华文楷体" w:hAnsi="华文楷体" w:eastAsia="华文楷体" w:cs="BrowalliaUPC"/>
                <w:sz w:val="24"/>
                <w:szCs w:val="24"/>
                <w:lang w:val="en-US" w:eastAsia="zh-CN"/>
              </w:rPr>
              <w:t>缅怀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ascii="华文楷体" w:hAnsi="华文楷体" w:eastAsia="华文楷体" w:cs="BrowalliaUPC"/>
                <w:sz w:val="24"/>
                <w:szCs w:val="24"/>
              </w:rPr>
            </w:pPr>
          </w:p>
        </w:tc>
        <w:tc>
          <w:tcPr>
            <w:tcW w:w="1275" w:type="dxa"/>
          </w:tcPr>
          <w:p>
            <w:pPr>
              <w:spacing w:line="360" w:lineRule="exact"/>
              <w:rPr>
                <w:rFonts w:ascii="华文楷体" w:hAnsi="华文楷体" w:eastAsia="华文楷体" w:cs="BrowalliaUPC"/>
                <w:sz w:val="24"/>
                <w:szCs w:val="24"/>
              </w:rPr>
            </w:pPr>
          </w:p>
        </w:tc>
        <w:tc>
          <w:tcPr>
            <w:tcW w:w="1223" w:type="dxa"/>
          </w:tcPr>
          <w:p>
            <w:pPr>
              <w:spacing w:line="360" w:lineRule="exact"/>
              <w:rPr>
                <w:rFonts w:ascii="华文楷体" w:hAnsi="华文楷体" w:eastAsia="华文楷体" w:cs="BrowalliaUPC"/>
                <w:sz w:val="24"/>
                <w:szCs w:val="24"/>
              </w:rPr>
            </w:pPr>
          </w:p>
        </w:tc>
        <w:tc>
          <w:tcPr>
            <w:tcW w:w="3455" w:type="dxa"/>
          </w:tcPr>
          <w:p>
            <w:pPr>
              <w:spacing w:line="360" w:lineRule="exact"/>
              <w:ind w:firstLine="720" w:firstLineChars="300"/>
              <w:rPr>
                <w:rFonts w:ascii="华文楷体" w:hAnsi="华文楷体" w:eastAsia="华文楷体" w:cs="BrowalliaUPC"/>
                <w:sz w:val="24"/>
                <w:szCs w:val="24"/>
              </w:rPr>
            </w:pPr>
          </w:p>
        </w:tc>
        <w:tc>
          <w:tcPr>
            <w:tcW w:w="1556" w:type="dxa"/>
          </w:tcPr>
          <w:p>
            <w:pPr>
              <w:spacing w:line="360" w:lineRule="exact"/>
              <w:rPr>
                <w:rFonts w:ascii="华文楷体" w:hAnsi="华文楷体" w:eastAsia="华文楷体" w:cs="BrowalliaUPC"/>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合计金额</w:t>
            </w:r>
          </w:p>
        </w:tc>
        <w:tc>
          <w:tcPr>
            <w:tcW w:w="5953" w:type="dxa"/>
            <w:gridSpan w:val="3"/>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人民币（大写）：</w:t>
            </w:r>
            <w:r>
              <w:rPr>
                <w:rFonts w:hint="eastAsia" w:ascii="华文楷体" w:hAnsi="华文楷体" w:eastAsia="华文楷体" w:cs="BrowalliaUPC"/>
                <w:sz w:val="24"/>
                <w:szCs w:val="24"/>
                <w:lang w:val="en-US" w:eastAsia="zh-CN"/>
              </w:rPr>
              <w:t>三十五万零零元</w:t>
            </w:r>
            <w:r>
              <w:rPr>
                <w:rFonts w:hint="eastAsia" w:ascii="华文楷体" w:hAnsi="华文楷体" w:eastAsia="华文楷体" w:cs="BrowalliaUPC"/>
                <w:sz w:val="24"/>
                <w:szCs w:val="24"/>
              </w:rPr>
              <w:t xml:space="preserve">            </w:t>
            </w:r>
            <w:r>
              <w:rPr>
                <w:rFonts w:ascii="华文楷体" w:hAnsi="华文楷体" w:eastAsia="华文楷体" w:cs="BrowalliaUPC"/>
                <w:sz w:val="24"/>
                <w:szCs w:val="24"/>
              </w:rPr>
              <w:t>（小写）：¥</w:t>
            </w:r>
            <w:r>
              <w:rPr>
                <w:rFonts w:hint="eastAsia" w:ascii="华文楷体" w:hAnsi="华文楷体" w:eastAsia="华文楷体" w:cs="BrowalliaUPC"/>
                <w:sz w:val="24"/>
                <w:szCs w:val="24"/>
              </w:rPr>
              <w:t xml:space="preserve"> </w:t>
            </w:r>
            <w:r>
              <w:rPr>
                <w:rFonts w:hint="eastAsia" w:ascii="华文楷体" w:hAnsi="华文楷体" w:eastAsia="华文楷体" w:cs="BrowalliaUPC"/>
                <w:sz w:val="24"/>
                <w:szCs w:val="24"/>
                <w:lang w:val="en-US" w:eastAsia="zh-CN"/>
              </w:rPr>
              <w:t>350000</w:t>
            </w:r>
            <w:r>
              <w:rPr>
                <w:rFonts w:hint="eastAsia" w:ascii="华文楷体" w:hAnsi="华文楷体" w:eastAsia="华文楷体" w:cs="BrowalliaUPC"/>
                <w:sz w:val="24"/>
                <w:szCs w:val="24"/>
              </w:rPr>
              <w:t xml:space="preserve"> </w:t>
            </w:r>
          </w:p>
        </w:tc>
        <w:tc>
          <w:tcPr>
            <w:tcW w:w="1556" w:type="dxa"/>
          </w:tcPr>
          <w:p>
            <w:pPr>
              <w:spacing w:line="360" w:lineRule="exact"/>
              <w:rPr>
                <w:rFonts w:ascii="华文楷体" w:hAnsi="华文楷体" w:eastAsia="华文楷体" w:cs="BrowalliaUPC"/>
                <w:sz w:val="24"/>
                <w:szCs w:val="24"/>
              </w:rPr>
            </w:pPr>
          </w:p>
        </w:tc>
      </w:tr>
    </w:tbl>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三、合同总价款项：</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合同总价款为人民币</w:t>
      </w:r>
      <w:r>
        <w:rPr>
          <w:rFonts w:hint="eastAsia" w:ascii="华文楷体" w:hAnsi="华文楷体" w:eastAsia="华文楷体" w:cs="BrowalliaUPC"/>
          <w:sz w:val="24"/>
          <w:szCs w:val="24"/>
          <w:lang w:val="en-US" w:eastAsia="zh-CN"/>
        </w:rPr>
        <w:t xml:space="preserve"> </w:t>
      </w:r>
      <w:r>
        <w:rPr>
          <w:rFonts w:hint="eastAsia" w:ascii="华文楷体" w:hAnsi="华文楷体" w:eastAsia="华文楷体" w:cs="BrowalliaUPC"/>
          <w:sz w:val="24"/>
          <w:szCs w:val="24"/>
          <w:u w:val="single"/>
          <w:lang w:val="en-US" w:eastAsia="zh-CN"/>
        </w:rPr>
        <w:t>5500000</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rPr>
        <w:t>元，大写</w:t>
      </w:r>
      <w:r>
        <w:rPr>
          <w:rFonts w:hint="eastAsia" w:ascii="华文楷体" w:hAnsi="华文楷体" w:eastAsia="华文楷体" w:cs="BrowalliaUPC"/>
          <w:sz w:val="24"/>
          <w:szCs w:val="24"/>
          <w:lang w:val="en-US" w:eastAsia="zh-CN"/>
        </w:rPr>
        <w:t xml:space="preserve"> </w:t>
      </w:r>
      <w:r>
        <w:rPr>
          <w:rFonts w:hint="eastAsia" w:ascii="华文楷体" w:hAnsi="华文楷体" w:eastAsia="华文楷体" w:cs="BrowalliaUPC"/>
          <w:sz w:val="24"/>
          <w:szCs w:val="24"/>
          <w:u w:val="single"/>
          <w:lang w:val="en-US" w:eastAsia="zh-CN"/>
        </w:rPr>
        <w:t>五百五十万零零元</w:t>
      </w:r>
      <w:r>
        <w:rPr>
          <w:rFonts w:hint="eastAsia" w:ascii="华文楷体" w:hAnsi="华文楷体" w:eastAsia="华文楷体" w:cs="BrowalliaUPC"/>
          <w:sz w:val="24"/>
          <w:szCs w:val="24"/>
          <w:lang w:val="en-US" w:eastAsia="zh-CN"/>
        </w:rPr>
        <w:t xml:space="preserve"> </w:t>
      </w:r>
      <w:r>
        <w:rPr>
          <w:rFonts w:hint="eastAsia" w:ascii="华文楷体" w:hAnsi="华文楷体" w:eastAsia="华文楷体" w:cs="BrowalliaUPC"/>
          <w:sz w:val="24"/>
          <w:szCs w:val="24"/>
        </w:rPr>
        <w:t>整，价款组成包括下列项目：</w:t>
      </w:r>
    </w:p>
    <w:p>
      <w:pPr>
        <w:pStyle w:val="16"/>
        <w:adjustRightInd w:val="0"/>
        <w:snapToGrid w:val="0"/>
        <w:spacing w:line="360" w:lineRule="exact"/>
        <w:ind w:firstLine="0" w:firstLineChars="0"/>
        <w:rPr>
          <w:rFonts w:ascii="华文楷体" w:hAnsi="华文楷体" w:eastAsia="华文楷体" w:cs="BrowalliaUPC"/>
          <w:sz w:val="24"/>
          <w:szCs w:val="24"/>
          <w:u w:val="single"/>
        </w:rPr>
      </w:pPr>
      <w:r>
        <w:rPr>
          <w:rFonts w:hint="eastAsia" w:ascii="华文楷体" w:hAnsi="华文楷体" w:eastAsia="华文楷体" w:cs="BrowalliaUPC"/>
          <w:sz w:val="24"/>
          <w:szCs w:val="24"/>
        </w:rPr>
        <w:t>1、福寿位使用费：</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lang w:val="en-US" w:eastAsia="zh-CN"/>
        </w:rPr>
        <w:t>200000</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pStyle w:val="16"/>
        <w:adjustRightInd w:val="0"/>
        <w:snapToGrid w:val="0"/>
        <w:spacing w:line="360" w:lineRule="exact"/>
        <w:ind w:firstLine="0" w:firstLineChars="0"/>
        <w:rPr>
          <w:rFonts w:ascii="华文楷体" w:hAnsi="华文楷体" w:eastAsia="华文楷体" w:cs="BrowalliaUPC"/>
          <w:sz w:val="24"/>
          <w:szCs w:val="24"/>
          <w:u w:val="single"/>
        </w:rPr>
      </w:pPr>
      <w:r>
        <w:rPr>
          <w:rFonts w:hint="eastAsia" w:ascii="华文楷体" w:hAnsi="华文楷体" w:eastAsia="华文楷体" w:cs="BrowalliaUPC"/>
          <w:sz w:val="24"/>
          <w:szCs w:val="24"/>
        </w:rPr>
        <w:t>2、二十年维护管理费：</w:t>
      </w:r>
      <w:r>
        <w:rPr>
          <w:rFonts w:hint="eastAsia" w:ascii="华文楷体" w:hAnsi="华文楷体" w:eastAsia="华文楷体" w:cs="BrowalliaUPC"/>
          <w:sz w:val="24"/>
          <w:szCs w:val="24"/>
          <w:u w:val="single"/>
          <w:lang w:val="en-US" w:eastAsia="zh-CN"/>
        </w:rPr>
        <w:t>8000</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pStyle w:val="16"/>
        <w:adjustRightInd w:val="0"/>
        <w:snapToGrid w:val="0"/>
        <w:spacing w:line="360" w:lineRule="exact"/>
        <w:ind w:firstLine="0" w:firstLineChars="0"/>
        <w:rPr>
          <w:rFonts w:ascii="华文楷体" w:hAnsi="华文楷体" w:eastAsia="华文楷体" w:cs="BrowalliaUPC"/>
          <w:sz w:val="24"/>
          <w:szCs w:val="24"/>
          <w:u w:val="single"/>
        </w:rPr>
      </w:pPr>
      <w:r>
        <w:rPr>
          <w:rFonts w:hint="eastAsia" w:ascii="华文楷体" w:hAnsi="华文楷体" w:eastAsia="华文楷体" w:cs="BrowalliaUPC"/>
          <w:sz w:val="24"/>
          <w:szCs w:val="24"/>
        </w:rPr>
        <w:t>3、证书费：</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lang w:val="en-US" w:eastAsia="zh-CN"/>
        </w:rPr>
        <w:t>50000</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b/>
          <w:sz w:val="24"/>
          <w:szCs w:val="24"/>
        </w:rPr>
        <w:t>四</w:t>
      </w:r>
      <w:r>
        <w:rPr>
          <w:rFonts w:ascii="华文楷体" w:hAnsi="华文楷体" w:eastAsia="华文楷体" w:cs="BrowalliaUPC"/>
          <w:b/>
          <w:sz w:val="24"/>
          <w:szCs w:val="24"/>
        </w:rPr>
        <w:t>、</w:t>
      </w:r>
      <w:r>
        <w:rPr>
          <w:rFonts w:hint="eastAsia" w:ascii="华文楷体" w:hAnsi="华文楷体" w:eastAsia="华文楷体" w:cs="BrowalliaUPC"/>
          <w:b/>
          <w:sz w:val="24"/>
          <w:szCs w:val="24"/>
        </w:rPr>
        <w:t>双方权利和义务：</w:t>
      </w:r>
    </w:p>
    <w:p>
      <w:pPr>
        <w:adjustRightInd w:val="0"/>
        <w:snapToGrid w:val="0"/>
        <w:spacing w:line="360" w:lineRule="exact"/>
        <w:rPr>
          <w:rFonts w:hint="eastAsia" w:ascii="华文楷体" w:hAnsi="华文楷体" w:eastAsia="华文楷体" w:cs="BrowalliaUPC"/>
          <w:sz w:val="24"/>
          <w:szCs w:val="24"/>
          <w:lang w:val="en-US" w:eastAsia="zh-CN"/>
        </w:rPr>
      </w:pPr>
      <w:r>
        <w:rPr>
          <w:rFonts w:hint="eastAsia" w:ascii="华文楷体" w:hAnsi="华文楷体" w:eastAsia="华文楷体" w:cs="BrowalliaUPC"/>
          <w:sz w:val="24"/>
          <w:szCs w:val="24"/>
          <w:lang w:val="en-US" w:eastAsia="zh-CN"/>
        </w:rPr>
        <w:t>1、认购方在签订福寿位合同时应携带本定单、签约应缴款项及个人认购需带证件、使用人相关证件等签订福寿位使用权购买合同。2、合同签订以本定单认购方为准，不允许随意更名，定单有效期七天。3、特别提示：客户购福寿位之权利义务以购买合同为准，任何口头承诺无法律效力。4、已付定金，签订正式合同时可冲抵合同款项，预定方不得以任何理由要求退款。5、本单一式叁份，认购方持壹份，公司留存贰份，叁份具有同等法律效力。      </w:t>
      </w:r>
    </w:p>
    <w:p>
      <w:pPr>
        <w:numPr>
          <w:ilvl w:val="0"/>
          <w:numId w:val="2"/>
        </w:numPr>
        <w:adjustRightInd w:val="0"/>
        <w:snapToGrid w:val="0"/>
        <w:spacing w:line="360" w:lineRule="exact"/>
        <w:rPr>
          <w:rFonts w:hint="eastAsia" w:ascii="华文楷体" w:hAnsi="华文楷体" w:eastAsia="华文楷体" w:cs="BrowalliaUPC"/>
          <w:b/>
          <w:sz w:val="24"/>
          <w:szCs w:val="24"/>
        </w:rPr>
      </w:pPr>
      <w:r>
        <w:rPr>
          <w:rFonts w:ascii="华文楷体" w:hAnsi="华文楷体" w:eastAsia="华文楷体" w:cs="BrowalliaUPC"/>
          <w:b/>
          <w:sz w:val="24"/>
          <w:szCs w:val="24"/>
        </w:rPr>
        <w:t>特别约定</w:t>
      </w:r>
      <w:r>
        <w:rPr>
          <w:rFonts w:hint="eastAsia" w:ascii="华文楷体" w:hAnsi="华文楷体" w:eastAsia="华文楷体" w:cs="BrowalliaUPC"/>
          <w:b/>
          <w:sz w:val="24"/>
          <w:szCs w:val="24"/>
        </w:rPr>
        <w:t>：</w:t>
      </w:r>
    </w:p>
    <w:p>
      <w:pPr>
        <w:numPr>
          <w:ilvl w:val="0"/>
          <w:numId w:val="0"/>
        </w:numPr>
        <w:adjustRightInd w:val="0"/>
        <w:snapToGrid w:val="0"/>
        <w:spacing w:line="360" w:lineRule="exact"/>
        <w:rPr>
          <w:rFonts w:hint="eastAsia" w:ascii="华文楷体" w:hAnsi="华文楷体" w:eastAsia="华文楷体" w:cs="BrowalliaUPC"/>
          <w:b/>
          <w:sz w:val="24"/>
          <w:szCs w:val="24"/>
          <w:lang w:val="en-US" w:eastAsia="zh-CN"/>
        </w:rPr>
      </w:pPr>
      <w:r>
        <w:rPr>
          <w:rFonts w:hint="eastAsia" w:ascii="华文楷体" w:hAnsi="华文楷体" w:eastAsia="华文楷体" w:cs="BrowalliaUPC"/>
          <w:b/>
          <w:sz w:val="24"/>
          <w:szCs w:val="24"/>
          <w:lang w:val="en-US" w:eastAsia="zh-CN"/>
        </w:rPr>
        <w:t xml:space="preserve">    1、灵山后花园土地所有权依法归国家所有。甲方依法开展后花园经营活动，保证乙方在预认购期内的合法权益。2、双方约定在甲方通知乙方选位时间后，乙方在15日内完成选位、缴纳剩余款项及签订正式合同3、本预认购书有效期内，乙方的通信地址和联系方式发生变更，应该及时告知甲方。4、乙方全权委托代理人在本预认购书的签署、履行、及处理相关事务中全权代表乙方行使权利，乙方代理人的签字和其他相关行为均视同乙方自身的签字和行为，乙方均予以认可。5、乙方保证其指定的福寿位使用方符合国家墓葬管理法律法规规定的相关条件，如因乙方原因（如受让方未达到签署合同的资格、条件）导致本预认购书无效、可撤销或其他问题的，均由乙方承担责任。6、如尚未签订福寿位使用权认购合同，乙方应故使用福寿位时，甲方可向乙方提供暂存服务。                                                      </w:t>
      </w:r>
    </w:p>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六</w:t>
      </w:r>
      <w:r>
        <w:rPr>
          <w:rFonts w:ascii="华文楷体" w:hAnsi="华文楷体" w:eastAsia="华文楷体" w:cs="BrowalliaUPC"/>
          <w:b/>
          <w:sz w:val="24"/>
          <w:szCs w:val="24"/>
        </w:rPr>
        <w:t>、本合同在履行过程中发生争议，由双方当事人协商解决，协商不成，可向甲方所在地人民法院提起诉讼。</w:t>
      </w:r>
    </w:p>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七</w:t>
      </w:r>
      <w:r>
        <w:rPr>
          <w:rFonts w:ascii="华文楷体" w:hAnsi="华文楷体" w:eastAsia="华文楷体" w:cs="BrowalliaUPC"/>
          <w:b/>
          <w:sz w:val="24"/>
          <w:szCs w:val="24"/>
        </w:rPr>
        <w:t>、本合同未尽事宜，由双方约定后作为本合同的附件，具有同等法律效力。</w:t>
      </w:r>
    </w:p>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八</w:t>
      </w:r>
      <w:r>
        <w:rPr>
          <w:rFonts w:ascii="华文楷体" w:hAnsi="华文楷体" w:eastAsia="华文楷体" w:cs="BrowalliaUPC"/>
          <w:b/>
          <w:sz w:val="24"/>
          <w:szCs w:val="24"/>
        </w:rPr>
        <w:t>、本合同一式</w:t>
      </w:r>
      <w:r>
        <w:rPr>
          <w:rFonts w:hint="eastAsia" w:ascii="华文楷体" w:hAnsi="华文楷体" w:eastAsia="华文楷体" w:cs="BrowalliaUPC"/>
          <w:b/>
          <w:sz w:val="24"/>
          <w:szCs w:val="24"/>
        </w:rPr>
        <w:t>贰</w:t>
      </w:r>
      <w:r>
        <w:rPr>
          <w:rFonts w:ascii="华文楷体" w:hAnsi="华文楷体" w:eastAsia="华文楷体" w:cs="BrowalliaUPC"/>
          <w:b/>
          <w:sz w:val="24"/>
          <w:szCs w:val="24"/>
        </w:rPr>
        <w:t>份。甲方</w:t>
      </w:r>
      <w:r>
        <w:rPr>
          <w:rFonts w:hint="eastAsia" w:ascii="华文楷体" w:hAnsi="华文楷体" w:eastAsia="华文楷体" w:cs="BrowalliaUPC"/>
          <w:b/>
          <w:sz w:val="24"/>
          <w:szCs w:val="24"/>
        </w:rPr>
        <w:t>壹</w:t>
      </w:r>
      <w:r>
        <w:rPr>
          <w:rFonts w:ascii="华文楷体" w:hAnsi="华文楷体" w:eastAsia="华文楷体" w:cs="BrowalliaUPC"/>
          <w:b/>
          <w:sz w:val="24"/>
          <w:szCs w:val="24"/>
        </w:rPr>
        <w:t>份，乙方壹份。</w:t>
      </w:r>
    </w:p>
    <w:p>
      <w:pPr>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九</w:t>
      </w:r>
      <w:r>
        <w:rPr>
          <w:rFonts w:ascii="华文楷体" w:hAnsi="华文楷体" w:eastAsia="华文楷体" w:cs="BrowalliaUPC"/>
          <w:b/>
          <w:sz w:val="24"/>
          <w:szCs w:val="24"/>
        </w:rPr>
        <w:t>、本合同自双方签</w:t>
      </w:r>
      <w:r>
        <w:rPr>
          <w:rFonts w:hint="eastAsia" w:ascii="华文楷体" w:hAnsi="华文楷体" w:eastAsia="华文楷体" w:cs="BrowalliaUPC"/>
          <w:b/>
          <w:sz w:val="24"/>
          <w:szCs w:val="24"/>
        </w:rPr>
        <w:t>订且乙方付清全部款项</w:t>
      </w:r>
      <w:r>
        <w:rPr>
          <w:rFonts w:ascii="华文楷体" w:hAnsi="华文楷体" w:eastAsia="华文楷体" w:cs="BrowalliaUPC"/>
          <w:b/>
          <w:sz w:val="24"/>
          <w:szCs w:val="24"/>
        </w:rPr>
        <w:t>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经办人（签字）：                                委托代理人</w:t>
      </w:r>
    </w:p>
    <w:p>
      <w:pPr>
        <w:spacing w:line="360" w:lineRule="exact"/>
      </w:pPr>
      <w:r>
        <w:rPr>
          <w:rFonts w:ascii="华文楷体" w:hAnsi="华文楷体" w:eastAsia="华文楷体" w:cs="BrowalliaUPC"/>
          <w:sz w:val="24"/>
          <w:szCs w:val="24"/>
        </w:rPr>
        <w:t xml:space="preserve">日期：                                         日期：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Source Code Pro">
    <w:panose1 w:val="020B0509030403020204"/>
    <w:charset w:val="00"/>
    <w:family w:val="auto"/>
    <w:pitch w:val="default"/>
    <w:sig w:usb0="20000007" w:usb1="00000001" w:usb2="00000000" w:usb3="00000000" w:csb0="20000193"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abstractNum w:abstractNumId="1">
    <w:nsid w:val="58DDC535"/>
    <w:multiLevelType w:val="singleLevel"/>
    <w:tmpl w:val="58DDC535"/>
    <w:lvl w:ilvl="0" w:tentative="0">
      <w:start w:val="5"/>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1413A"/>
    <w:rsid w:val="00017B01"/>
    <w:rsid w:val="00072A40"/>
    <w:rsid w:val="00080AD5"/>
    <w:rsid w:val="00081B7B"/>
    <w:rsid w:val="000835E7"/>
    <w:rsid w:val="00091914"/>
    <w:rsid w:val="000A064C"/>
    <w:rsid w:val="000B78B8"/>
    <w:rsid w:val="000C044B"/>
    <w:rsid w:val="000C132A"/>
    <w:rsid w:val="000D0EC7"/>
    <w:rsid w:val="000D40D5"/>
    <w:rsid w:val="000E0AD9"/>
    <w:rsid w:val="000F70BE"/>
    <w:rsid w:val="00101A3C"/>
    <w:rsid w:val="001306DB"/>
    <w:rsid w:val="00136311"/>
    <w:rsid w:val="00151A87"/>
    <w:rsid w:val="001531EA"/>
    <w:rsid w:val="001711F4"/>
    <w:rsid w:val="001801B4"/>
    <w:rsid w:val="00181414"/>
    <w:rsid w:val="00195C7E"/>
    <w:rsid w:val="001A048C"/>
    <w:rsid w:val="001A3388"/>
    <w:rsid w:val="001E3415"/>
    <w:rsid w:val="001E5CB7"/>
    <w:rsid w:val="00204E66"/>
    <w:rsid w:val="00211EAB"/>
    <w:rsid w:val="0021361A"/>
    <w:rsid w:val="00215B71"/>
    <w:rsid w:val="00222044"/>
    <w:rsid w:val="0028463C"/>
    <w:rsid w:val="00297A67"/>
    <w:rsid w:val="002A3076"/>
    <w:rsid w:val="002A405D"/>
    <w:rsid w:val="002D5304"/>
    <w:rsid w:val="002E7304"/>
    <w:rsid w:val="002F1DAD"/>
    <w:rsid w:val="003338B2"/>
    <w:rsid w:val="00336CFF"/>
    <w:rsid w:val="00340AE1"/>
    <w:rsid w:val="00350D58"/>
    <w:rsid w:val="00351ABA"/>
    <w:rsid w:val="00352E78"/>
    <w:rsid w:val="00391342"/>
    <w:rsid w:val="003939D0"/>
    <w:rsid w:val="003B3036"/>
    <w:rsid w:val="003F1504"/>
    <w:rsid w:val="003F780A"/>
    <w:rsid w:val="004071EF"/>
    <w:rsid w:val="0041121D"/>
    <w:rsid w:val="00427258"/>
    <w:rsid w:val="00444874"/>
    <w:rsid w:val="004472E9"/>
    <w:rsid w:val="004A12AB"/>
    <w:rsid w:val="004A4DEE"/>
    <w:rsid w:val="004B7DF8"/>
    <w:rsid w:val="004C769B"/>
    <w:rsid w:val="004D64CA"/>
    <w:rsid w:val="004F5071"/>
    <w:rsid w:val="0055657B"/>
    <w:rsid w:val="0056138F"/>
    <w:rsid w:val="00561BF4"/>
    <w:rsid w:val="0057058C"/>
    <w:rsid w:val="0057655E"/>
    <w:rsid w:val="005B595D"/>
    <w:rsid w:val="005C4ED2"/>
    <w:rsid w:val="005C614D"/>
    <w:rsid w:val="005D0DF6"/>
    <w:rsid w:val="005E5D0E"/>
    <w:rsid w:val="00607EE5"/>
    <w:rsid w:val="00633348"/>
    <w:rsid w:val="00637CD8"/>
    <w:rsid w:val="00643591"/>
    <w:rsid w:val="0064717F"/>
    <w:rsid w:val="00694941"/>
    <w:rsid w:val="006A0809"/>
    <w:rsid w:val="006A1FE2"/>
    <w:rsid w:val="006A238C"/>
    <w:rsid w:val="006C4A73"/>
    <w:rsid w:val="006C4B30"/>
    <w:rsid w:val="006C5C4C"/>
    <w:rsid w:val="006D1F7F"/>
    <w:rsid w:val="006D5EAF"/>
    <w:rsid w:val="006E0FB7"/>
    <w:rsid w:val="006E2EEE"/>
    <w:rsid w:val="006E3139"/>
    <w:rsid w:val="007103B1"/>
    <w:rsid w:val="0071104F"/>
    <w:rsid w:val="0071413A"/>
    <w:rsid w:val="00717FBF"/>
    <w:rsid w:val="007479AE"/>
    <w:rsid w:val="00753713"/>
    <w:rsid w:val="007546E2"/>
    <w:rsid w:val="00755084"/>
    <w:rsid w:val="007576AE"/>
    <w:rsid w:val="00772FE2"/>
    <w:rsid w:val="00774C8E"/>
    <w:rsid w:val="00782A0C"/>
    <w:rsid w:val="007A11E3"/>
    <w:rsid w:val="007B6E8E"/>
    <w:rsid w:val="007C2DA0"/>
    <w:rsid w:val="007D1FAC"/>
    <w:rsid w:val="007D55A3"/>
    <w:rsid w:val="007E4F20"/>
    <w:rsid w:val="0080070F"/>
    <w:rsid w:val="0082088D"/>
    <w:rsid w:val="008404E3"/>
    <w:rsid w:val="0084476C"/>
    <w:rsid w:val="008743EC"/>
    <w:rsid w:val="00882292"/>
    <w:rsid w:val="009054BB"/>
    <w:rsid w:val="0094625B"/>
    <w:rsid w:val="0094756B"/>
    <w:rsid w:val="0095183F"/>
    <w:rsid w:val="00957EA0"/>
    <w:rsid w:val="00960485"/>
    <w:rsid w:val="009608A2"/>
    <w:rsid w:val="00960A91"/>
    <w:rsid w:val="00986A30"/>
    <w:rsid w:val="009B4681"/>
    <w:rsid w:val="009B4959"/>
    <w:rsid w:val="009C2D6A"/>
    <w:rsid w:val="009F3EB5"/>
    <w:rsid w:val="00A02631"/>
    <w:rsid w:val="00A05850"/>
    <w:rsid w:val="00A218B6"/>
    <w:rsid w:val="00A53E2D"/>
    <w:rsid w:val="00A71A80"/>
    <w:rsid w:val="00A84AEF"/>
    <w:rsid w:val="00AA18B1"/>
    <w:rsid w:val="00AB189A"/>
    <w:rsid w:val="00AD304E"/>
    <w:rsid w:val="00AE034A"/>
    <w:rsid w:val="00AE1C2D"/>
    <w:rsid w:val="00AE42A0"/>
    <w:rsid w:val="00AE737C"/>
    <w:rsid w:val="00AF7942"/>
    <w:rsid w:val="00B20DCB"/>
    <w:rsid w:val="00B353ED"/>
    <w:rsid w:val="00B457BC"/>
    <w:rsid w:val="00B52E77"/>
    <w:rsid w:val="00B557E3"/>
    <w:rsid w:val="00B66607"/>
    <w:rsid w:val="00B71400"/>
    <w:rsid w:val="00B75279"/>
    <w:rsid w:val="00B772EF"/>
    <w:rsid w:val="00B902CE"/>
    <w:rsid w:val="00B96DDE"/>
    <w:rsid w:val="00BC1F1C"/>
    <w:rsid w:val="00BC33CE"/>
    <w:rsid w:val="00C04B9B"/>
    <w:rsid w:val="00C31126"/>
    <w:rsid w:val="00C5102D"/>
    <w:rsid w:val="00C54ECC"/>
    <w:rsid w:val="00C60768"/>
    <w:rsid w:val="00C65261"/>
    <w:rsid w:val="00C72B69"/>
    <w:rsid w:val="00CA649E"/>
    <w:rsid w:val="00CC0CDF"/>
    <w:rsid w:val="00CC13D4"/>
    <w:rsid w:val="00CE4C2B"/>
    <w:rsid w:val="00D01B1D"/>
    <w:rsid w:val="00D039BF"/>
    <w:rsid w:val="00D10B8B"/>
    <w:rsid w:val="00D33245"/>
    <w:rsid w:val="00D542EC"/>
    <w:rsid w:val="00D60351"/>
    <w:rsid w:val="00D60BC6"/>
    <w:rsid w:val="00D64864"/>
    <w:rsid w:val="00D72F99"/>
    <w:rsid w:val="00D75D4B"/>
    <w:rsid w:val="00DB59CF"/>
    <w:rsid w:val="00DD3E68"/>
    <w:rsid w:val="00E03CD5"/>
    <w:rsid w:val="00E13C45"/>
    <w:rsid w:val="00E16143"/>
    <w:rsid w:val="00E30A68"/>
    <w:rsid w:val="00E719A0"/>
    <w:rsid w:val="00E71C98"/>
    <w:rsid w:val="00E763AD"/>
    <w:rsid w:val="00E802FB"/>
    <w:rsid w:val="00E8650D"/>
    <w:rsid w:val="00E92D3D"/>
    <w:rsid w:val="00E95B86"/>
    <w:rsid w:val="00EB1375"/>
    <w:rsid w:val="00EB4F64"/>
    <w:rsid w:val="00ED41B7"/>
    <w:rsid w:val="00ED4B6D"/>
    <w:rsid w:val="00ED4B7A"/>
    <w:rsid w:val="00EE488D"/>
    <w:rsid w:val="00F10DE5"/>
    <w:rsid w:val="00F31316"/>
    <w:rsid w:val="00F35323"/>
    <w:rsid w:val="00F41311"/>
    <w:rsid w:val="00F4636A"/>
    <w:rsid w:val="00F50DBF"/>
    <w:rsid w:val="00F5635E"/>
    <w:rsid w:val="00F56636"/>
    <w:rsid w:val="00F702EB"/>
    <w:rsid w:val="00F953DC"/>
    <w:rsid w:val="00F96491"/>
    <w:rsid w:val="00FA45F8"/>
    <w:rsid w:val="00FA54F4"/>
    <w:rsid w:val="00FA723F"/>
    <w:rsid w:val="00FA7AB6"/>
    <w:rsid w:val="00FB4DD6"/>
    <w:rsid w:val="00FC6F93"/>
    <w:rsid w:val="00FD480C"/>
    <w:rsid w:val="00FD6323"/>
    <w:rsid w:val="016F14C7"/>
    <w:rsid w:val="05CE0579"/>
    <w:rsid w:val="06E40604"/>
    <w:rsid w:val="08FA6FCA"/>
    <w:rsid w:val="0C800CD0"/>
    <w:rsid w:val="0E002773"/>
    <w:rsid w:val="0E8F423E"/>
    <w:rsid w:val="13AD51F0"/>
    <w:rsid w:val="14F75627"/>
    <w:rsid w:val="172E7DD5"/>
    <w:rsid w:val="1B340965"/>
    <w:rsid w:val="23114EB2"/>
    <w:rsid w:val="2802338A"/>
    <w:rsid w:val="2D49605D"/>
    <w:rsid w:val="2FBB2A5A"/>
    <w:rsid w:val="303D7B7F"/>
    <w:rsid w:val="30D06D51"/>
    <w:rsid w:val="3215236D"/>
    <w:rsid w:val="384D2C96"/>
    <w:rsid w:val="3CBB6031"/>
    <w:rsid w:val="466C7ED5"/>
    <w:rsid w:val="470C1F67"/>
    <w:rsid w:val="47454A9C"/>
    <w:rsid w:val="48070A68"/>
    <w:rsid w:val="499738FE"/>
    <w:rsid w:val="4B2C2BFB"/>
    <w:rsid w:val="4CAD0C8A"/>
    <w:rsid w:val="4E3D556A"/>
    <w:rsid w:val="533D45FB"/>
    <w:rsid w:val="5570685D"/>
    <w:rsid w:val="57291741"/>
    <w:rsid w:val="5C2F3933"/>
    <w:rsid w:val="5CA24409"/>
    <w:rsid w:val="5D4C73BF"/>
    <w:rsid w:val="622B5FD2"/>
    <w:rsid w:val="65A31374"/>
    <w:rsid w:val="65EB5E8C"/>
    <w:rsid w:val="6B7E2B40"/>
    <w:rsid w:val="6CBE5183"/>
    <w:rsid w:val="702D1939"/>
    <w:rsid w:val="708919B6"/>
    <w:rsid w:val="72206509"/>
    <w:rsid w:val="726E30CD"/>
    <w:rsid w:val="76BC170D"/>
    <w:rsid w:val="7BB81E74"/>
    <w:rsid w:val="7F5A274E"/>
    <w:rsid w:val="7FDB3564"/>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style>
  <w:style w:type="paragraph" w:styleId="4">
    <w:name w:val="Balloon Text"/>
    <w:basedOn w:val="1"/>
    <w:link w:val="15"/>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9">
    <w:name w:val="annotation reference"/>
    <w:basedOn w:val="8"/>
    <w:unhideWhenUsed/>
    <w:qFormat/>
    <w:uiPriority w:val="99"/>
    <w:rPr>
      <w:sz w:val="21"/>
      <w:szCs w:val="21"/>
    </w:rPr>
  </w:style>
  <w:style w:type="character" w:customStyle="1" w:styleId="11">
    <w:name w:val="页眉 Char"/>
    <w:basedOn w:val="8"/>
    <w:link w:val="6"/>
    <w:semiHidden/>
    <w:qFormat/>
    <w:uiPriority w:val="99"/>
    <w:rPr>
      <w:rFonts w:ascii="Times New Roman" w:hAnsi="Times New Roman" w:eastAsia="宋体" w:cs="Times New Roman"/>
      <w:sz w:val="18"/>
      <w:szCs w:val="18"/>
    </w:rPr>
  </w:style>
  <w:style w:type="character" w:customStyle="1" w:styleId="12">
    <w:name w:val="页脚 Char"/>
    <w:basedOn w:val="8"/>
    <w:link w:val="5"/>
    <w:semiHidden/>
    <w:qFormat/>
    <w:uiPriority w:val="99"/>
    <w:rPr>
      <w:rFonts w:ascii="Times New Roman" w:hAnsi="Times New Roman" w:eastAsia="宋体" w:cs="Times New Roman"/>
      <w:sz w:val="18"/>
      <w:szCs w:val="18"/>
    </w:rPr>
  </w:style>
  <w:style w:type="character" w:customStyle="1" w:styleId="13">
    <w:name w:val="批注文字 Char"/>
    <w:basedOn w:val="8"/>
    <w:link w:val="3"/>
    <w:semiHidden/>
    <w:qFormat/>
    <w:uiPriority w:val="99"/>
    <w:rPr>
      <w:rFonts w:ascii="Times New Roman" w:hAnsi="Times New Roman" w:eastAsia="宋体" w:cs="Times New Roman"/>
      <w:szCs w:val="20"/>
    </w:rPr>
  </w:style>
  <w:style w:type="character" w:customStyle="1" w:styleId="14">
    <w:name w:val="批注主题 Char"/>
    <w:basedOn w:val="13"/>
    <w:link w:val="2"/>
    <w:semiHidden/>
    <w:qFormat/>
    <w:uiPriority w:val="99"/>
    <w:rPr>
      <w:rFonts w:ascii="Times New Roman" w:hAnsi="Times New Roman" w:eastAsia="宋体" w:cs="Times New Roman"/>
      <w:b/>
      <w:bCs/>
      <w:szCs w:val="20"/>
    </w:rPr>
  </w:style>
  <w:style w:type="character" w:customStyle="1" w:styleId="15">
    <w:name w:val="批注框文本 Char"/>
    <w:basedOn w:val="8"/>
    <w:link w:val="4"/>
    <w:semiHidden/>
    <w:qFormat/>
    <w:uiPriority w:val="99"/>
    <w:rPr>
      <w:rFonts w:ascii="Times New Roman" w:hAnsi="Times New Roman" w:eastAsia="宋体" w:cs="Times New Roman"/>
      <w:sz w:val="18"/>
      <w:szCs w:val="18"/>
    </w:rPr>
  </w:style>
  <w:style w:type="paragraph" w:customStyle="1" w:styleId="1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7DAC49-F050-43BD-99EA-1334AAB6AFF4}">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ScaleCrop>false</ScaleCrop>
  <LinksUpToDate>false</LinksUpToDate>
  <CharactersWithSpaces>3989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dcterms:modified xsi:type="dcterms:W3CDTF">2017-03-31T06:12:38Z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