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rPr>
        <w:t xml:space="preserve">  </w:t>
      </w:r>
    </w:p>
    <w:p>
      <w:pPr>
        <w:ind w:firstLine="7680" w:firstLineChars="3200"/>
        <w:rPr>
          <w:sz w:val="72"/>
          <w:szCs w:val="72"/>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LSHT310827</w:t>
      </w:r>
    </w:p>
    <w:p>
      <w:pPr>
        <w:jc w:val="center"/>
        <w:rPr>
          <w:sz w:val="84"/>
          <w:szCs w:val="84"/>
        </w:rPr>
      </w:pPr>
    </w:p>
    <w:p>
      <w:pPr>
        <w:jc w:val="center"/>
        <w:rPr>
          <w:b/>
          <w:sz w:val="84"/>
          <w:szCs w:val="84"/>
        </w:rPr>
      </w:pPr>
      <w:r>
        <w:rPr>
          <w:rFonts w:hint="eastAsia"/>
          <w:b/>
          <w:sz w:val="84"/>
          <w:szCs w:val="84"/>
        </w:rPr>
        <w:t>福</w:t>
      </w:r>
    </w:p>
    <w:p>
      <w:pPr>
        <w:jc w:val="center"/>
        <w:rPr>
          <w:b/>
          <w:sz w:val="84"/>
          <w:szCs w:val="84"/>
        </w:rPr>
      </w:pPr>
      <w:r>
        <w:rPr>
          <w:rFonts w:hint="eastAsia"/>
          <w:b/>
          <w:sz w:val="84"/>
          <w:szCs w:val="84"/>
        </w:rPr>
        <w:t>寿</w:t>
      </w:r>
    </w:p>
    <w:p>
      <w:pPr>
        <w:jc w:val="center"/>
        <w:rPr>
          <w:b/>
          <w:sz w:val="84"/>
          <w:szCs w:val="84"/>
        </w:rPr>
      </w:pPr>
      <w:r>
        <w:rPr>
          <w:rFonts w:hint="eastAsia"/>
          <w:b/>
          <w:sz w:val="84"/>
          <w:szCs w:val="84"/>
        </w:rPr>
        <w:t>位</w:t>
      </w:r>
    </w:p>
    <w:p>
      <w:pPr>
        <w:jc w:val="center"/>
        <w:rPr>
          <w:b/>
          <w:sz w:val="84"/>
          <w:szCs w:val="84"/>
        </w:rPr>
      </w:pPr>
      <w:r>
        <w:rPr>
          <w:rFonts w:hint="eastAsia"/>
          <w:b/>
          <w:sz w:val="84"/>
          <w:szCs w:val="84"/>
        </w:rPr>
        <w:t>购</w:t>
      </w:r>
    </w:p>
    <w:p>
      <w:pPr>
        <w:jc w:val="center"/>
        <w:rPr>
          <w:b/>
          <w:sz w:val="84"/>
          <w:szCs w:val="84"/>
        </w:rPr>
      </w:pPr>
      <w:r>
        <w:rPr>
          <w:rFonts w:hint="eastAsia"/>
          <w:b/>
          <w:sz w:val="84"/>
          <w:szCs w:val="84"/>
        </w:rPr>
        <w:t>买</w:t>
      </w:r>
    </w:p>
    <w:p>
      <w:pPr>
        <w:jc w:val="center"/>
        <w:rPr>
          <w:b/>
          <w:sz w:val="84"/>
          <w:szCs w:val="84"/>
        </w:rPr>
      </w:pPr>
      <w:r>
        <w:rPr>
          <w:rFonts w:hint="eastAsia"/>
          <w:b/>
          <w:sz w:val="84"/>
          <w:szCs w:val="84"/>
        </w:rPr>
        <w:t>合</w:t>
      </w:r>
    </w:p>
    <w:p>
      <w:pPr>
        <w:jc w:val="center"/>
        <w:rPr>
          <w:b/>
          <w:sz w:val="84"/>
          <w:szCs w:val="84"/>
        </w:rPr>
      </w:pPr>
      <w:r>
        <w:rPr>
          <w:rFonts w:hint="eastAsia"/>
          <w:b/>
          <w:sz w:val="84"/>
          <w:szCs w:val="84"/>
        </w:rPr>
        <w:t>同</w:t>
      </w:r>
    </w:p>
    <w:p>
      <w:pPr>
        <w:jc w:val="center"/>
        <w:rPr>
          <w:sz w:val="72"/>
          <w:szCs w:val="72"/>
        </w:rPr>
      </w:pPr>
    </w:p>
    <w:p>
      <w:pPr>
        <w:jc w:val="center"/>
        <w:rPr>
          <w:sz w:val="72"/>
          <w:szCs w:val="72"/>
        </w:rPr>
      </w:pPr>
    </w:p>
    <w:p>
      <w:pPr>
        <w:jc w:val="center"/>
        <w:rPr>
          <w:rFonts w:hint="eastAsia" w:ascii="华文楷体" w:hAnsi="华文楷体" w:eastAsia="华文楷体" w:cs="华文楷体"/>
          <w:sz w:val="24"/>
          <w:szCs w:val="24"/>
        </w:rPr>
      </w:pPr>
      <w:r>
        <w:rPr>
          <w:rFonts w:hint="eastAsia"/>
          <w:sz w:val="52"/>
          <w:szCs w:val="52"/>
        </w:rPr>
        <w:t>无锡市灵山后花园有</w:t>
      </w:r>
      <w:r>
        <w:rPr>
          <w:rFonts w:hint="eastAsia"/>
          <w:sz w:val="52"/>
          <w:szCs w:val="52"/>
          <w:lang w:eastAsia="zh-CN"/>
        </w:rPr>
        <w:t>限</w:t>
      </w:r>
      <w:r>
        <w:rPr>
          <w:rFonts w:hint="eastAsia"/>
          <w:sz w:val="52"/>
          <w:szCs w:val="52"/>
        </w:rPr>
        <w:t>公司</w:t>
      </w:r>
    </w:p>
    <w:p>
      <w:pPr>
        <w:ind w:firstLine="7920" w:firstLineChars="3300"/>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LSHT310827</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甲方：</w:t>
      </w:r>
      <w:r>
        <w:rPr>
          <w:rFonts w:hint="eastAsia" w:ascii="华文楷体" w:hAnsi="华文楷体" w:eastAsia="华文楷体" w:cs="华文楷体"/>
          <w:sz w:val="24"/>
          <w:szCs w:val="24"/>
          <w:u w:val="single"/>
        </w:rPr>
        <w:t>无锡市灵山后花园有限公司</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江苏省无锡市太湖国家旅游度假区新龙路</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214000</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0510-85688503</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公司开户行：</w:t>
      </w:r>
      <w:r>
        <w:rPr>
          <w:rFonts w:hint="eastAsia" w:ascii="华文楷体" w:hAnsi="华文楷体" w:eastAsia="华文楷体" w:cs="华文楷体"/>
          <w:sz w:val="24"/>
          <w:szCs w:val="24"/>
          <w:u w:val="single"/>
        </w:rPr>
        <w:t>江苏银行无锡开发支行</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帐号：</w:t>
      </w:r>
      <w:r>
        <w:rPr>
          <w:rFonts w:hint="eastAsia" w:ascii="华文楷体" w:hAnsi="华文楷体" w:eastAsia="华文楷体" w:cs="华文楷体"/>
          <w:sz w:val="24"/>
          <w:szCs w:val="24"/>
          <w:u w:val="single"/>
        </w:rPr>
        <w:t>836010189100171885</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乙方：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姚荷芬</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single"/>
          <w:lang w:val="en-US" w:eastAsia="zh-CN"/>
        </w:rPr>
        <w:t>32022219600609058X</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江苏省无锡市梁溪区新街家园37-304室</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13814250845</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乙方授权代表（联系人）</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singl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姚进兴（已故）</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男</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父女</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男</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BrowalliaUPC"/>
          <w:sz w:val="24"/>
          <w:szCs w:val="24"/>
          <w:u w:val="non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p>
    <w:p>
      <w:pPr>
        <w:spacing w:line="360" w:lineRule="exact"/>
        <w:ind w:firstLine="480" w:firstLineChars="200"/>
        <w:rPr>
          <w:rFonts w:ascii="华文楷体" w:hAnsi="华文楷体" w:eastAsia="华文楷体" w:cs="BrowalliaUPC"/>
          <w:sz w:val="24"/>
          <w:szCs w:val="24"/>
        </w:rPr>
      </w:pPr>
    </w:p>
    <w:p>
      <w:pPr>
        <w:ind w:firstLine="5760" w:firstLineChars="24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LSHT310827</w:t>
      </w:r>
    </w:p>
    <w:p>
      <w:pPr>
        <w:rPr>
          <w:rFonts w:hint="eastAsia" w:ascii="宋体" w:hAnsi="宋体" w:eastAsia="宋体" w:cs="宋体"/>
          <w:sz w:val="24"/>
          <w:szCs w:val="24"/>
          <w:lang w:val="en-US" w:eastAsia="zh-CN"/>
        </w:rPr>
      </w:pPr>
    </w:p>
    <w:p>
      <w:pPr>
        <w:spacing w:line="36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根据《中华人民共和国合同法》及有关法律、法规之规定，甲乙双方在平等、自愿、协商一致的基础上，达成如下协议：</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一、标的物：</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1、标的物的定义：“福寿位”是指灵山后花园内用于存放先人骨灰盒的福寿位。</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2、灵山后花园的位置：灵山后花园坐落于无锡市太湖国家旅游度假区新龙路。</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3、品质和规格：标的物品质和式样均以现场展示的实物和说明为准。</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u w:val="single"/>
          <w:lang w:val="en-US" w:eastAsia="zh-CN"/>
        </w:rPr>
        <w:t xml:space="preserve"> 双位内径尺寸为：  宽74*高30*深46cm</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4、“福寿位”需凭居民身份证购买，严禁炒卖。</w:t>
      </w:r>
    </w:p>
    <w:p>
      <w:pPr>
        <w:numPr>
          <w:ilvl w:val="0"/>
          <w:numId w:val="1"/>
        </w:num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购买标的物具体内容：</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 标的物名称、数量、价格、位置</w:t>
      </w:r>
    </w:p>
    <w:tbl>
      <w:tblPr>
        <w:tblStyle w:val="9"/>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名 称</w:t>
            </w:r>
          </w:p>
        </w:tc>
        <w:tc>
          <w:tcPr>
            <w:tcW w:w="127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数量（座）</w:t>
            </w:r>
          </w:p>
        </w:tc>
        <w:tc>
          <w:tcPr>
            <w:tcW w:w="1223"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总价（元）</w:t>
            </w:r>
          </w:p>
        </w:tc>
        <w:tc>
          <w:tcPr>
            <w:tcW w:w="345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位     置</w:t>
            </w:r>
          </w:p>
        </w:tc>
        <w:tc>
          <w:tcPr>
            <w:tcW w:w="1556"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lang w:val="en-US" w:eastAsia="zh-CN"/>
              </w:rPr>
              <w:t>福寿厅-F房间-15列</w:t>
            </w:r>
          </w:p>
        </w:tc>
        <w:tc>
          <w:tcPr>
            <w:tcW w:w="1275"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1</w:t>
            </w:r>
          </w:p>
        </w:tc>
        <w:tc>
          <w:tcPr>
            <w:tcW w:w="1223"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21970</w:t>
            </w:r>
          </w:p>
        </w:tc>
        <w:tc>
          <w:tcPr>
            <w:tcW w:w="3455" w:type="dxa"/>
            <w:vAlign w:val="center"/>
          </w:tcPr>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u w:val="single"/>
                <w:lang w:val="en-US" w:eastAsia="zh-CN"/>
              </w:rPr>
              <w:t>福寿厅-F房间-15列  第二层</w:t>
            </w:r>
          </w:p>
        </w:tc>
        <w:tc>
          <w:tcPr>
            <w:tcW w:w="1556"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合计金额</w:t>
            </w:r>
          </w:p>
        </w:tc>
        <w:tc>
          <w:tcPr>
            <w:tcW w:w="5953" w:type="dxa"/>
            <w:gridSpan w:val="3"/>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人民币（大写）：</w:t>
            </w:r>
            <w:r>
              <w:rPr>
                <w:rFonts w:hint="eastAsia" w:ascii="华文楷体" w:hAnsi="华文楷体" w:eastAsia="华文楷体" w:cs="华文楷体"/>
                <w:sz w:val="24"/>
                <w:szCs w:val="24"/>
                <w:lang w:val="en-US" w:eastAsia="zh-CN"/>
              </w:rPr>
              <w:t>贰万壹仟玖佰柒拾元整</w:t>
            </w:r>
            <w:r>
              <w:rPr>
                <w:rFonts w:hint="eastAsia" w:ascii="华文楷体" w:hAnsi="华文楷体" w:eastAsia="华文楷体" w:cs="华文楷体"/>
                <w:sz w:val="24"/>
                <w:szCs w:val="24"/>
              </w:rPr>
              <w:t xml:space="preserve">            </w:t>
            </w:r>
          </w:p>
          <w:p>
            <w:pPr>
              <w:spacing w:line="360" w:lineRule="exact"/>
              <w:ind w:firstLine="720" w:firstLineChars="300"/>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（小写）：¥ </w:t>
            </w:r>
            <w:r>
              <w:rPr>
                <w:rFonts w:hint="eastAsia" w:ascii="华文楷体" w:hAnsi="华文楷体" w:eastAsia="华文楷体" w:cs="华文楷体"/>
                <w:sz w:val="24"/>
                <w:szCs w:val="24"/>
                <w:lang w:val="en-US" w:eastAsia="zh-CN"/>
              </w:rPr>
              <w:t>21970元整</w:t>
            </w:r>
            <w:r>
              <w:rPr>
                <w:rFonts w:hint="eastAsia" w:ascii="华文楷体" w:hAnsi="华文楷体" w:eastAsia="华文楷体" w:cs="华文楷体"/>
                <w:sz w:val="24"/>
                <w:szCs w:val="24"/>
              </w:rPr>
              <w:t xml:space="preserve"> </w:t>
            </w:r>
          </w:p>
        </w:tc>
        <w:tc>
          <w:tcPr>
            <w:tcW w:w="1556" w:type="dxa"/>
          </w:tcPr>
          <w:p>
            <w:pPr>
              <w:spacing w:line="360" w:lineRule="exact"/>
              <w:rPr>
                <w:rFonts w:hint="eastAsia" w:ascii="华文楷体" w:hAnsi="华文楷体" w:eastAsia="华文楷体" w:cs="华文楷体"/>
                <w:sz w:val="24"/>
                <w:szCs w:val="24"/>
              </w:rPr>
            </w:pPr>
          </w:p>
        </w:tc>
      </w:tr>
    </w:tbl>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三、合同总价款项：</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合同总价款为人民币</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24380</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元</w:t>
      </w:r>
      <w:r>
        <w:rPr>
          <w:rFonts w:hint="eastAsia" w:ascii="华文楷体" w:hAnsi="华文楷体" w:eastAsia="华文楷体" w:cs="华文楷体"/>
          <w:sz w:val="24"/>
          <w:szCs w:val="24"/>
          <w:lang w:eastAsia="zh-CN"/>
        </w:rPr>
        <w:t>整</w:t>
      </w:r>
      <w:r>
        <w:rPr>
          <w:rFonts w:hint="eastAsia" w:ascii="华文楷体" w:hAnsi="华文楷体" w:eastAsia="华文楷体" w:cs="华文楷体"/>
          <w:sz w:val="24"/>
          <w:szCs w:val="24"/>
        </w:rPr>
        <w:t>，大写</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贰万肆仟叁佰捌拾元整</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，价款组成包括下列项目：</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1、福寿位使用费：</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21970元整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2、二十年维护管理费：</w:t>
      </w:r>
      <w:r>
        <w:rPr>
          <w:rFonts w:hint="eastAsia" w:ascii="华文楷体" w:hAnsi="华文楷体" w:eastAsia="华文楷体" w:cs="华文楷体"/>
          <w:sz w:val="24"/>
          <w:szCs w:val="24"/>
          <w:u w:val="single"/>
          <w:lang w:val="en-US" w:eastAsia="zh-CN"/>
        </w:rPr>
        <w:t>2400元整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bookmarkStart w:id="0" w:name="_GoBack"/>
      <w:r>
        <w:rPr>
          <w:rFonts w:hint="eastAsia" w:ascii="华文楷体" w:hAnsi="华文楷体" w:eastAsia="华文楷体" w:cs="华文楷体"/>
          <w:sz w:val="24"/>
          <w:szCs w:val="24"/>
          <w:u w:val="none"/>
        </w:rPr>
        <w:drawing>
          <wp:anchor distT="0" distB="0" distL="114300" distR="114300" simplePos="0" relativeHeight="251660288" behindDoc="0" locked="0" layoutInCell="1" allowOverlap="1">
            <wp:simplePos x="0" y="0"/>
            <wp:positionH relativeFrom="column">
              <wp:posOffset>3052445</wp:posOffset>
            </wp:positionH>
            <wp:positionV relativeFrom="paragraph">
              <wp:posOffset>106680</wp:posOffset>
            </wp:positionV>
            <wp:extent cx="1740535" cy="292735"/>
            <wp:effectExtent l="0" t="0" r="12065" b="12065"/>
            <wp:wrapNone/>
            <wp:docPr id="2" name="图片 2" descr="蓝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蓝章"/>
                    <pic:cNvPicPr>
                      <a:picLocks noChangeAspect="1"/>
                    </pic:cNvPicPr>
                  </pic:nvPicPr>
                  <pic:blipFill>
                    <a:blip r:embed="rId10"/>
                    <a:stretch>
                      <a:fillRect/>
                    </a:stretch>
                  </pic:blipFill>
                  <pic:spPr>
                    <a:xfrm>
                      <a:off x="0" y="0"/>
                      <a:ext cx="1740535" cy="292735"/>
                    </a:xfrm>
                    <a:prstGeom prst="rect">
                      <a:avLst/>
                    </a:prstGeom>
                  </pic:spPr>
                </pic:pic>
              </a:graphicData>
            </a:graphic>
          </wp:anchor>
        </w:drawing>
      </w:r>
      <w:bookmarkEnd w:id="0"/>
      <w:r>
        <w:rPr>
          <w:rFonts w:hint="eastAsia" w:ascii="华文楷体" w:hAnsi="华文楷体" w:eastAsia="华文楷体" w:cs="华文楷体"/>
          <w:sz w:val="24"/>
          <w:szCs w:val="24"/>
        </w:rPr>
        <w:t>3、证书费：</w:t>
      </w:r>
      <w:r>
        <w:rPr>
          <w:rFonts w:hint="eastAsia" w:ascii="华文楷体" w:hAnsi="华文楷体" w:eastAsia="华文楷体" w:cs="华文楷体"/>
          <w:sz w:val="24"/>
          <w:szCs w:val="24"/>
          <w:u w:val="single"/>
          <w:lang w:val="en-US" w:eastAsia="zh-CN"/>
        </w:rPr>
        <w:t>10元整</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b w:val="0"/>
          <w:bCs/>
          <w:sz w:val="24"/>
          <w:szCs w:val="24"/>
        </w:rPr>
        <w:t>四、双方权利和义务：</w:t>
      </w:r>
    </w:p>
    <w:p>
      <w:pPr>
        <w:adjustRightInd w:val="0"/>
        <w:snapToGrid w:val="0"/>
        <w:spacing w:line="3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1、甲方依法开展后花园经营活动，保证乙方在合同期内的合法权益。
          <w:br/>
          2、本合同签订之日即视为交付为乙方使用，使用周期适用国家及地方相关法律、法规、规章、其他规范性文件及政策规定。
          <w:br/>
          3、乙方使用灵山后花园福寿位期限届满之日的壹年前，乙方可与甲方办理继续使用手续。乙方未与甲方办理继续使用手续时，甲方应书面通知乙方；书面通知无法送达的，甲方应通过无锡当地报刊予以公告。乙方自收到甲方书面通知之日起或甲方登报公告之日起六个月内，仍未办理继用手续或者迁移事宜的，甲方有权在第五条约定的使用期限届满日后移除该福寿位并对骨灰另行处置，同时乙方应向甲方支付逾期使用期间的维护管理费。
          <w:br/>
          4、合同有效期内，乙方的通信地址和联系方式发生变更，应该及时告知甲方。
        </w:t>
      </w:r>
    </w:p>
    <w:p>
      <w:pPr>
        <w:adjustRightInd w:val="0"/>
        <w:snapToGrid w:val="0"/>
        <w:spacing w:line="360" w:lineRule="exact"/>
        <w:rPr>
          <w:rFonts w:hint="eastAsia" w:ascii="华文楷体" w:hAnsi="华文楷体" w:eastAsia="华文楷体" w:cs="华文楷体"/>
          <w:sz w:val="24"/>
          <w:szCs w:val="24"/>
          <w:u w:val="none"/>
          <w:lang w:val="en-US" w:eastAsia="zh-CN"/>
        </w:rPr>
      </w:pPr>
    </w:p>
    <w:p>
      <w:pPr>
        <w:adjustRightInd w:val="0"/>
        <w:snapToGrid w:val="0"/>
        <w:spacing w:line="360" w:lineRule="exact"/>
        <w:rPr>
          <w:rFonts w:hint="eastAsia" w:ascii="华文楷体" w:hAnsi="华文楷体" w:eastAsia="华文楷体" w:cs="华文楷体"/>
          <w:sz w:val="24"/>
          <w:szCs w:val="24"/>
          <w:u w:val="none"/>
          <w:lang w:val="en-US" w:eastAsia="zh-CN"/>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LSHT310827</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五、特别约定：</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u w:val="none"/>
          <w:lang w:val="en-US" w:eastAsia="zh-CN"/>
        </w:rPr>
        <w:t>
          1、乙方全权委托代理人在本合同的签署、履行、及处理相关事务中全权代表乙方行使权利，乙方代理人的签字和其他相关行为均视同乙方本人的签字确认。
          <w:br/>
          2、乙方保证其指定的福寿位使用方符合国家墓葬管理法律法规规定的相关条件，如因乙方原因（如受让方未达到签署本合同的资格、条件）导致本合同无效、可撤销或其他问题的，均由乙方承担责任。
          <w:br/>
          3、乙方因违反管理规定造成甲方损失的，应承担相应的赔偿责任。
          <w:br/>
          4、乙方如领取使用方骨灰的，必须凭本合同及无锡灵山后花园《福寿位使用权证书》，与甲方签署骨灰移交协议。
          <w:br/>
          5、福寿位”一经启用，甲方将当场进行密闭加固，以后双方不得擅自开启。
          <w:br/>
          6、乙方如要求迁移使用方骨灰时，应提前六十天以书面形式通知甲方，并由乙方自行办理相关手续及承担费用，乙方迁移骨灰后，即放弃该福寿位的使用权，本合同终止，费用不予退还。
          <w:br/>
          7、因不可抗力发生福寿位损毁坏、骨灰自然风化、变色等情况或拆迁或其他政府作为或不作为而影响福寿位使用的，甲方在采取有效措施的同时及时以书面、电话、公告等方式通知乙方，乙方应予以配合及时补救或迁移，否则一切责任由乙方自行承担。
        </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六、本合同在履行过程中发生争议，由双方当事人协商解决，协商不成，可向甲方所在地人民法院提起诉讼。</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七、本合同未尽事宜，由双方约定后作为本合同的附件，具有同等法律效力。</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八、本合同一式贰份。甲方壹份，乙方壹份。</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九、本合同自双方签订且乙方付清全部款项之日生效。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p>
    <w:p>
      <w:pPr>
        <w:spacing w:line="360" w:lineRule="exact"/>
        <w:rPr>
          <w:rFonts w:ascii="华文楷体" w:hAnsi="华文楷体" w:eastAsia="华文楷体" w:cs="BrowalliaUPC"/>
          <w:sz w:val="24"/>
          <w:szCs w:val="24"/>
        </w:rPr>
      </w:pPr>
      <w:r>
        <w:rPr>
          <w:rFonts w:hint="eastAsia" w:eastAsiaTheme="minorEastAsia"/>
          <w:sz w:val="52"/>
          <w:szCs w:val="52"/>
          <w:lang w:eastAsia="zh-CN"/>
        </w:rPr>
        <w:drawing>
          <wp:anchor distT="0" distB="0" distL="114300" distR="114300" simplePos="0" relativeHeight="251661312" behindDoc="0" locked="0" layoutInCell="1" allowOverlap="1">
            <wp:simplePos x="0" y="0"/>
            <wp:positionH relativeFrom="column">
              <wp:posOffset>236855</wp:posOffset>
            </wp:positionH>
            <wp:positionV relativeFrom="paragraph">
              <wp:posOffset>-201930</wp:posOffset>
            </wp:positionV>
            <wp:extent cx="1515110" cy="1517650"/>
            <wp:effectExtent l="0" t="0" r="8890" b="6350"/>
            <wp:wrapNone/>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1"/>
                    <a:stretch>
                      <a:fillRect/>
                    </a:stretch>
                  </pic:blipFill>
                  <pic:spPr>
                    <a:xfrm>
                      <a:off x="0" y="0"/>
                      <a:ext cx="1515110" cy="1517650"/>
                    </a:xfrm>
                    <a:prstGeom prst="rect">
                      <a:avLst/>
                    </a:prstGeom>
                  </pic:spPr>
                </pic:pic>
              </a:graphicData>
            </a:graphic>
          </wp:anchor>
        </w:drawing>
      </w:r>
      <w:r>
        <w:rPr>
          <w:rFonts w:ascii="华文楷体" w:hAnsi="华文楷体" w:eastAsia="华文楷体" w:cs="BrowalliaUPC"/>
          <w:sz w:val="24"/>
          <w:szCs w:val="24"/>
        </w:rPr>
        <w:t xml:space="preserve">经办人（签字）：                               </w:t>
      </w:r>
      <w:r>
        <w:rPr>
          <w:rFonts w:hint="eastAsia" w:ascii="华文楷体" w:hAnsi="华文楷体" w:eastAsia="华文楷体" w:cs="BrowalliaUPC"/>
          <w:sz w:val="24"/>
          <w:szCs w:val="24"/>
          <w:lang w:val="en-US" w:eastAsia="zh-CN"/>
        </w:rPr>
        <w:t xml:space="preserve"> </w:t>
      </w:r>
      <w:r>
        <w:rPr>
          <w:rFonts w:ascii="华文楷体" w:hAnsi="华文楷体" w:eastAsia="华文楷体" w:cs="BrowalliaUPC"/>
          <w:sz w:val="24"/>
          <w:szCs w:val="24"/>
        </w:rPr>
        <w:t>委托代理人：</w:t>
      </w:r>
    </w:p>
    <w:p>
      <w:pPr>
        <w:spacing w:line="360" w:lineRule="exact"/>
      </w:pPr>
      <w:r>
        <w:rPr>
          <w:rFonts w:ascii="华文楷体" w:hAnsi="华文楷体" w:eastAsia="华文楷体" w:cs="BrowalliaUPC"/>
          <w:sz w:val="24"/>
          <w:szCs w:val="24"/>
        </w:rPr>
        <w:t>日期：</w:t>
      </w:r>
      <w:r>
        <w:rPr>
          <w:rFonts w:hint="eastAsia" w:ascii="宋体" w:hAnsi="宋体" w:eastAsia="宋体" w:cs="宋体"/>
          <w:sz w:val="24"/>
          <w:szCs w:val="24"/>
          <w:u w:val="none"/>
          <w:lang w:val="en-US" w:eastAsia="zh-CN"/>
        </w:rPr>
        <w:t>2018-12-24</w:t>
      </w:r>
      <w:r>
        <w:rPr>
          <w:rFonts w:ascii="华文楷体" w:hAnsi="华文楷体" w:eastAsia="华文楷体" w:cs="BrowalliaUPC"/>
          <w:sz w:val="24"/>
          <w:szCs w:val="24"/>
        </w:rPr>
        <w:t xml:space="preserve">                               日期：</w:t>
      </w:r>
      <w:r>
        <w:rPr>
          <w:rFonts w:hint="eastAsia" w:ascii="宋体" w:hAnsi="宋体" w:eastAsia="宋体" w:cs="宋体"/>
          <w:sz w:val="24"/>
          <w:szCs w:val="24"/>
          <w:u w:val="none"/>
          <w:lang w:val="en-US" w:eastAsia="zh-CN"/>
        </w:rPr>
        <w:t>2018-12-24</w:t>
      </w:r>
      <w:r>
        <w:rPr>
          <w:rFonts w:ascii="华文楷体" w:hAnsi="华文楷体" w:eastAsia="华文楷体" w:cs="BrowalliaUPC"/>
          <w:sz w:val="24"/>
          <w:szCs w:val="24"/>
        </w:rPr>
        <w:t xml:space="preserve">    </w:t>
      </w:r>
    </w:p>
    <w:p>
      <w:pPr>
        <w:jc w:val="center"/>
        <w:rPr>
          <w:rFonts w:hint="eastAsia"/>
          <w:sz w:val="52"/>
          <w:szCs w:val="52"/>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102" o:spid="_x0000_s4102"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pict>
        <v:shape id="WordPictureWatermark7153880" o:spid="_x0000_s4099" o:spt="75" type="#_x0000_t75" style="position:absolute;left:0pt;height:500.2pt;width:500.2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9" o:spid="_x0000_s4100" o:spt="75" type="#_x0000_t75" style="position:absolute;left:0pt;height:523.15pt;width:523.1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4" o:spid="_x0000_s4101" o:spt="75" type="#_x0000_t75" style="position:absolute;left:0pt;height:291.75pt;width:487.5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8" o:spid="_x0000_s4097" o:spt="75" type="#_x0000_t75" style="position:absolute;left:0pt;height:523.15pt;width:523.1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3" o:spid="_x0000_s4098" o:spt="75" type="#_x0000_t75" style="position:absolute;left:0pt;height:291.75pt;width:487.5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177AD"/>
    <w:rsid w:val="000D6926"/>
    <w:rsid w:val="001208F5"/>
    <w:rsid w:val="002D1FA5"/>
    <w:rsid w:val="00474008"/>
    <w:rsid w:val="00617A17"/>
    <w:rsid w:val="00653FCD"/>
    <w:rsid w:val="00675519"/>
    <w:rsid w:val="006F5740"/>
    <w:rsid w:val="007177AD"/>
    <w:rsid w:val="0081766F"/>
    <w:rsid w:val="00850C8E"/>
    <w:rsid w:val="00856BED"/>
    <w:rsid w:val="00A248C4"/>
    <w:rsid w:val="00A76416"/>
    <w:rsid w:val="00AE54DA"/>
    <w:rsid w:val="00B42061"/>
    <w:rsid w:val="00BD707E"/>
    <w:rsid w:val="00CA0AC1"/>
    <w:rsid w:val="00DF27E8"/>
    <w:rsid w:val="00FB25D4"/>
    <w:rsid w:val="00FC6647"/>
    <w:rsid w:val="016F0449"/>
    <w:rsid w:val="13F61B5F"/>
    <w:rsid w:val="159720C0"/>
    <w:rsid w:val="20056B38"/>
    <w:rsid w:val="2159342C"/>
    <w:rsid w:val="218B60EC"/>
    <w:rsid w:val="28930015"/>
    <w:rsid w:val="2E89794B"/>
    <w:rsid w:val="326E1135"/>
    <w:rsid w:val="51AB1F1D"/>
    <w:rsid w:val="591240DA"/>
    <w:rsid w:val="695F6113"/>
    <w:rsid w:val="69754771"/>
    <w:rsid w:val="712D03DC"/>
    <w:rsid w:val="7A0F27E6"/>
    <w:rsid w:val="7B410A22"/>
    <w:rsid w:val="7BC0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rPr>
      <w:rFonts w:ascii="Times New Roman" w:hAnsi="Times New Roman" w:eastAsia="宋体" w:cs="Times New Roman"/>
      <w:szCs w:val="20"/>
    </w:r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rFonts w:ascii="Times New Roman" w:hAnsi="Times New Roman" w:eastAsia="宋体" w:cs="Times New Roman"/>
      <w:sz w:val="21"/>
      <w:szCs w:val="21"/>
    </w:rPr>
  </w:style>
  <w:style w:type="character" w:customStyle="1" w:styleId="10">
    <w:name w:val="页眉 Char"/>
    <w:basedOn w:val="7"/>
    <w:link w:val="6"/>
    <w:semiHidden/>
    <w:qFormat/>
    <w:uiPriority w:val="99"/>
    <w:rPr>
      <w:sz w:val="18"/>
      <w:szCs w:val="18"/>
    </w:rPr>
  </w:style>
  <w:style w:type="character" w:customStyle="1" w:styleId="11">
    <w:name w:val="页脚 Char"/>
    <w:basedOn w:val="7"/>
    <w:link w:val="5"/>
    <w:semiHidden/>
    <w:qFormat/>
    <w:uiPriority w:val="99"/>
    <w:rPr>
      <w:sz w:val="18"/>
      <w:szCs w:val="18"/>
    </w:rPr>
  </w:style>
  <w:style w:type="character" w:customStyle="1" w:styleId="12">
    <w:name w:val="批注框文本 Char"/>
    <w:basedOn w:val="7"/>
    <w:link w:val="4"/>
    <w:semiHidden/>
    <w:qFormat/>
    <w:uiPriority w:val="99"/>
    <w:rPr>
      <w:sz w:val="18"/>
      <w:szCs w:val="18"/>
    </w:rPr>
  </w:style>
  <w:style w:type="character" w:customStyle="1" w:styleId="13">
    <w:name w:val="批注文字 Char"/>
    <w:basedOn w:val="7"/>
    <w:link w:val="3"/>
    <w:semiHidden/>
    <w:qFormat/>
    <w:uiPriority w:val="99"/>
    <w:rPr>
      <w:rFonts w:ascii="Times New Roman" w:hAnsi="Times New Roman" w:eastAsia="宋体" w:cs="Times New Roman"/>
    </w:rPr>
  </w:style>
  <w:style w:type="character" w:customStyle="1" w:styleId="14">
    <w:name w:val="批注主题 Char"/>
    <w:basedOn w:val="13"/>
    <w:link w:val="2"/>
    <w:semiHidden/>
    <w:qFormat/>
    <w:uiPriority w:val="99"/>
    <w:rPr>
      <w:b/>
      <w:bCs/>
    </w:rPr>
  </w:style>
  <w:style w:type="paragraph" w:customStyle="1" w:styleId="15">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C2596-D880-4F2F-B4FE-BF6DD7235D4A}">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TotalTime>0</TotalTime>
  <ScaleCrop>false</ScaleCrop>
  <LinksUpToDate>false</LinksUpToDate>
  <CharactersWithSpaces>3989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cp:lastPrinted>2017-12-01T02:38:00Z</cp:lastPrinted>
  <dcterms:modified xsi:type="dcterms:W3CDTF">2018-06-27T02:59:04Z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