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C8AFF"/>
          <w:sz w:val="36"/>
          <w:szCs w:val="36"/>
        </w:rPr>
        <w:t xml:space="preserve">Relatório Técnico — Fase 2</w:t>
      </w:r>
    </w:p>
    <w:p>
      <w:pPr>
        <w:spacing w:after="30"/>
        <w:jc w:val="center"/>
      </w:pPr>
      <w:r>
        <w:rPr>
          <w:b/>
          <w:bCs/>
          <w:sz w:val="26"/>
          <w:szCs w:val="26"/>
        </w:rPr>
        <w:t xml:space="preserve">Pose Estimation e Análise Comportamental</w:t>
      </w:r>
    </w:p>
    <w:p>
      <w:pPr>
        <w:spacing w:after="220"/>
        <w:jc w:val="center"/>
      </w:pPr>
      <w:r>
        <w:rPr>
          <w:color w:val="666666"/>
          <w:sz w:val="18"/>
          <w:szCs w:val="18"/>
        </w:rPr>
        <w:t xml:space="preserve">Projeto Tortuga · Innovation Challenge CUP 2026 · FIAP × SPI</w:t>
      </w:r>
    </w:p>
    <w:p>
      <w:pPr>
        <w:pStyle w:val="Heading1"/>
      </w:pPr>
      <w:r>
        <w:t xml:space="preserve">1. Objetivo</w:t>
      </w:r>
    </w:p>
    <w:p>
      <w:pPr>
        <w:spacing w:after="140"/>
        <w:jc w:val="both"/>
      </w:pPr>
      <w:r>
        <w:rPr>
          <w:sz w:val="21"/>
          <w:szCs w:val="21"/>
        </w:rPr>
        <w:t xml:space="preserve">A Fase 2 amplia a percepção do sistema do que o trabalhador está usando (Fase 1) para como ele está se movendo e onde. A partir da estimação de pose corporal, o Tortuga classifica posturas ergonomicamente inadequadas, posturas de risco imediato à integridade física e a aproximação a zonas críticas, gerando ainda scores ergonômicos consagrados (RULA e REBA) e análises temporais que antecipam incidentes. Tudo é executado sobre o mesmo stream da Fase 1, como camadas de um produto único.</w:t>
      </w:r>
    </w:p>
    <w:p>
      <w:pPr>
        <w:pStyle w:val="Heading1"/>
      </w:pPr>
      <w:r>
        <w:t xml:space="preserve">2. Modelo de pose escolhido</w:t>
      </w:r>
    </w:p>
    <w:p>
      <w:pPr>
        <w:spacing w:after="140"/>
        <w:jc w:val="both"/>
      </w:pPr>
      <w:r>
        <w:rPr>
          <w:sz w:val="21"/>
          <w:szCs w:val="21"/>
        </w:rPr>
        <w:t xml:space="preserve">Adotou-se o YOLOv8-pose (Ultralytics), que entrega os 17 keypoints do padrão COCO (nariz, olhos, orelhas, ombros, cotovelos, punhos, quadris, joelhos e tornozelos). A escolha mantém coerência arquitetural com a Fase 1 (mesma família de modelos e mesmo runtime), generaliza bem por ser pré-treinado em COCO — o que o torna robusto a ambientes não vistos, como a sala da FIAP — e suporta múltiplas pessoas por frame. A inferência de pose roda em thread dedicada, em resolução plena, com seleção automática de dispositivo (CUDA/MPS/CPU).</w:t>
      </w:r>
    </w:p>
    <w:p>
      <w:pPr>
        <w:pStyle w:val="Heading1"/>
      </w:pPr>
      <w:r>
        <w:t xml:space="preserve">3. Taxonomia de posturas e regras</w:t>
      </w:r>
    </w:p>
    <w:p>
      <w:pPr>
        <w:spacing w:after="140"/>
        <w:jc w:val="both"/>
      </w:pPr>
      <w:r>
        <w:rPr>
          <w:sz w:val="21"/>
          <w:szCs w:val="21"/>
        </w:rPr>
        <w:t xml:space="preserve">As classes de postura e as regras explícitas que mapeiam keypoints em cada classe estão resumidas abaixo. Os ângulos são calculados a partir das coordenadas dos keypoints (inclinação do tronco em relação à vertical, elevação dos braços relativa à altura corporal, razão quadril-joelho-tornozelo para agachamento). O risco imediato e a zona crítica nunca são suavizados; o risco ergonômico passa por uma janela temporal de confirmação para reduzir falsos positivos por ruído de pose.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Gatilho (regra sobre keypoints)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Severidade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Postura OK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Nenhuma regra de risco satisfeita; RULA &lt; 6.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Informativa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Risco Ergonômico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Tronco &gt; 40° (NR-17), braço &gt; 12% da altura acima do ombro, agachamento profundo (razão quadril-joelho), ou RULA ≥ 6.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Risco Imediato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Tronco &gt; 60° (queda/pessoa caída) ou queda prevista pela análise temporal.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Zona Crítica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Qualquer keypoint dentro de polígono de zona restrita (EPC).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</w:tr>
    </w:tbl>
    <w:p>
      <w:pPr>
        <w:spacing w:after="140"/>
        <w:jc w:val="both"/>
      </w:pPr>
      <w:r>
        <w:rPr>
          <w:sz w:val="21"/>
          <w:szCs w:val="21"/>
        </w:rPr>
        <w:t xml:space="preserve">Um filtro de plausibilidade anatômica (_is_plausible_person) descarta detecções que não correspondem a uma pessoa real — exige um mínimo de keypoints visíveis, ombros acima dos quadris, proporção tronco/ombro humana e cabeça acima dos ombros. Esse filtro é essencial para a Fase 4, em que o sistema não pode confundir avaliadores, mobiliário ou máquinas com trabalhadores.</w:t>
      </w:r>
    </w:p>
    <w:p>
      <w:pPr>
        <w:pStyle w:val="Heading1"/>
      </w:pPr>
      <w:r>
        <w:t xml:space="preserve">4. Scores ergonômicos RULA e REBA</w:t>
      </w:r>
    </w:p>
    <w:p>
      <w:pPr>
        <w:spacing w:after="140"/>
        <w:jc w:val="both"/>
      </w:pPr>
      <w:r>
        <w:rPr>
          <w:sz w:val="21"/>
          <w:szCs w:val="21"/>
        </w:rPr>
        <w:t xml:space="preserve">A partir dos keypoints, o sistema implementa integralmente os métodos RULA (Rapid Upper Limb Assessment, escore 1–7) e REBA (Rapid Entire Body Assessment, escore 1–15), transformando coordenadas em scores de risco postural — abordagem explicitamente valorizada pelo descritivo. Cada componente (braço, antebraço, punho, pescoço, tronco, pernas) recebe uma pontuação a partir de ângulos estimados, e as tabelas oficiais A/B/C combinam essas pontuações no escore final, com a ação recomendada correspondente (de 'aceitável' a 'agir imediatamente'). Os badges RULA/REBA são exibidos sobre cada pessoa no vídeo e alimentam o relatório de sessão.</w:t>
      </w:r>
    </w:p>
    <w:p>
      <w:pPr>
        <w:spacing w:after="140"/>
        <w:jc w:val="both"/>
      </w:pPr>
      <w:r>
        <w:rPr>
          <w:sz w:val="21"/>
          <w:szCs w:val="21"/>
        </w:rPr>
        <w:t xml:space="preserve">Considerações de robustez: como os ângulos são estimados de vídeo 2D (ruído típico de ±5–10°), o RULA isolado só dispara alarme em postura composta severa (≥ 6); as faixas 3–5 ficam como informação. As regras físicas da NR-17 (tronco, braços, agachamento) são a fonte primária do alarme em tempo real, e o RULA/REBA complementam capturando combinações não cobertas pelas três regras.</w:t>
      </w:r>
    </w:p>
    <w:p>
      <w:pPr>
        <w:pStyle w:val="Heading1"/>
      </w:pPr>
      <w:r>
        <w:t xml:space="preserve">5. Análise temporal e comportamental</w:t>
      </w:r>
    </w:p>
    <w:p>
      <w:pPr>
        <w:spacing w:after="140"/>
        <w:jc w:val="both"/>
      </w:pPr>
      <w:r>
        <w:rPr>
          <w:sz w:val="21"/>
          <w:szCs w:val="21"/>
        </w:rPr>
        <w:t xml:space="preserve">Um rastreador associa pessoas entre frames por IoU de bounding box e mantém um histórico de ~3 s por pessoa, habilitando análises que uma classificação quadro-a-quadro não capta: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Predição de queda (NR-35): extrapola a velocidade angular do tronco para estimar o tempo até atingir 60°, emitindo alerta hiperprecoce 0,5–1,5 s antes do impacto.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Fadiga muscular (NR-17): detecta tendência crescente do RULA ao longo da sessão.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Gestos repetitivos: identifica oscilação periódica do ângulo do tronco (frequência e amplitude).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Multi-pessoa e distância segura: calcula a distância entre operadores usando a altura do bounding box como escala (~1,70 m) e alerta abaixo de 1,5 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Score ergonômico por sessão (SSMA): consolida RULA médio/máximo por operador anonimizado (OP-001, ...), sem expor identidade, alinhado à LGPD.</w:t>
      </w:r>
    </w:p>
    <w:p>
      <w:pPr>
        <w:pStyle w:val="Heading1"/>
      </w:pPr>
      <w:r>
        <w:t xml:space="preserve">6. Integração com a Fase 1</w:t>
      </w:r>
    </w:p>
    <w:p>
      <w:pPr>
        <w:spacing w:after="140"/>
        <w:jc w:val="both"/>
      </w:pPr>
      <w:r>
        <w:rPr>
          <w:sz w:val="21"/>
          <w:szCs w:val="21"/>
        </w:rPr>
        <w:t xml:space="preserve">A pose não é um módulo isolado: a classe DetectionPipeline (gui.py) consome o mesmo stream de câmera e executa, em paralelo, a detecção de EPI e a estimação de pose, fundindo os resultados na camada de apresentação. A barra de status combina os dois eixos — por exemplo, 'ALERTA: EPI + RISCO DE POSTURA' — materializando a visão de produto único exigida pelo Challenge. Zonas perigosas (EPC) podem ser cadastradas e são cruzadas com a pose para detectar operador em local proibido mesmo com EPI completo.</w:t>
      </w:r>
    </w:p>
    <w:p>
      <w:pPr>
        <w:pStyle w:val="Heading1"/>
      </w:pPr>
      <w:r>
        <w:t xml:space="preserve">7. Métricas e casos de borda</w:t>
      </w:r>
    </w:p>
    <w:p>
      <w:pPr>
        <w:spacing w:after="140"/>
        <w:jc w:val="both"/>
      </w:pPr>
      <w:r>
        <w:rPr>
          <w:sz w:val="21"/>
          <w:szCs w:val="21"/>
        </w:rPr>
        <w:t xml:space="preserve">As metas do descritivo (PCK ≥ 0,80; acurácia postural ≥ 0,85; recall de risco imediato ≥ 0,90; latência E2E ≤ 200 ms) devem ser medidas na máquina da demo a partir de um pequeno conjunto rotulado de posturas; o modelo COCO pré-treinado favorece o PCK. Em segurança do trabalho, prioriza-se recall sobre precision no risco imediato: é preferível um alerta a mais do que uma queda não detectada — por isso a suavização temporal não se aplica a risco imediato/zona. Casos de borda observados e tratados: oclusão parcial de keypoints (limiar de confiança por ponto), pessoas parcialmente fora do quadro, e confusão pessoa × objeto (mitigada pelo filtro anatômico).</w:t>
      </w:r>
    </w:p>
    <w:p>
      <w:pPr>
        <w:pStyle w:val="Heading1"/>
      </w:pPr>
      <w:r>
        <w:t xml:space="preserve">8. Referências</w:t>
      </w:r>
    </w:p>
    <w:p>
      <w:pPr>
        <w:spacing w:after="140"/>
        <w:jc w:val="both"/>
      </w:pPr>
      <w:r>
        <w:rPr>
          <w:sz w:val="21"/>
          <w:szCs w:val="21"/>
        </w:rPr>
        <w:t xml:space="preserve">McAtamney &amp; Corlett (1993), RULA, Applied Ergonomics 24(2):91–99. Hignett &amp; McAtamney (2000), REBA, Applied Ergonomics 31(2):201–205. NR-17 (Ergonomia) e NR-35 (Trabalho em Altura). Padrão de keypoints COCO.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Tortuga · Relatório Técnico Fase 2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C8A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0E14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2026-05-30T17:11:48.935Z</dcterms:created>
  <dcterms:modified xsi:type="dcterms:W3CDTF">2026-05-30T17:11:48.936Z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