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071E3"/>
          <w:sz w:val="40"/>
        </w:rPr>
        <w:t>Documentação Técnica — Fase 3</w:t>
      </w:r>
    </w:p>
    <w:p>
      <w:pPr>
        <w:spacing w:after="20"/>
      </w:pPr>
      <w:r>
        <w:rPr>
          <w:b/>
          <w:color w:val="1D1D1F"/>
          <w:sz w:val="25"/>
        </w:rPr>
        <w:t>Sistema de Notificação Inteligente + Análise Preditiva de Risco</w:t>
      </w:r>
    </w:p>
    <w:p>
      <w:pPr>
        <w:spacing w:after="160"/>
      </w:pPr>
      <w:r>
        <w:rPr>
          <w:color w:val="6E6E73"/>
          <w:sz w:val="20"/>
        </w:rPr>
        <w:t>Projeto Tortuga · Innovation Challenge CUP 2026 · FIAP × SPI</w:t>
      </w:r>
    </w:p>
    <w:p>
      <w:pPr>
        <w:spacing w:before="200" w:after="60"/>
      </w:pPr>
      <w:r>
        <w:rPr>
          <w:b/>
          <w:color w:val="0071E3"/>
          <w:sz w:val="28"/>
        </w:rPr>
        <w:t>1. Visão geral</w:t>
      </w:r>
    </w:p>
    <w:p>
      <w:pPr>
        <w:spacing w:after="80"/>
        <w:jc w:val="both"/>
      </w:pPr>
      <w:r>
        <w:rPr>
          <w:b w:val="0"/>
        </w:rPr>
        <w:t>A Fase 3 é onde a inteligência sai do modelo e chega ao mundo: cada ocorrência detectada nas Fases 1 e 2 é classificada por severidade e roteada ao público certo, no canal certo, com a urgência certa. Mais do que reagir, o sistema antecipa: um motor de análise preditiva estima a probabilidade de cada operador sofrer um incidente e valida estatisticamente quem precisa de ação pedagógica preventiva. A arquitetura tem três blocos — política de severidade, camada de notificação (campo + gestão) e dashboard preditivo SSMA. Todo o estado vive no servidor; o cinto ESP32 é um nó de borda minimalista.</w:t>
      </w:r>
    </w:p>
    <w:p>
      <w:pPr>
        <w:spacing w:before="200" w:after="60"/>
      </w:pPr>
      <w:r>
        <w:rPr>
          <w:b/>
          <w:color w:val="0071E3"/>
          <w:sz w:val="28"/>
        </w:rPr>
        <w:t>2. Política de severidade</w:t>
      </w:r>
    </w:p>
    <w:p>
      <w:pPr>
        <w:spacing w:after="80"/>
        <w:jc w:val="both"/>
      </w:pPr>
      <w:r>
        <w:rPr>
          <w:b w:val="0"/>
        </w:rPr>
        <w:t>Nem toda detecção justifica o mesmo alerta. A severidade decide canal e prazo, evitando fadiga de alerta sem deixar passar o que é crítico.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Nível</w:t>
            </w:r>
          </w:p>
        </w:tc>
        <w:tc>
          <w:tcPr>
            <w:tcW w:type="dxa" w:w="475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Critério (exemplos)</w:t>
            </w:r>
          </w:p>
        </w:tc>
        <w:tc>
          <w:tcPr>
            <w:tcW w:type="dxa" w:w="288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Canais</w:t>
            </w:r>
          </w:p>
        </w:tc>
        <w:tc>
          <w:tcPr>
            <w:tcW w:type="dxa" w:w="144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Latência-alvo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sz w:val="19"/>
              </w:rPr>
              <w:t>Crítica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9"/>
              </w:rPr>
              <w:t>Queda, zona crítica, ausência de cinto em altura (NR-35).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9"/>
              </w:rPr>
              <w:t>Sonoro + visual + tátil + log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9"/>
              </w:rPr>
              <w:t>&lt; 1 s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sz w:val="19"/>
              </w:rPr>
              <w:t>Alta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9"/>
              </w:rPr>
              <w:t>EPI obrigatório ausente em zona ativa; postura de risco persistente.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9"/>
              </w:rPr>
              <w:t>Visual no campo + dashboard + log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9"/>
              </w:rPr>
              <w:t>&lt; 5 s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b/>
                <w:sz w:val="19"/>
              </w:rPr>
              <w:t>Informativa</w:t>
            </w:r>
          </w:p>
        </w:tc>
        <w:tc>
          <w:tcPr>
            <w:tcW w:type="dxa" w:w="4752"/>
          </w:tcPr>
          <w:p>
            <w:pPr>
              <w:spacing w:after="20"/>
            </w:pPr>
            <w:r>
              <w:rPr>
                <w:sz w:val="19"/>
              </w:rPr>
              <w:t>Postura ergonômica, fadiga, recomendações educativas.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sz w:val="19"/>
              </w:rPr>
              <w:t>Dashboard / relatório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sz w:val="19"/>
              </w:rPr>
              <w:t>Sem interrupção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</w:rPr>
        <w:t>Justificativa das fronteiras: o critério é a consequência potencial à integridade física. Risco imediato (queda) exige redundância sonora e tátil em menos de 1 s — mais rápido que a reação humana. Violação de EPI é importante, mas não instantânea: alerta de campo + registro em até 5 s. O informativo nunca interrompe a operação. Em segurança, priorizamos recall sobre precision no nível crítico.</w:t>
      </w:r>
    </w:p>
    <w:p>
      <w:pPr>
        <w:spacing w:before="200" w:after="60"/>
      </w:pPr>
      <w:r>
        <w:rPr>
          <w:b/>
          <w:color w:val="0071E3"/>
          <w:sz w:val="28"/>
        </w:rPr>
        <w:t>3. Canais de notificação</w:t>
      </w:r>
    </w:p>
    <w:p>
      <w:pPr>
        <w:spacing w:after="80"/>
        <w:jc w:val="both"/>
      </w:pPr>
      <w:r>
        <w:rPr>
          <w:b w:val="0"/>
        </w:rPr>
        <w:t>Oferecemos dois canais distintos — um perceptível no campo pelo operador e um para a gestão — atendendo ao escopo mínimo da fase.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Canal</w:t>
            </w:r>
          </w:p>
        </w:tc>
        <w:tc>
          <w:tcPr>
            <w:tcW w:type="dxa" w:w="259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Público</w:t>
            </w:r>
          </w:p>
        </w:tc>
        <w:tc>
          <w:tcPr>
            <w:tcW w:type="dxa" w:w="37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Meio</w:t>
            </w:r>
          </w:p>
        </w:tc>
        <w:tc>
          <w:tcPr>
            <w:tcW w:type="dxa" w:w="374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Justificativa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Cinto ESP32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sz w:val="19"/>
              </w:rPr>
              <w:t>Operador no posto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  <w:t>OLED + LED + buzzer + vibração (HTTP)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  <w:t>Feedback imediato e tátil: o operador se corrige sozinho, sem depender de tela.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9"/>
              </w:rPr>
              <w:t>Dashboard SSMA</w:t>
            </w:r>
          </w:p>
        </w:tc>
        <w:tc>
          <w:tcPr>
            <w:tcW w:type="dxa" w:w="2592"/>
          </w:tcPr>
          <w:p>
            <w:pPr>
              <w:spacing w:after="20"/>
            </w:pPr>
            <w:r>
              <w:rPr>
                <w:sz w:val="19"/>
              </w:rPr>
              <w:t>Gestão / supervisão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  <w:t>Web (Flask)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  <w:t>Visão consolidada, histórico, severidade e o ranking preditivo de risco.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0071E3"/>
              </w:rPr>
              <w:t xml:space="preserve">Cinto validado em hardware real. </w:t>
            </w:r>
            <w:r>
              <w:rPr>
                <w:b w:val="0"/>
              </w:rPr>
              <w:t>O nó de borda foi integrado e testado no protótipo físico do cinto: OLED (SSD1306 I2C), LED verde/vermelho, buzzer e motor de vibração respondem ao veredito do servidor por HTTP. Latência medida ponta a ponta: 83–180 ms — bem abaixo do alvo de 1 s do nível crítico. O servidor faz push do estado ao IP do cinto na ingestão de cada evento de campo, e envia CONFORME no instante em que o operador se corrige, fazendo o cinto voltar ao verde imediatamente (com um auto-retorno de segurança no firmware caso um aviso se perca). Baixo consumo por modem-sleep do Wi-Fi, mirando 1–2 pilhas AA por turno de 8 h.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</w:rPr>
        <w:t>O nó de borda leva o veredito ao chão de fábrica sem depender da nuvem: LED verde/vermelho legível à distância, OLED com a mensagem educativa, buzzer e vibração com padrão proporcional à severidade. A vibração inclui o trabalhador que usa protetor auricular — o próprio sistema sabe que ele o usa (Fase 1).</w:t>
      </w:r>
    </w:p>
    <w:p>
      <w:pPr>
        <w:spacing w:before="200" w:after="60"/>
      </w:pPr>
      <w:r>
        <w:rPr>
          <w:b/>
          <w:color w:val="0071E3"/>
          <w:sz w:val="28"/>
        </w:rPr>
        <w:t>4. UX e linguagem (chão de fábrica)</w:t>
      </w:r>
    </w:p>
    <w:p>
      <w:pPr>
        <w:pStyle w:val="ListBullet"/>
        <w:spacing w:after="40"/>
      </w:pPr>
      <w:r>
        <w:rPr>
          <w:b/>
        </w:rPr>
        <w:t xml:space="preserve">Redundância: </w:t>
      </w:r>
      <w:r>
        <w:t>alerta crítico usa dois canais simultâneos (sonoro + visual + tátil) — ambiente ruidoso e com EPI.</w:t>
      </w:r>
    </w:p>
    <w:p>
      <w:pPr>
        <w:pStyle w:val="ListBullet"/>
        <w:spacing w:after="40"/>
      </w:pPr>
      <w:r>
        <w:rPr>
          <w:b/>
        </w:rPr>
        <w:t xml:space="preserve">Hierarquia visual: </w:t>
      </w:r>
      <w:r>
        <w:t>vermelho piscante para crítico, fixo para alto, verde para conformidade.</w:t>
      </w:r>
    </w:p>
    <w:p>
      <w:pPr>
        <w:pStyle w:val="ListBullet"/>
        <w:spacing w:after="40"/>
      </w:pPr>
      <w:r>
        <w:rPr>
          <w:b/>
        </w:rPr>
        <w:t xml:space="preserve">Inclusão: </w:t>
      </w:r>
      <w:r>
        <w:t>quem usa protetor auricular vê (OLED/LED) e sente (vibração); quem olha a peça ouve.</w:t>
      </w:r>
    </w:p>
    <w:p>
      <w:pPr>
        <w:pStyle w:val="ListBullet"/>
        <w:spacing w:after="40"/>
      </w:pPr>
      <w:r>
        <w:rPr>
          <w:b/>
        </w:rPr>
        <w:t xml:space="preserve">Não punição: </w:t>
      </w:r>
      <w:r>
        <w:t>a mensagem é educativa — Capacete necessário nesta área, não Você está infringindo a norma. O dashboard celebra conformidade, não ranqueia quem mais infringe.</w:t>
      </w:r>
    </w:p>
    <w:p>
      <w:pPr>
        <w:spacing w:before="200" w:after="60"/>
      </w:pPr>
      <w:r>
        <w:rPr>
          <w:b/>
          <w:color w:val="0071E3"/>
          <w:sz w:val="28"/>
        </w:rPr>
        <w:t>5. Diferencial: análise preditiva de risco (ciência de dados)</w:t>
      </w:r>
    </w:p>
    <w:p>
      <w:pPr>
        <w:spacing w:after="80"/>
        <w:jc w:val="both"/>
      </w:pPr>
      <w:r>
        <w:rPr>
          <w:b w:val="0"/>
        </w:rPr>
        <w:t>Em vez de só contar violações, modelamos a TAXA de eventos de cada operador e prevemos a probabilidade de um incidente no próximo turno — e validamos estatisticamente quem está acima da média. Assim o gestor age com base em sinal, não em ruído, de forma pedagógica (treinamento dirigido).</w:t>
      </w:r>
    </w:p>
    <w:p>
      <w:pPr>
        <w:spacing w:before="120" w:after="40"/>
      </w:pPr>
      <w:r>
        <w:rPr>
          <w:b/>
          <w:color w:val="1D1D1F"/>
          <w:sz w:val="23"/>
        </w:rPr>
        <w:t>5.1 Modelo de Poisson</w:t>
      </w:r>
    </w:p>
    <w:p>
      <w:pPr>
        <w:spacing w:after="80"/>
        <w:jc w:val="both"/>
      </w:pPr>
      <w:r>
        <w:rPr>
          <w:b w:val="0"/>
        </w:rPr>
        <w:t>Eventos de segurança são contagens raras e aproximadamente independentes no tempo — o modelo canônico é Poisson. Para o operador i com k_i eventos em t_i turnos, a estimativa de máxima verossimilhança da taxa é λ̂_i = k_i / t_i (eventos por turno). Em termos práticos: para cada operador, contamos quantas vezes ele foi flagrado e dividimos pelos turnos trabalhados — essa é a taxa média de eventos por turno.</w:t>
      </w:r>
    </w:p>
    <w:p>
      <w:pPr>
        <w:spacing w:before="120" w:after="40"/>
      </w:pPr>
      <w:r>
        <w:rPr>
          <w:b/>
          <w:color w:val="1D1D1F"/>
          <w:sz w:val="23"/>
        </w:rPr>
        <w:t>5.2 Predição</w:t>
      </w:r>
    </w:p>
    <w:p>
      <w:pPr>
        <w:spacing w:after="80"/>
        <w:jc w:val="both"/>
      </w:pPr>
      <w:r>
        <w:rPr>
          <w:b w:val="0"/>
        </w:rPr>
        <w:t>Probabilidade de pelo menos um evento no próximo turno: P(N ≥ 1) = 1 − e^(−λ̂_i) — obtida diretamente da distribuição de Poisson, sem depender do TLC. Para um horizonte de h turnos, 1 − e^(−λ̂_i·h). Com números: λ̂ = 1,5 ev/turno dá ≈ 78% de chance de ao menos um evento no próximo turno; λ̂ = 0,2 dá ≈ 18%.</w:t>
      </w:r>
    </w:p>
    <w:p>
      <w:pPr>
        <w:spacing w:before="120" w:after="40"/>
      </w:pPr>
      <w:r>
        <w:rPr>
          <w:b/>
          <w:color w:val="1D1D1F"/>
          <w:sz w:val="23"/>
        </w:rPr>
        <w:t>5.3 Incerteza pelo Teorema do Limite Central</w:t>
      </w:r>
    </w:p>
    <w:p>
      <w:pPr>
        <w:spacing w:after="80"/>
        <w:jc w:val="both"/>
      </w:pPr>
      <w:r>
        <w:rPr>
          <w:b w:val="0"/>
        </w:rPr>
        <w:t>Pense em cada turno como um sorteio com baixa chance de evento: somando muitos turnos, o total se comporta como uma curva de sino — é isso que o Teorema do Limite Central garante, e é o que nos permite medir a incerteza da taxa. Tecnicamente, o TLC não converte a distribuição dos eventos em uma normal; ele garante que a SOMA de muitos turnos independentes — e, portanto, o estimador da taxa λ̂_i = k_i/t_i — seja aproximadamente normal quando t_i é grande: λ̂_i ≈ Normal(λ, λ/t_i). Como na Poisson a variância é igual à média, o desvio-padrão sai direto de λ. Daí o intervalo de confiança de 95%: λ̂_i ± 1,96·√(λ̂_i/t_i) — uma faixa, não um número cravado (quanto menos dados, mais larga).</w:t>
      </w:r>
    </w:p>
    <w:p>
      <w:pPr>
        <w:spacing w:before="120" w:after="40"/>
      </w:pPr>
      <w:r>
        <w:rPr>
          <w:b/>
          <w:color w:val="1D1D1F"/>
          <w:sz w:val="23"/>
        </w:rPr>
        <w:t>5.4 Validação por teste de hipóteses</w:t>
      </w:r>
    </w:p>
    <w:p>
      <w:pPr>
        <w:spacing w:after="80"/>
        <w:jc w:val="both"/>
      </w:pPr>
      <w:r>
        <w:rPr>
          <w:b w:val="0"/>
        </w:rPr>
        <w:t>Para separar sinal de ruído, testamos H0: λ_i = λ0 (linha de base do grupo) contra H1: λ_i &gt; λ0. Sob H0, k_i ~ Poisson(λ0·t_i). O p-valor PRINCIPAL é o exato de Poisson, P(K ≥ k_i | H0), que não depende de aproximação — essencial quando há poucos eventos; a aproximação normal do TLC entra apenas como reforço. Se p &lt; α (0,05), o operador está significativamente acima da base — e só então sugerimos intervenção dirigida. Em linguagem simples: perguntamos qual seria a chance de ver tantos eventos se o operador fosse igual à média do grupo; se for menor que 5%, é improvável que seja acaso — é sinal real, e aí recomendamos treino.</w:t>
      </w:r>
    </w:p>
    <w:p>
      <w:pPr>
        <w:spacing w:after="80"/>
        <w:jc w:val="both"/>
      </w:pPr>
      <w:r>
        <w:rPr>
          <w:b/>
        </w:rPr>
        <w:t xml:space="preserve">Resultado (roster da demo, λ0 = 0,447 ev/turno). </w:t>
      </w:r>
      <w:r>
        <w:rPr>
          <w:b w:val="0"/>
        </w:rPr>
        <w:t>OP-007 (λ̂ = 1,50; P = 78%; IC95% [1,06–1,94]; p &lt; 0,0001) e OP-009 (λ̂ = 0,77; P = 54%; p = 0,011) são sinalizados como risco Alto e significativo; OP-003 fica em Médio (λ̂ = 0,63; p = 0,087, não significativo) e os demais em Baixo. A recomendação é treinamento dirigido para os dois primeiros.</w:t>
      </w:r>
    </w:p>
    <w:p>
      <w:pPr>
        <w:spacing w:before="120" w:after="40"/>
      </w:pPr>
      <w:r>
        <w:rPr>
          <w:b/>
          <w:color w:val="1D1D1F"/>
          <w:sz w:val="23"/>
        </w:rPr>
        <w:t>5.5 Robustez: Poisson × Binomial Negativa (superdispersão)</w:t>
      </w:r>
    </w:p>
    <w:p>
      <w:pPr>
        <w:spacing w:after="80"/>
        <w:jc w:val="both"/>
      </w:pPr>
      <w:r>
        <w:t>A Poisson supõe equidispersão (variância = média). Quando os operadores são heterogêneos — poucos concentram quase todas as ocorrências — a variância fica acima da média (superdispersão) e a Poisson pura ficaria confiante demais (intervalos estreitos, p-valores otimistas). Por isso o motor mede o índice de dispersão de Pearson φ = (1/gl)·Σ (kᵢ − λ₀·tᵢ)² / (λ₀·tᵢ). Se φ ≈ 1, mantém-se a Poisson (modelo mais parcimonioso); se φ &gt; 1,5, o motor escala para a Binomial Negativa / quasi-Poisson: alarga os intervalos de confiança por √φ e usa um p-valor robusto na decisão de significância — assim nunca fica confiante demais.</w:t>
      </w:r>
    </w:p>
    <w:p>
      <w:pPr>
        <w:spacing w:after="80"/>
        <w:jc w:val="both"/>
      </w:pPr>
      <w:r>
        <w:rPr>
          <w:b/>
        </w:rPr>
        <w:t xml:space="preserve">Não são opostas, são aninhadas. </w:t>
      </w:r>
      <w:r>
        <w:t>A Binomial Negativa (Pascal) é a Poisson com taxa que varia de operador para operador (mistura Poisson–Gama), o que produz variância maior que a média; a Poisson é o caso particular sem dispersão extra. Começa-se pela mais simples e ativa-se a Binomial Negativa só quando os próprios dados pedem. O dashboard exibe o selo “Poisson validada” ou “Binomial Negativa ativada” e, por operador, a coluna Modelo e o p-valor robusto.</w:t>
      </w:r>
    </w:p>
    <w:p>
      <w:pPr>
        <w:spacing w:before="120" w:after="40"/>
      </w:pPr>
      <w:r>
        <w:rPr>
          <w:b/>
          <w:color w:val="1D1D1F"/>
          <w:sz w:val="23"/>
        </w:rPr>
        <w:t>5.6 Tempo de espera: quando o próximo incidente (Geométrica = Binomial Negativa, r = 1)</w:t>
      </w:r>
    </w:p>
    <w:p>
      <w:pPr>
        <w:spacing w:after="80"/>
        <w:jc w:val="both"/>
      </w:pPr>
      <w:r>
        <w:t>A Poisson responde qual a probabilidade no próximo turno; a Binomial Negativa responde também em quantos turnos o próximo incidente tende a ocorrer. Tratando cada turno como um ensaio de Bernoulli cujo “sucesso” é ter ≥1 evento (probabilidade p = 1 − e^(−λ̂)), o número de turnos até o próximo incidente segue a Geométrica — que é a Pascal/Binomial Negativa com r = 1 (“nº de tentativas até o 1º sucesso”): E[turnos até o próximo] = 1/p e P(≥1 incidente em m turnos) = 1 − (1 − p)^m.</w:t>
      </w:r>
    </w:p>
    <w:p>
      <w:pPr>
        <w:spacing w:after="80"/>
        <w:jc w:val="both"/>
      </w:pPr>
      <w:r>
        <w:t>A faixa otimista–pessimista usa o intervalo de confiança robusto de λ̂ (já alargado por √φ): taxa maior implica espera menor, e vice-versa. Assim o mesmo modelo entrega as duas metades da decisão preventiva — a probabilidade (quem está em risco) e o tempo (quando agir). No dashboard, a linha de destaque “Próximo incidente previsto para OP-XXX em ~N turnos”.</w:t>
      </w:r>
    </w:p>
    <w:p>
      <w:pPr>
        <w:spacing w:before="120" w:after="40"/>
      </w:pPr>
      <w:r>
        <w:rPr>
          <w:b/>
          <w:color w:val="1D1D1F"/>
          <w:sz w:val="23"/>
        </w:rPr>
        <w:t>5.7 Risco por área — sugestão da IA, decisão do gestor</w:t>
      </w:r>
    </w:p>
    <w:p>
      <w:pPr>
        <w:spacing w:after="80"/>
        <w:jc w:val="both"/>
      </w:pPr>
      <w:r>
        <w:rPr>
          <w:b w:val="0"/>
        </w:rPr>
        <w:t>A mesma matemática, agregada por área, sugere o nível de risco de cada setor. Na demo: Prensa = Alto (taxa 2,39× a base, p &lt; 0,0001), Pintura = Médio, e Solda/Montagem/Expedição = Baixo. A sugestão é apresentada como recomendação da IA; a classificação final é sempre do gestor, que aceita ou sobrepõe manualmente. IA como copiloto, não como juiz.</w:t>
      </w:r>
    </w:p>
    <w:p>
      <w:pPr>
        <w:spacing w:before="120" w:after="40"/>
      </w:pPr>
      <w:r>
        <w:rPr>
          <w:b/>
          <w:color w:val="1D1D1F"/>
          <w:sz w:val="23"/>
        </w:rPr>
        <w:t>5.8 Estímulos out of the box (gamificação e feedback)</w:t>
      </w:r>
    </w:p>
    <w:p>
      <w:pPr>
        <w:pStyle w:val="ListBullet"/>
        <w:spacing w:after="40"/>
      </w:pPr>
      <w:r>
        <w:rPr>
          <w:b/>
        </w:rPr>
        <w:t xml:space="preserve">Gamificação positiva: </w:t>
      </w:r>
      <w:r>
        <w:t>placar que premia conformidade, sequências limpas e selos — celebra o acerto, nunca ranqueia quem mais infringe.</w:t>
      </w:r>
    </w:p>
    <w:p>
      <w:pPr>
        <w:pStyle w:val="ListBullet"/>
        <w:spacing w:after="40"/>
      </w:pPr>
      <w:r>
        <w:rPr>
          <w:b/>
        </w:rPr>
        <w:t xml:space="preserve">Feedback educativo personalizado: </w:t>
      </w:r>
      <w:r>
        <w:t>para cada operador, a microorientação ancorada na NR do seu ponto fraco dominante — o treino dirigido com conteúdo concreto.</w:t>
      </w:r>
    </w:p>
    <w:p>
      <w:pPr>
        <w:pStyle w:val="ListBullet"/>
        <w:spacing w:after="40"/>
      </w:pPr>
      <w:r>
        <w:rPr>
          <w:b/>
        </w:rPr>
        <w:t xml:space="preserve">Wearable: </w:t>
      </w:r>
      <w:r>
        <w:t>o próprio cinto ESP32 (vibração + som) é o alerta tátil no campo, integrado ao pipeline.</w:t>
      </w:r>
    </w:p>
    <w:p>
      <w:pPr>
        <w:spacing w:before="120" w:after="40"/>
      </w:pPr>
      <w:r>
        <w:rPr>
          <w:b/>
          <w:color w:val="1D1D1F"/>
          <w:sz w:val="23"/>
        </w:rPr>
        <w:t>5.9 Privacidade, honestidade e limitações</w:t>
      </w:r>
    </w:p>
    <w:p>
      <w:pPr>
        <w:pStyle w:val="ListBullet"/>
        <w:spacing w:after="40"/>
      </w:pPr>
      <w:r>
        <w:rPr>
          <w:b/>
        </w:rPr>
        <w:t xml:space="preserve">LGPD: </w:t>
      </w:r>
      <w:r>
        <w:t>identidade anonimizada (crachá/QR → OP-XXX). O índice é por operador/turno, sem expor a pessoa.</w:t>
      </w:r>
    </w:p>
    <w:p>
      <w:pPr>
        <w:pStyle w:val="ListBullet"/>
        <w:spacing w:after="40"/>
      </w:pPr>
      <w:r>
        <w:rPr>
          <w:b/>
        </w:rPr>
        <w:t xml:space="preserve">Suposições: </w:t>
      </w:r>
      <w:r>
        <w:t>o Poisson assume taxa constante e independência; mudanças de processo ou sazonalidade exigem reestimar λ. O teste é unilateral e admite correção de múltiplas comparações.</w:t>
      </w:r>
    </w:p>
    <w:p>
      <w:pPr>
        <w:pStyle w:val="ListBullet"/>
        <w:spacing w:after="40"/>
      </w:pPr>
      <w:r>
        <w:rPr>
          <w:b/>
        </w:rPr>
        <w:t xml:space="preserve">Dados: </w:t>
      </w:r>
      <w:r>
        <w:t>para a banca usamos um roster sintético realista; o mesmo motor ingere os eventos reais logados ao vivo (mesma EventStore) — o dashboard é alimentado com dado real na hora.</w:t>
      </w:r>
    </w:p>
    <w:p>
      <w:pPr>
        <w:spacing w:before="200" w:after="60"/>
      </w:pPr>
      <w:r>
        <w:rPr>
          <w:b/>
          <w:color w:val="0071E3"/>
          <w:sz w:val="28"/>
        </w:rPr>
        <w:t>6. Métricas da Fase 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3216"/>
        <w:gridCol w:w="3216"/>
        <w:gridCol w:w="3216"/>
      </w:tblGrid>
      <w:tr>
        <w:tc>
          <w:tcPr>
            <w:tcW w:type="dxa" w:w="3024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216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Meta (descritivo)</w:t>
            </w:r>
          </w:p>
        </w:tc>
        <w:tc>
          <w:tcPr>
            <w:tcW w:type="dxa" w:w="4608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Medido / como medimos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b/>
                <w:sz w:val="19"/>
              </w:rPr>
              <w:t>Latência E2E crítica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9"/>
              </w:rPr>
              <w:t>≤ 1 s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9"/>
              </w:rPr>
              <w:t>83–180 ms (medido: POST do servidor ao cinto ESP32).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b/>
                <w:sz w:val="19"/>
              </w:rPr>
              <w:t>Latência E2E alta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9"/>
              </w:rPr>
              <w:t>≤ 5 s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9"/>
              </w:rPr>
              <w:t>Captura → atualização no dashboard (fetch de 15 s do painel).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b/>
                <w:sz w:val="19"/>
              </w:rPr>
              <w:t>Retorno ao verde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9"/>
              </w:rPr>
              <w:t>Imediato ao ficar conforme (push CONFORME); auto-clear de segurança.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>
              <w:rPr>
                <w:b/>
                <w:sz w:val="19"/>
              </w:rPr>
              <w:t>Taxa de alerta efetivo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sz w:val="19"/>
              </w:rPr>
              <w:t>≥ 0,90</w:t>
            </w:r>
          </w:p>
        </w:tc>
        <w:tc>
          <w:tcPr>
            <w:tcW w:type="dxa" w:w="4608"/>
          </w:tcPr>
          <w:p>
            <w:pPr>
              <w:spacing w:after="20"/>
            </w:pPr>
            <w:r>
              <w:rPr>
                <w:sz w:val="19"/>
              </w:rPr>
              <w:t>% de alertas crítico/alto que correspondem a evento real.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7. Como executar</w:t>
      </w:r>
    </w:p>
    <w:p>
      <w:pPr>
        <w:pStyle w:val="ListBullet"/>
        <w:spacing w:after="40"/>
      </w:pPr>
      <w:r>
        <w:rPr>
          <w:b/>
        </w:rPr>
        <w:t xml:space="preserve">Dashboard preditivo: </w:t>
      </w:r>
      <w:r>
        <w:t>run_dashboard.bat (popula dados sintéticos na 1ª execução; http://localhost:5005). Auto-teste sem câmera: run_selftest.bat (15/15).</w:t>
      </w:r>
    </w:p>
    <w:p>
      <w:pPr>
        <w:pStyle w:val="ListBullet"/>
        <w:spacing w:after="40"/>
      </w:pPr>
      <w:r>
        <w:rPr>
          <w:b/>
        </w:rPr>
        <w:t xml:space="preserve">Detecção ao vivo + ingestão: </w:t>
      </w:r>
      <w:r>
        <w:t>run_demo.bat (câmera, envia eventos reais ao dashboard, atribuídos ao operador ativo).</w:t>
      </w:r>
    </w:p>
    <w:p>
      <w:pPr>
        <w:pStyle w:val="ListBullet"/>
        <w:spacing w:after="40"/>
      </w:pPr>
      <w:r>
        <w:rPr>
          <w:b/>
        </w:rPr>
        <w:t xml:space="preserve">Cinto: </w:t>
      </w:r>
      <w:r>
        <w:t>grave firmware/tortuga_esp32 no ESP32, descubra o IP (Serial) e registre com set_esp.bat; teste o hardware com run_esp_test.bat.</w:t>
      </w:r>
    </w:p>
    <w:p>
      <w:pPr>
        <w:pStyle w:val="ListBullet"/>
        <w:spacing w:after="40"/>
      </w:pPr>
      <w:r>
        <w:rPr>
          <w:b/>
        </w:rPr>
        <w:t xml:space="preserve">Check-in por QR: </w:t>
      </w:r>
      <w:r>
        <w:t>run_checkin.bat gera os QR apontando para o IP do PC; o operador escaneia no início do turno.</w:t>
      </w:r>
    </w:p>
    <w:p>
      <w:pPr>
        <w:pStyle w:val="ListBullet"/>
        <w:spacing w:after="40"/>
      </w:pPr>
      <w:r>
        <w:rPr>
          <w:b/>
        </w:rPr>
        <w:t xml:space="preserve">Auditoria: </w:t>
      </w:r>
      <w:r>
        <w:t>run_audit.bat exporta a trilha assinada (CSV + HTML).</w:t>
      </w:r>
    </w:p>
    <w:p>
      <w:pPr>
        <w:spacing w:before="200" w:after="60"/>
      </w:pPr>
      <w:r>
        <w:rPr>
          <w:b/>
          <w:color w:val="0071E3"/>
          <w:sz w:val="28"/>
        </w:rPr>
        <w:t>8. Identificação por QR, perfis e zonas (evolução pós-Banca 2)</w:t>
      </w:r>
    </w:p>
    <w:p>
      <w:pPr>
        <w:spacing w:after="80"/>
        <w:jc w:val="both"/>
      </w:pPr>
      <w:r>
        <w:rPr>
          <w:b w:val="0"/>
        </w:rPr>
        <w:t>Atendendo aos apontamentos da Banca 2, quatro capacidades foram consolidadas, todas com o princípio de processar no servidor e manter o ESP32 mínimo (bateria de 1–2 pilhas AA durando o turno).</w:t>
      </w:r>
    </w:p>
    <w:p>
      <w:pPr>
        <w:spacing w:before="120" w:after="40"/>
      </w:pPr>
      <w:r>
        <w:rPr>
          <w:b/>
          <w:color w:val="1D1D1F"/>
          <w:sz w:val="23"/>
        </w:rPr>
        <w:t>8.1 Identificação por QR (escalável)</w:t>
      </w:r>
    </w:p>
    <w:p>
      <w:pPr>
        <w:spacing w:after="80"/>
        <w:jc w:val="both"/>
      </w:pPr>
      <w:r>
        <w:rPr>
          <w:b w:val="0"/>
        </w:rPr>
        <w:t>No início do turno o operador escaneia, com o celular, o QR impresso no cinto (device_id) e confirma quem é. O celular fala com o SERVIDOR (não com o ESP), que amarra operador–cinto–estação. Escala para milhares de operadores sem intervenção do gestor e sem consumo extra no cinto.</w:t>
      </w:r>
    </w:p>
    <w:p>
      <w:pPr>
        <w:spacing w:before="120" w:after="40"/>
      </w:pPr>
      <w:r>
        <w:rPr>
          <w:b/>
          <w:color w:val="1D1D1F"/>
          <w:sz w:val="23"/>
        </w:rPr>
        <w:t>8.2 Perfis por operador</w:t>
      </w:r>
    </w:p>
    <w:p>
      <w:pPr>
        <w:spacing w:after="80"/>
        <w:jc w:val="both"/>
      </w:pPr>
      <w:r>
        <w:rPr>
          <w:b w:val="0"/>
        </w:rPr>
        <w:t>Cada perfil define quais EPIs o sistema monitora para aquele operador, configuráveis pelo gestor. Operadores em setores diferentes recebem regras diferentes, mesmo compartilhando cintos entre os 3 turnos. A sensibilidade do detector (limiar de confiança do YOLO) NÃO faz parte do perfil: ela é calibração da câmera e fica na estação — ver 8.5.</w:t>
      </w:r>
    </w:p>
    <w:p>
      <w:pPr>
        <w:spacing w:before="120" w:after="40"/>
      </w:pPr>
      <w:r>
        <w:rPr>
          <w:b/>
          <w:color w:val="1D1D1F"/>
          <w:sz w:val="23"/>
        </w:rPr>
        <w:t>8.3 Zonas de risco configuráveis por nível (ao vivo)</w:t>
      </w:r>
    </w:p>
    <w:p>
      <w:pPr>
        <w:spacing w:after="80"/>
        <w:jc w:val="both"/>
      </w:pPr>
      <w:r>
        <w:rPr>
          <w:b w:val="0"/>
        </w:rPr>
        <w:t>O gestor desenha polígonos na interface e atribui um nível de severidade a cada zona. As coordenadas são salvas em proporção e renderizadas sobre o vídeo; a entrada na zona aciona o alerta no nível definido. As zonas recarregam ao vivo (~5 s) — desenhar uma zona aparece no vídeo sem reiniciar.</w:t>
      </w:r>
    </w:p>
    <w:p>
      <w:pPr>
        <w:spacing w:before="120" w:after="40"/>
      </w:pPr>
      <w:r>
        <w:rPr>
          <w:b/>
          <w:color w:val="1D1D1F"/>
          <w:sz w:val="23"/>
        </w:rPr>
        <w:t>8.4 Ingestão de dados reais ao vivo</w:t>
      </w:r>
    </w:p>
    <w:p>
      <w:pPr>
        <w:spacing w:after="80"/>
        <w:jc w:val="both"/>
      </w:pPr>
      <w:r>
        <w:rPr>
          <w:b w:val="0"/>
        </w:rPr>
        <w:t>O sistema de visão envia cada evento detectado ao endpoint de ingestão, que o atribui automaticamente ao operador ativo na estação (resolvido pelo check-in via QR) e, se for evento de campo, faz push imediato ao cinto. Na banca, o histórico dá a base estatística e os eventos capturados ao vivo entram na hora, provando a operação com dados reais.</w:t>
      </w:r>
    </w:p>
    <w:p>
      <w:pPr>
        <w:spacing w:before="120" w:after="40"/>
      </w:pPr>
      <w:r>
        <w:rPr>
          <w:b/>
          <w:color w:val="1D1D1F"/>
          <w:sz w:val="23"/>
        </w:rPr>
        <w:t>8.5 Calibração do detector e validade da comparação estatística</w:t>
      </w:r>
    </w:p>
    <w:p>
      <w:pPr>
        <w:spacing w:after="80"/>
        <w:jc w:val="both"/>
      </w:pPr>
      <w:r>
        <w:t>O limiar de confiança do YOLO é propriedade do arranjo óptico — câmera, iluminação, distância e ângulo — e não do trabalhador. Por isso ele é configurado por ESTAÇÃO, e não por operador: todos os operadores que passam pela mesma câmera são medidos com o mesmo instrumento. Essa é a condição para que o teste de hipóteses seja legítimo, já que todos os operadores são comparados contra uma mesma linha de base λ0; limiares distintos por pessoa produziriam diferenças de contagem de origem puramente instrumental e sinalizariam operadores por configuração, não por comportamento.</w:t>
      </w:r>
    </w:p>
    <w:p>
      <w:pPr>
        <w:spacing w:after="80"/>
        <w:jc w:val="both"/>
      </w:pPr>
      <w:r>
        <w:t>O sentido do ajuste merece atenção porque é contraintuitivo. Como o modelo é de classes só-positivas, um EPI que não for detectado é contabilizado como ausente. Elevar o limiar torna o detector mais exigente, reduz o reconhecimento de EPIs legítimos e portanto AUMENTA as violações registradas; reduzi-lo mascara violações reais. Em ambos os casos a taxa observada λ̂ se desloca sem qualquer mudança de comportamento, de modo que o limiar deve ser tratado como parte do protocolo de medição: fixado durante o período analisado, uniforme entre os operadores comparados e com a linha de base recalibrada após cada alteração.</w:t>
      </w:r>
    </w:p>
    <w:p>
      <w:pPr>
        <w:spacing w:after="80"/>
        <w:jc w:val="both"/>
      </w:pPr>
      <w:r>
        <w:t>Para tornar isso auditável, cada evento registra o limiar vigente no momento da medição, valor que também integra a trilha de auditoria encadeada por hash. Assim é possível segmentar a análise por período de calibração e demonstrar que a comparação entre operadores permanece válida. A interface de configuração exibe esse alerta ao gestor, de modo que o sistema não depende de o usuário dominar a estatística subjacente para operá-lo com segurança.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