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b/>
          <w:bCs/>
          <w:color w:val="C2700A"/>
          <w:sz w:val="34"/>
          <w:szCs w:val="34"/>
        </w:rPr>
        <w:t xml:space="preserve">FASE 3 — Notificação Inteligente</w:t>
      </w:r>
    </w:p>
    <w:p>
      <w:pPr>
        <w:spacing w:after="30"/>
        <w:jc w:val="center"/>
      </w:pPr>
      <w:r>
        <w:rPr>
          <w:b/>
          <w:bCs/>
          <w:sz w:val="22"/>
          <w:szCs w:val="22"/>
        </w:rPr>
        <w:t xml:space="preserve">Política de severidade, canais, UX e análise preditiva de risco</w:t>
      </w:r>
    </w:p>
    <w:p>
      <w:pPr>
        <w:spacing w:after="220"/>
        <w:jc w:val="center"/>
      </w:pPr>
      <w:r>
        <w:rPr>
          <w:color w:val="666666"/>
          <w:sz w:val="18"/>
          <w:szCs w:val="18"/>
        </w:rPr>
        <w:t xml:space="preserve">Projeto Tortuga · Innovation Challenge CUP 2026 · FIAP × SPI</w:t>
      </w:r>
    </w:p>
    <w:p>
      <w:pPr>
        <w:pStyle w:val="Heading1"/>
      </w:pPr>
      <w:r>
        <w:t xml:space="preserve">1. Visão geral</w:t>
      </w:r>
    </w:p>
    <w:p>
      <w:pPr>
        <w:spacing w:after="120"/>
        <w:jc w:val="both"/>
      </w:pPr>
      <w:r>
        <w:rPr>
          <w:sz w:val="21"/>
          <w:szCs w:val="21"/>
        </w:rPr>
        <w:t xml:space="preserve">A Fase 3 é onde a inteligência sai do modelo e chega ao mundo: cada ocorrência detectada nas Fases 1 e 2 é classificada por severidade e roteada ao público certo, no canal certo, com a urgência certa. Mais do que reagir, o sistema passa a antecipar: um motor de análise preditiva estima a probabilidade de cada operador sofrer um incidente e valida estatisticamente quem precisa de ação pedagógica preventiva. A arquitetura tem três blocos — política de severidade, camada de notificação (campo + gestão) e dashboard preditivo SSMA.</w:t>
      </w:r>
    </w:p>
    <w:p>
      <w:pPr>
        <w:pStyle w:val="Heading1"/>
      </w:pPr>
      <w:r>
        <w:t xml:space="preserve">2. Política de severidade</w:t>
      </w:r>
    </w:p>
    <w:p>
      <w:pPr>
        <w:spacing w:after="120"/>
        <w:jc w:val="both"/>
      </w:pPr>
      <w:r>
        <w:rPr>
          <w:sz w:val="21"/>
          <w:szCs w:val="21"/>
        </w:rPr>
        <w:t xml:space="preserve">Nem toda detecção justifica o mesmo alerta. A severidade decide canal e prazo, evitando fadiga de alerta sem deixar passar o que é crítico.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4360"/>
        <w:gridCol w:w="2300"/>
        <w:gridCol w:w="1200"/>
      </w:tblGrid>
      <w:tr>
        <w:trPr>
          <w:tblHeader/>
        </w:trP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7EC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Nível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7EC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Critério (exemplos)</w:t>
            </w:r>
          </w:p>
        </w:tc>
        <w:tc>
          <w:tcPr>
            <w:tcW w:type="dxa" w:w="2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7EC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Canais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7EC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Latência-alvo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Crítica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Queda, zona crítica, ausência de cinto em altura (NR-35).</w:t>
            </w:r>
          </w:p>
        </w:tc>
        <w:tc>
          <w:tcPr>
            <w:tcW w:type="dxa" w:w="2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Sonoro + visual + push + log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&lt; 1 s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Alta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EPI obrigatório ausente em zona ativa; postura de risco persistente; aproximação de zona perigosa.</w:t>
            </w:r>
          </w:p>
        </w:tc>
        <w:tc>
          <w:tcPr>
            <w:tcW w:type="dxa" w:w="2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Visual no campo + dashboard + log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&lt; 5 s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Informativa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Postura ergonômica, fadiga, recomendações educativas.</w:t>
            </w:r>
          </w:p>
        </w:tc>
        <w:tc>
          <w:tcPr>
            <w:tcW w:type="dxa" w:w="2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Dashboard / relatório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Sem interrupção</w:t>
            </w:r>
          </w:p>
        </w:tc>
      </w:tr>
    </w:tbl>
    <w:p>
      <w:pPr>
        <w:spacing w:after="120"/>
        <w:jc w:val="both"/>
      </w:pPr>
      <w:r>
        <w:rPr>
          <w:i w:val="false"/>
          <w:iCs w:val="false"/>
          <w:sz w:val="21"/>
          <w:szCs w:val="21"/>
        </w:rPr>
        <w:t xml:space="preserve">Justificativa das fronteiras: o critério é a consequência potencial à integridade física. Risco imediato (queda) exige redundância sonora e tátil em menos de 1 s — mais rápido que a reação humana. Violação de EPI é importante, mas não instantânea: alerta de campo + registro em até 5 s. O informativo nunca interrompe a operação — vira tendência no dashboard. Em segurança, priorizamos recall sobre precision no nível crítico: é preferível um alerta a mais do que uma queda não detectada.</w:t>
      </w:r>
    </w:p>
    <w:p>
      <w:pPr>
        <w:pStyle w:val="Heading1"/>
      </w:pPr>
      <w:r>
        <w:t xml:space="preserve">3. Canais de notificação</w:t>
      </w:r>
    </w:p>
    <w:p>
      <w:pPr>
        <w:spacing w:after="120"/>
        <w:jc w:val="both"/>
      </w:pPr>
      <w:r>
        <w:rPr>
          <w:sz w:val="21"/>
          <w:szCs w:val="21"/>
        </w:rPr>
        <w:t xml:space="preserve">Oferecemos dois canais distintos, um perceptível no campo pelo operador e um para a gestão — atendendo ao escopo mínimo da fase.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2000"/>
        <w:gridCol w:w="2900"/>
        <w:gridCol w:w="2760"/>
      </w:tblGrid>
      <w:tr>
        <w:trPr>
          <w:tblHeader/>
        </w:trP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7EC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Canal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7EC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Público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7EC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Meio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7EC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Justificativa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Cinto ESP32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Operador no posto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OLED + LED + buzzer + vibração (HTTP)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Feedback imediato e tátil: o operador se corrige sozinho, sem depender de tela.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Dashboard SSMA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Gestão / supervisão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Web (Flask)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Visão consolidada, histórico, severidade e o ranking preditivo de risco.</w:t>
            </w:r>
          </w:p>
        </w:tc>
      </w:tr>
    </w:tbl>
    <w:p>
      <w:pPr>
        <w:spacing w:after="120"/>
        <w:jc w:val="both"/>
      </w:pPr>
      <w:r>
        <w:rPr>
          <w:sz w:val="21"/>
          <w:szCs w:val="21"/>
        </w:rPr>
        <w:t xml:space="preserve">O nó de borda (ESP32) leva o veredito ao chão de fábrica sem depender da nuvem: LED verde/vermelho legível à distância, OLED com a mensagem, buzzer e motor de vibração no cinto com padrão proporcional à severidade. A vibração inclui o trabalhador que usa protetor auricular — o próprio sistema sabe que ele o usa (Fase 1).</w:t>
      </w:r>
    </w:p>
    <w:p>
      <w:pPr>
        <w:pStyle w:val="Heading1"/>
      </w:pPr>
      <w:r>
        <w:t xml:space="preserve">4. UX e linguagem (chão de fábrica)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Redundância: alerta crítico usa dois canais simultâneos (sonoro + visual + tátil) — ambiente ruidoso e com EPI.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Hierarquia visual: vermelho piscante para crítico, fixo para alto, verde para conformidade.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Inclusão: quem usa protetor auricular vê (OLED/LED) e sente (vibração); quem olha a peça ouve.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punição: a mensagem é educativa — “Capacete necessário nesta área”, não “Você está infringindo a norma”. O dashboard celebra conformidade (KPI de turnos sem evento), não rankings de quem mais infringe.</w:t>
      </w:r>
    </w:p>
    <w:p>
      <w:pPr>
        <w:pStyle w:val="Heading1"/>
        <w:pageBreakBefore/>
      </w:pPr>
      <w:r>
        <w:t xml:space="preserve">5. Diferencial: análise preditiva de risco (ciência de dados)</w:t>
      </w:r>
    </w:p>
    <w:p>
      <w:pPr>
        <w:spacing w:after="120"/>
        <w:jc w:val="both"/>
      </w:pPr>
      <w:r>
        <w:rPr>
          <w:sz w:val="21"/>
          <w:szCs w:val="21"/>
        </w:rPr>
        <w:t xml:space="preserve">Em vez de só contar violações, modelamos a TAXA de eventos de cada operador e prevemos a probabilidade de um incidente no próximo turno — e validamos estatisticamente quem está acima da média. Assim o gestor age com base em sinal, não em ruído, de forma pedagógica (treinamento dirigido).</w:t>
      </w:r>
    </w:p>
    <w:p>
      <w:pPr>
        <w:pStyle w:val="Heading2"/>
      </w:pPr>
      <w:r>
        <w:t xml:space="preserve">5.1 Modelo de Poisson</w:t>
      </w:r>
    </w:p>
    <w:p>
      <w:pPr>
        <w:spacing w:after="120"/>
        <w:jc w:val="both"/>
      </w:pPr>
      <w:r>
        <w:rPr>
          <w:sz w:val="21"/>
          <w:szCs w:val="21"/>
        </w:rPr>
        <w:t xml:space="preserve">Eventos de segurança são contagens raras e aproximadamente independentes no tempo — o modelo canônico é Poisson. Para o operador i com k_i eventos em t_i turnos, a estimativa de máxima verossimilhança da taxa é λ̂_i = k_i / t_i (eventos por turno).</w:t>
      </w:r>
    </w:p>
    <w:p>
      <w:pPr>
        <w:pStyle w:val="Heading2"/>
      </w:pPr>
      <w:r>
        <w:t xml:space="preserve">5.2 Predição</w:t>
      </w:r>
    </w:p>
    <w:p>
      <w:pPr>
        <w:spacing w:after="120"/>
        <w:jc w:val="both"/>
      </w:pPr>
      <w:r>
        <w:rPr>
          <w:sz w:val="21"/>
          <w:szCs w:val="21"/>
        </w:rPr>
        <w:t xml:space="preserve">Probabilidade de pelo menos um evento no próximo turno: P(N ≥ 1) = 1 − e^(−λ̂_i). Para um horizonte de h turnos, 1 − e^(−λ̂_i·h).</w:t>
      </w:r>
    </w:p>
    <w:p>
      <w:pPr>
        <w:pStyle w:val="Heading2"/>
      </w:pPr>
      <w:r>
        <w:t xml:space="preserve">5.3 Incerteza pelo Teorema do Limite Central</w:t>
      </w:r>
    </w:p>
    <w:p>
      <w:pPr>
        <w:spacing w:after="120"/>
        <w:jc w:val="both"/>
      </w:pPr>
      <w:r>
        <w:rPr>
          <w:sz w:val="21"/>
          <w:szCs w:val="21"/>
        </w:rPr>
        <w:t xml:space="preserve">Para t_i grande, λ̂_i aproxima-se de uma Normal(λ, λ/t_i). O intervalo de confiança de 95% é λ̂_i ± 1,96·√(λ̂_i/t_i): mostramos uma faixa, não um número cravado — quanto menos dados, mais larga a faixa.</w:t>
      </w:r>
    </w:p>
    <w:p>
      <w:pPr>
        <w:pStyle w:val="Heading2"/>
      </w:pPr>
      <w:r>
        <w:t xml:space="preserve">5.4 Validação por teste de hipóteses</w:t>
      </w:r>
    </w:p>
    <w:p>
      <w:pPr>
        <w:spacing w:after="120"/>
        <w:jc w:val="both"/>
      </w:pPr>
      <w:r>
        <w:rPr>
          <w:sz w:val="21"/>
          <w:szCs w:val="21"/>
        </w:rPr>
        <w:t xml:space="preserve">Para separar sinal de ruído, testamos H0: λ_i = λ0 (linha de base do grupo) contra H1: λ_i &gt; λ0. Sob H0, k_i ~ Poisson(λ0·t_i). Calculamos o p-valor exato de Poisson, P(K ≥ k_i | H0), e também a aproximação normal (TLC). Se p &lt; α (0,05), o operador está significativamente acima da base — e só então sugerimos intervenção dirigida. Operadores apenas um pouco acima da média, dentro da variação esperada, não são penalizados.</w:t>
      </w:r>
    </w:p>
    <w:p>
      <w:pPr>
        <w:spacing w:after="120"/>
        <w:jc w:val="both"/>
      </w:pPr>
      <w:r>
        <w:rPr>
          <w:i/>
          <w:iCs/>
          <w:sz w:val="21"/>
          <w:szCs w:val="21"/>
        </w:rPr>
        <w:t xml:space="preserve">Exemplo (dados da demo): com λ0 ≈ 0,45 ev/turno, OP-007 (λ̂ = 1,50; p &lt; 0,0001) e OP-009 (λ̂ = 0,77; p = 0,011) são sinalizados como risco alto e significativo; um terceiro operador fica em “Médio” (p = 0,09, não significativo) e os demais em “Baixo”. A recomendação é treinamento dirigido para os dois primeiros.</w:t>
      </w:r>
    </w:p>
    <w:p>
      <w:pPr>
        <w:pStyle w:val="Heading2"/>
      </w:pPr>
      <w:r>
        <w:t xml:space="preserve">5.5 Privacidade, honestidade e limitações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LGPD: a identidade é anonimizada (crachá/QR → OP-XXX). O índice é por operador/turno, sem expor a pessoa, e celebra conformidade em vez de punir.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Suposições: o Poisson assume taxa constante e independência; mudanças de processo ou sazonalidade exigem reestimar λ. O teste é unilateral e pode receber correção de múltiplas comparações.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Dados: para a banca usamos um roster sintético realista; o mesmo motor ingere os eventos reais que o sistema loga ao vivo (mesma EventStore).</w:t>
      </w:r>
    </w:p>
    <w:p>
      <w:pPr>
        <w:pStyle w:val="Heading1"/>
      </w:pPr>
      <w:r>
        <w:t xml:space="preserve">6. Métricas da Fase 3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1800"/>
        <w:gridCol w:w="4960"/>
      </w:tblGrid>
      <w:tr>
        <w:trPr>
          <w:tblHeader/>
        </w:trP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7EC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Métrica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7EC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Meta (descritivo)</w:t>
            </w:r>
          </w:p>
        </w:tc>
        <w:tc>
          <w:tcPr>
            <w:tcW w:type="dxa" w:w="4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7EC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Como medimos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Latência E2E crítica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≤ 1 s</w:t>
            </w:r>
          </w:p>
        </w:tc>
        <w:tc>
          <w:tcPr>
            <w:tcW w:type="dxa" w:w="4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Tempo do POST ao ESP32 (registrado no notifier).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Latência E2E alta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≤ 5 s</w:t>
            </w:r>
          </w:p>
        </w:tc>
        <w:tc>
          <w:tcPr>
            <w:tcW w:type="dxa" w:w="4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Captura → atualização no dashboard.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Disponibilidade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≥ 99%</w:t>
            </w:r>
          </w:p>
        </w:tc>
        <w:tc>
          <w:tcPr>
            <w:tcW w:type="dxa" w:w="4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Tempo em operação sem falha de notificação no ciclo de teste.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Taxa de alerta efetivo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≥ 0,90</w:t>
            </w:r>
          </w:p>
        </w:tc>
        <w:tc>
          <w:tcPr>
            <w:tcW w:type="dxa" w:w="4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% de alertas crítico/alto que correspondem a evento real.</w:t>
            </w:r>
          </w:p>
        </w:tc>
      </w:tr>
    </w:tbl>
    <w:p>
      <w:pPr>
        <w:pStyle w:val="Heading1"/>
      </w:pPr>
      <w:r>
        <w:t xml:space="preserve">7. Como executar</w:t>
      </w:r>
    </w:p>
    <w:p>
      <w:pPr>
        <w:spacing w:after="120"/>
        <w:jc w:val="both"/>
      </w:pPr>
      <w:r>
        <w:rPr>
          <w:sz w:val="21"/>
          <w:szCs w:val="21"/>
        </w:rPr>
        <w:t xml:space="preserve">Dashboard preditivo (sem câmera):</w:t>
      </w:r>
    </w:p>
    <w:p>
      <w:pPr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cd server &amp;&amp; pip install flask &amp;&amp; python dashboard.py</w:t>
      </w:r>
    </w:p>
    <w:p>
      <w:pPr>
        <w:spacing w:after="120"/>
        <w:jc w:val="both"/>
      </w:pPr>
      <w:r>
        <w:rPr>
          <w:sz w:val="21"/>
          <w:szCs w:val="21"/>
        </w:rPr>
        <w:t xml:space="preserve">Abra http://localhost:5005 (popula dados sintéticos na primeira execução). Para repopular: python dashboard.py --seed. Cinto: grave firmware/tortuga_esp32 no ESP32 e cadastre o IP em esp32_url da estação (ver firmware/README.md).</w:t>
      </w:r>
    </w:p>
    <w:p>
      <w:pPr>
        <w:pStyle w:val="Heading1"/>
        <w:pageBreakBefore/>
      </w:pPr>
      <w:r>
        <w:t xml:space="preserve">8. Identificacao por QR, perfis e zonas (evolucao pos-Banca 2)</w:t>
      </w:r>
    </w:p>
    <w:p>
      <w:pPr>
        <w:spacing w:after="120"/>
        <w:jc w:val="both"/>
      </w:pPr>
      <w:r>
        <w:rPr>
          <w:sz w:val="21"/>
          <w:szCs w:val="21"/>
        </w:rPr>
        <w:t xml:space="preserve">Atendendo aos apontamentos da Banca 2, tres capacidades foram adicionadas, todas com o principio de processar no servidor e manter o ESP32 minimo (bateria de 1-2 pilhas AA durando o turno).</w:t>
      </w:r>
    </w:p>
    <w:p>
      <w:pPr>
        <w:pStyle w:val="Heading2"/>
      </w:pPr>
      <w:r>
        <w:t xml:space="preserve">8.1 Identificacao por QR (escalavel)</w:t>
      </w:r>
    </w:p>
    <w:p>
      <w:pPr>
        <w:spacing w:after="120"/>
        <w:jc w:val="both"/>
      </w:pPr>
      <w:r>
        <w:rPr>
          <w:sz w:val="21"/>
          <w:szCs w:val="21"/>
        </w:rPr>
        <w:t xml:space="preserve">No inicio do turno o operador escaneia, com o celular, o QR impresso no cinto (device_id) e confirma quem e. O celular fala com o SERVIDOR (nao com o ESP), que amarra operador-cinto-estacao. Escala para milhares de operadores sem intervencao do gestor e sem consumo extra no cinto: o ESP permanece sem BLE e sem logica de perfil.</w:t>
      </w:r>
    </w:p>
    <w:p>
      <w:pPr>
        <w:pStyle w:val="Heading2"/>
      </w:pPr>
      <w:r>
        <w:t xml:space="preserve">8.2 Perfis por operador</w:t>
      </w:r>
    </w:p>
    <w:p>
      <w:pPr>
        <w:spacing w:after="120"/>
        <w:jc w:val="both"/>
      </w:pPr>
      <w:r>
        <w:rPr>
          <w:sz w:val="21"/>
          <w:szCs w:val="21"/>
        </w:rPr>
        <w:t xml:space="preserve">Cada perfil define quais EPIs o sistema monitora e a confianca minima do YOLO, configuraveis pelo gestor na interface. Operadores em setores diferentes (ex.: estamparia x controle de qualidade) recebem regras diferentes, mesmo compartilhando cintos entre os 3 turnos.</w:t>
      </w:r>
    </w:p>
    <w:p>
      <w:pPr>
        <w:pStyle w:val="Heading2"/>
      </w:pPr>
      <w:r>
        <w:t xml:space="preserve">8.3 Zonas de risco configuraveis por nivel</w:t>
      </w:r>
    </w:p>
    <w:p>
      <w:pPr>
        <w:spacing w:after="120"/>
        <w:jc w:val="both"/>
      </w:pPr>
      <w:r>
        <w:rPr>
          <w:sz w:val="21"/>
          <w:szCs w:val="21"/>
        </w:rPr>
        <w:t xml:space="preserve">O gestor desenha poligonos na interface e atribui um nivel de severidade a cada zona. As coordenadas sao salvas em proporcao e renderizadas sobre o video; a entrada na zona aciona o alerta no nivel definido.</w:t>
      </w:r>
    </w:p>
    <w:p>
      <w:pPr>
        <w:pStyle w:val="Heading2"/>
      </w:pPr>
      <w:r>
        <w:t xml:space="preserve">8.4 Ingestao de dados reais ao vivo</w:t>
      </w:r>
    </w:p>
    <w:p>
      <w:pPr>
        <w:spacing w:after="120"/>
        <w:jc w:val="both"/>
      </w:pPr>
      <w:r>
        <w:rPr>
          <w:sz w:val="21"/>
          <w:szCs w:val="21"/>
        </w:rPr>
        <w:t xml:space="preserve">O sistema de visao envia cada evento detectado ao endpoint de ingestao, que o atribui automaticamente ao operador ativo na estacao (resolvido pelo check-in via QR). Na banca, o historico da a base estatistica e os eventos capturados ao vivo entram na hora, provando a operacao com dados reais.</w:t>
      </w:r>
    </w:p>
    <w:sectPr>
      <w:footerReference w:type="default" r:id="rId7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88888"/>
        <w:sz w:val="16"/>
        <w:szCs w:val="16"/>
      </w:rPr>
      <w:t xml:space="preserve">Tortuga · Fase 3 — Notificação Inteligente · Página </w:t>
    </w:r>
    <w:r>
      <w:rPr>
        <w:color w:val="88888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2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40"/>
      <w:outlineLvl w:val="0"/>
    </w:pPr>
    <w:rPr>
      <w:rFonts w:ascii="Arial" w:cs="Arial" w:eastAsia="Arial" w:hAnsi="Arial"/>
      <w:b/>
      <w:bCs/>
      <w:color w:val="C2700A"/>
      <w:sz w:val="26"/>
      <w:szCs w:val="26"/>
    </w:rPr>
  </w:style>
  <w:style w:type="paragraph" w:styleId="Heading2">
    <w:name w:val="Heading 2"/>
    <w:basedOn w:val="Normal"/>
    <w:next w:val="Normal"/>
    <w:qFormat/>
    <w:pPr>
      <w:spacing w:after="70" w:before="140"/>
      <w:outlineLvl w:val="1"/>
    </w:pPr>
    <w:rPr>
      <w:rFonts w:ascii="Arial" w:cs="Arial" w:eastAsia="Arial" w:hAnsi="Arial"/>
      <w:b/>
      <w:bCs/>
      <w:color w:val="0E141C"/>
      <w:sz w:val="21"/>
      <w:szCs w:val="21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2026-06-23T22:17:31.899Z</dcterms:created>
  <dcterms:modified xsi:type="dcterms:W3CDTF">2026-06-23T22:17:31.900Z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