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1E3"/>
          <w:sz w:val="40"/>
        </w:rPr>
        <w:t>Documentação Técnica — Fase 3</w:t>
      </w:r>
    </w:p>
    <w:p>
      <w:pPr>
        <w:spacing w:after="20"/>
      </w:pPr>
      <w:r>
        <w:rPr>
          <w:b/>
          <w:color w:val="1D1D1F"/>
          <w:sz w:val="25"/>
        </w:rPr>
        <w:t>Sistema de Notificação Inteligente + Análise Preditiva de Risco</w:t>
      </w:r>
    </w:p>
    <w:p>
      <w:pPr>
        <w:spacing w:after="160"/>
      </w:pPr>
      <w:r>
        <w:rPr>
          <w:color w:val="6E6E73"/>
          <w:sz w:val="20"/>
        </w:rPr>
        <w:t>Projeto Tortuga · Innovation Challenge CUP 2026 · FIAP × SPI</w:t>
      </w:r>
    </w:p>
    <w:p>
      <w:pPr>
        <w:spacing w:before="200" w:after="60"/>
      </w:pPr>
      <w:r>
        <w:rPr>
          <w:b/>
          <w:color w:val="0071E3"/>
          <w:sz w:val="28"/>
        </w:rPr>
        <w:t>1. Visão geral</w:t>
      </w:r>
    </w:p>
    <w:p>
      <w:pPr>
        <w:spacing w:after="80"/>
        <w:jc w:val="both"/>
      </w:pPr>
      <w:r>
        <w:rPr>
          <w:b w:val="0"/>
        </w:rPr>
        <w:t>A Fase 3 é onde a inteligência sai do modelo e chega ao mundo: cada ocorrência detectada nas Fases 1 e 2 é classificada por severidade e roteada ao público certo, no canal certo, com a urgência certa. Mais do que reagir, o sistema antecipa: um motor de análise preditiva estima a probabilidade de cada operador sofrer um incidente e valida estatisticamente quem precisa de ação pedagógica preventiva. A arquitetura tem três blocos — política de severidade, camada de notificação (campo + gestão) e dashboard preditivo SSMA. Todo o estado vive no servidor; o cinto ESP32 é um nó de borda minimalista.</w:t>
      </w:r>
    </w:p>
    <w:p>
      <w:pPr>
        <w:spacing w:before="200" w:after="60"/>
      </w:pPr>
      <w:r>
        <w:rPr>
          <w:b/>
          <w:color w:val="0071E3"/>
          <w:sz w:val="28"/>
        </w:rPr>
        <w:t>2. Política de severidade</w:t>
      </w:r>
    </w:p>
    <w:p>
      <w:pPr>
        <w:spacing w:after="80"/>
        <w:jc w:val="both"/>
      </w:pPr>
      <w:r>
        <w:rPr>
          <w:b w:val="0"/>
        </w:rPr>
        <w:t>Nem toda detecção justifica o mesmo alerta. A severidade decide canal e prazo, evitando fadiga de alerta sem deixar passar o que é crítico.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Nível</w:t>
            </w:r>
          </w:p>
        </w:tc>
        <w:tc>
          <w:tcPr>
            <w:tcW w:type="dxa" w:w="475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Critério (exemplos)</w:t>
            </w:r>
          </w:p>
        </w:tc>
        <w:tc>
          <w:tcPr>
            <w:tcW w:type="dxa" w:w="288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Canais</w:t>
            </w:r>
          </w:p>
        </w:tc>
        <w:tc>
          <w:tcPr>
            <w:tcW w:type="dxa" w:w="144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Latência-alvo</w:t>
            </w:r>
          </w:p>
        </w:tc>
      </w:tr>
      <w:tr>
        <w:tc>
          <w:tcPr>
            <w:tcW w:type="dxa" w:w="1584"/>
          </w:tcPr>
          <w:p>
            <w:pPr>
              <w:spacing w:after="20"/>
            </w:pPr>
            <w:r>
              <w:rPr>
                <w:b/>
                <w:sz w:val="19"/>
              </w:rPr>
              <w:t>Crítica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9"/>
              </w:rPr>
              <w:t>Queda, zona crítica, ausência de cinto em altura (NR-35).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9"/>
              </w:rPr>
              <w:t>Sonoro + visual + tátil + log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9"/>
              </w:rPr>
              <w:t>&lt; 1 s</w:t>
            </w:r>
          </w:p>
        </w:tc>
      </w:tr>
      <w:tr>
        <w:tc>
          <w:tcPr>
            <w:tcW w:type="dxa" w:w="1584"/>
          </w:tcPr>
          <w:p>
            <w:pPr>
              <w:spacing w:after="20"/>
            </w:pPr>
            <w:r>
              <w:rPr>
                <w:b/>
                <w:sz w:val="19"/>
              </w:rPr>
              <w:t>Alta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9"/>
              </w:rPr>
              <w:t>EPI obrigatório ausente em zona ativa; postura de risco persistente.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9"/>
              </w:rPr>
              <w:t>Visual no campo + dashboard + log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9"/>
              </w:rPr>
              <w:t>&lt; 5 s</w:t>
            </w:r>
          </w:p>
        </w:tc>
      </w:tr>
      <w:tr>
        <w:tc>
          <w:tcPr>
            <w:tcW w:type="dxa" w:w="1584"/>
          </w:tcPr>
          <w:p>
            <w:pPr>
              <w:spacing w:after="20"/>
            </w:pPr>
            <w:r>
              <w:rPr>
                <w:b/>
                <w:sz w:val="19"/>
              </w:rPr>
              <w:t>Informativa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9"/>
              </w:rPr>
              <w:t>Postura ergonômica, fadiga, recomendações educativas.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9"/>
              </w:rPr>
              <w:t>Dashboard / relatório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9"/>
              </w:rPr>
              <w:t>Sem interrupção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>Justificativa das fronteiras: o critério é a consequência potencial à integridade física. Risco imediato (queda) exige redundância sonora e tátil em menos de 1 s — mais rápido que a reação humana. Violação de EPI é importante, mas não instantânea: alerta de campo + registro em até 5 s. O informativo nunca interrompe a operação. Em segurança, priorizamos recall sobre precision no nível crítico.</w:t>
      </w:r>
    </w:p>
    <w:p>
      <w:pPr>
        <w:spacing w:before="200" w:after="60"/>
      </w:pPr>
      <w:r>
        <w:rPr>
          <w:b/>
          <w:color w:val="0071E3"/>
          <w:sz w:val="28"/>
        </w:rPr>
        <w:t>3. Canais de notificação</w:t>
      </w:r>
    </w:p>
    <w:p>
      <w:pPr>
        <w:spacing w:after="80"/>
        <w:jc w:val="both"/>
      </w:pPr>
      <w:r>
        <w:rPr>
          <w:b w:val="0"/>
        </w:rPr>
        <w:t>Oferecemos dois canais distintos — um perceptível no campo pelo operador e um para a gestão — atendendo ao escopo mínimo da fase.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Canal</w:t>
            </w:r>
          </w:p>
        </w:tc>
        <w:tc>
          <w:tcPr>
            <w:tcW w:type="dxa" w:w="259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Público</w:t>
            </w:r>
          </w:p>
        </w:tc>
        <w:tc>
          <w:tcPr>
            <w:tcW w:type="dxa" w:w="37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Meio</w:t>
            </w:r>
          </w:p>
        </w:tc>
        <w:tc>
          <w:tcPr>
            <w:tcW w:type="dxa" w:w="37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Cinto ESP32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9"/>
              </w:rPr>
              <w:t>Operador no posto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OLED + LED + buzzer + vibração (HTTP)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Feedback imediato e tátil: o operador se corrige sozinho, sem depender de tela.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Dashboard SSMA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9"/>
              </w:rPr>
              <w:t>Gestão / supervisão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Web (Flask)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Visão consolidada, histórico, severidade e o ranking preditivo de risco.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0071E3"/>
              </w:rPr>
              <w:t xml:space="preserve">Cinto validado em hardware real. </w:t>
            </w:r>
            <w:r>
              <w:rPr>
                <w:b w:val="0"/>
              </w:rPr>
              <w:t>O nó de borda foi integrado e testado no protótipo físico do cinto: OLED (SSD1306 I2C), LED verde/vermelho, buzzer e motor de vibração respondem ao veredito do servidor por HTTP. Latência medida ponta a ponta: 83–180 ms — bem abaixo do alvo de 1 s do nível crítico. O servidor faz push do estado ao IP do cinto na ingestão de cada evento de campo, e envia CONFORME no instante em que o operador se corrige, fazendo o cinto voltar ao verde imediatamente (com um auto-retorno de segurança no firmware caso um aviso se perca). Baixo consumo por modem-sleep do Wi-Fi, mirando 1–2 pilhas AA por turno de 8 h.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>O nó de borda leva o veredito ao chão de fábrica sem depender da nuvem: LED verde/vermelho legível à distância, OLED com a mensagem educativa, buzzer e vibração com padrão proporcional à severidade. A vibração inclui o trabalhador que usa protetor auricular — o próprio sistema sabe que ele o usa (Fase 1).</w:t>
      </w:r>
    </w:p>
    <w:p>
      <w:pPr>
        <w:spacing w:before="200" w:after="60"/>
      </w:pPr>
      <w:r>
        <w:rPr>
          <w:b/>
          <w:color w:val="0071E3"/>
          <w:sz w:val="28"/>
        </w:rPr>
        <w:t>4. UX e linguagem (chão de fábrica)</w:t>
      </w:r>
    </w:p>
    <w:p>
      <w:pPr>
        <w:pStyle w:val="ListBullet"/>
        <w:spacing w:after="40"/>
      </w:pPr>
      <w:r>
        <w:rPr>
          <w:b/>
        </w:rPr>
        <w:t xml:space="preserve">Redundância: </w:t>
      </w:r>
      <w:r>
        <w:t>alerta crítico usa dois canais simultâneos (sonoro + visual + tátil) — ambiente ruidoso e com EPI.</w:t>
      </w:r>
    </w:p>
    <w:p>
      <w:pPr>
        <w:pStyle w:val="ListBullet"/>
        <w:spacing w:after="40"/>
      </w:pPr>
      <w:r>
        <w:rPr>
          <w:b/>
        </w:rPr>
        <w:t xml:space="preserve">Hierarquia visual: </w:t>
      </w:r>
      <w:r>
        <w:t>vermelho piscante para crítico, fixo para alto, verde para conformidade.</w:t>
      </w:r>
    </w:p>
    <w:p>
      <w:pPr>
        <w:pStyle w:val="ListBullet"/>
        <w:spacing w:after="40"/>
      </w:pPr>
      <w:r>
        <w:rPr>
          <w:b/>
        </w:rPr>
        <w:t xml:space="preserve">Inclusão: </w:t>
      </w:r>
      <w:r>
        <w:t>quem usa protetor auricular vê (OLED/LED) e sente (vibração); quem olha a peça ouve.</w:t>
      </w:r>
    </w:p>
    <w:p>
      <w:pPr>
        <w:pStyle w:val="ListBullet"/>
        <w:spacing w:after="40"/>
      </w:pPr>
      <w:r>
        <w:rPr>
          <w:b/>
        </w:rPr>
        <w:t xml:space="preserve">Não punição: </w:t>
      </w:r>
      <w:r>
        <w:t>a mensagem é educativa — Capacete necessário nesta área, não Você está infringindo a norma. O dashboard celebra conformidade, não ranqueia quem mais infringe.</w:t>
      </w:r>
    </w:p>
    <w:p>
      <w:pPr>
        <w:spacing w:before="200" w:after="60"/>
      </w:pPr>
      <w:r>
        <w:rPr>
          <w:b/>
          <w:color w:val="0071E3"/>
          <w:sz w:val="28"/>
        </w:rPr>
        <w:t>5. Diferencial: análise preditiva de risco (ciência de dados)</w:t>
      </w:r>
    </w:p>
    <w:p>
      <w:pPr>
        <w:spacing w:after="80"/>
        <w:jc w:val="both"/>
      </w:pPr>
      <w:r>
        <w:rPr>
          <w:b w:val="0"/>
        </w:rPr>
        <w:t>Em vez de só contar violações, modelamos a TAXA de eventos de cada operador e prevemos a probabilidade de um incidente no próximo turno — e validamos estatisticamente quem está acima da média. Assim o gestor age com base em sinal, não em ruído, de forma pedagógica (treinamento dirigido).</w:t>
      </w:r>
    </w:p>
    <w:p>
      <w:pPr>
        <w:spacing w:before="120" w:after="40"/>
      </w:pPr>
      <w:r>
        <w:rPr>
          <w:b/>
          <w:color w:val="1D1D1F"/>
          <w:sz w:val="23"/>
        </w:rPr>
        <w:t>5.1 Modelo de Poisson</w:t>
      </w:r>
    </w:p>
    <w:p>
      <w:pPr>
        <w:spacing w:after="80"/>
        <w:jc w:val="both"/>
      </w:pPr>
      <w:r>
        <w:rPr>
          <w:b w:val="0"/>
        </w:rPr>
        <w:t>Eventos de segurança são contagens raras e aproximadamente independentes no tempo — o modelo canônico é Poisson. Para o operador i com k_i eventos em t_i turnos, a estimativa de máxima verossimilhança da taxa é λ̂_i = k_i / t_i (eventos por turno). Em termos práticos: para cada operador, contamos quantas vezes ele foi flagrado e dividimos pelos turnos trabalhados — essa é a taxa média de eventos por turno.</w:t>
      </w:r>
    </w:p>
    <w:p>
      <w:pPr>
        <w:spacing w:before="120" w:after="40"/>
      </w:pPr>
      <w:r>
        <w:rPr>
          <w:b/>
          <w:color w:val="1D1D1F"/>
          <w:sz w:val="23"/>
        </w:rPr>
        <w:t>5.2 Predição</w:t>
      </w:r>
    </w:p>
    <w:p>
      <w:pPr>
        <w:spacing w:after="80"/>
        <w:jc w:val="both"/>
      </w:pPr>
      <w:r>
        <w:rPr>
          <w:b w:val="0"/>
        </w:rPr>
        <w:t>Probabilidade de pelo menos um evento no próximo turno: P(N ≥ 1) = 1 − e^(−λ̂_i) — obtida diretamente da distribuição de Poisson, sem depender do TLC. Para um horizonte de h turnos, 1 − e^(−λ̂_i·h). Com números: λ̂ = 1,5 ev/turno dá ≈ 78% de chance de ao menos um evento no próximo turno; λ̂ = 0,2 dá ≈ 18%.</w:t>
      </w:r>
    </w:p>
    <w:p>
      <w:pPr>
        <w:spacing w:before="120" w:after="40"/>
      </w:pPr>
      <w:r>
        <w:rPr>
          <w:b/>
          <w:color w:val="1D1D1F"/>
          <w:sz w:val="23"/>
        </w:rPr>
        <w:t>5.3 Incerteza pelo Teorema do Limite Central</w:t>
      </w:r>
    </w:p>
    <w:p>
      <w:pPr>
        <w:spacing w:after="80"/>
        <w:jc w:val="both"/>
      </w:pPr>
      <w:r>
        <w:rPr>
          <w:b w:val="0"/>
        </w:rPr>
        <w:t>Pense em cada turno como um sorteio com baixa chance de evento: somando muitos turnos, o total se comporta como uma curva de sino — é isso que o Teorema do Limite Central garante, e é o que nos permite medir a incerteza da taxa. Tecnicamente, o TLC não converte a distribuição dos eventos em uma normal; ele garante que a SOMA de muitos turnos independentes — e, portanto, o estimador da taxa λ̂_i = k_i/t_i — seja aproximadamente normal quando t_i é grande: λ̂_i ≈ Normal(λ, λ/t_i). Como na Poisson a variância é igual à média, o desvio-padrão sai direto de λ. Daí o intervalo de confiança de 95%: λ̂_i ± 1,96·√(λ̂_i/t_i) — uma faixa, não um número cravado (quanto menos dados, mais larga).</w:t>
      </w:r>
    </w:p>
    <w:p>
      <w:pPr>
        <w:spacing w:before="120" w:after="40"/>
      </w:pPr>
      <w:r>
        <w:rPr>
          <w:b/>
          <w:color w:val="1D1D1F"/>
          <w:sz w:val="23"/>
        </w:rPr>
        <w:t>5.4 Validação por teste de hipóteses</w:t>
      </w:r>
    </w:p>
    <w:p>
      <w:pPr>
        <w:spacing w:after="80"/>
        <w:jc w:val="both"/>
      </w:pPr>
      <w:r>
        <w:rPr>
          <w:b w:val="0"/>
        </w:rPr>
        <w:t>Para separar sinal de ruído, testamos H0: λ_i = λ0 (linha de base do grupo) contra H1: λ_i &gt; λ0. Sob H0, k_i ~ Poisson(λ0·t_i). O p-valor PRINCIPAL é o exato de Poisson, P(K ≥ k_i | H0), que não depende de aproximação — essencial quando há poucos eventos; a aproximação normal do TLC entra apenas como reforço. Se p &lt; α (0,05), o operador está significativamente acima da base — e só então sugerimos intervenção dirigida. Em linguagem simples: perguntamos qual seria a chance de ver tantos eventos se o operador fosse igual à média do grupo; se for menor que 5%, é improvável que seja acaso — é sinal real, e aí recomendamos treino.</w:t>
      </w:r>
    </w:p>
    <w:p>
      <w:pPr>
        <w:spacing w:after="80"/>
        <w:jc w:val="both"/>
      </w:pPr>
      <w:r>
        <w:rPr>
          <w:b/>
        </w:rPr>
        <w:t xml:space="preserve">Resultado (roster da demo, λ0 = 0,447 ev/turno). </w:t>
      </w:r>
      <w:r>
        <w:rPr>
          <w:b w:val="0"/>
        </w:rPr>
        <w:t>OP-007 (λ̂ = 1,50; P = 78%; IC95% [1,06–1,94]; p &lt; 0,0001) e OP-009 (λ̂ = 0,77; P = 54%; p = 0,011) são sinalizados como risco Alto e significativo; OP-003 fica em Médio (λ̂ = 0,63; p = 0,087, não significativo) e os demais em Baixo. A recomendação é treinamento dirigido para os dois primeiros.</w:t>
      </w:r>
    </w:p>
    <w:p>
      <w:pPr>
        <w:spacing w:before="120" w:after="40"/>
      </w:pPr>
      <w:r>
        <w:rPr>
          <w:b/>
          <w:color w:val="1D1D1F"/>
          <w:sz w:val="23"/>
        </w:rPr>
        <w:t>5.5 Risco por área — sugestão da IA, decisão do gestor</w:t>
      </w:r>
    </w:p>
    <w:p>
      <w:pPr>
        <w:spacing w:after="80"/>
        <w:jc w:val="both"/>
      </w:pPr>
      <w:r>
        <w:rPr>
          <w:b w:val="0"/>
        </w:rPr>
        <w:t>A mesma matemática, agregada por área, sugere o nível de risco de cada setor. Na demo: Prensa = Alto (taxa 2,39× a base, p &lt; 0,0001), Pintura = Médio, e Solda/Montagem/Expedição = Baixo. A sugestão é apresentada como recomendação da IA; a classificação final é sempre do gestor, que aceita ou sobrepõe manualmente. IA como copiloto, não como juiz.</w:t>
      </w:r>
    </w:p>
    <w:p>
      <w:pPr>
        <w:spacing w:before="120" w:after="40"/>
      </w:pPr>
      <w:r>
        <w:rPr>
          <w:b/>
          <w:color w:val="1D1D1F"/>
          <w:sz w:val="23"/>
        </w:rPr>
        <w:t>5.6 Estímulos out of the box (gamificação e feedback)</w:t>
      </w:r>
    </w:p>
    <w:p>
      <w:pPr>
        <w:pStyle w:val="ListBullet"/>
        <w:spacing w:after="40"/>
      </w:pPr>
      <w:r>
        <w:rPr>
          <w:b/>
        </w:rPr>
        <w:t xml:space="preserve">Gamificação positiva: </w:t>
      </w:r>
      <w:r>
        <w:t>placar que premia conformidade, sequências limpas e selos — celebra o acerto, nunca ranqueia quem mais infringe.</w:t>
      </w:r>
    </w:p>
    <w:p>
      <w:pPr>
        <w:pStyle w:val="ListBullet"/>
        <w:spacing w:after="40"/>
      </w:pPr>
      <w:r>
        <w:rPr>
          <w:b/>
        </w:rPr>
        <w:t xml:space="preserve">Feedback educativo personalizado: </w:t>
      </w:r>
      <w:r>
        <w:t>para cada operador, a microorientação ancorada na NR do seu ponto fraco dominante — o treino dirigido com conteúdo concreto.</w:t>
      </w:r>
    </w:p>
    <w:p>
      <w:pPr>
        <w:pStyle w:val="ListBullet"/>
        <w:spacing w:after="40"/>
      </w:pPr>
      <w:r>
        <w:rPr>
          <w:b/>
        </w:rPr>
        <w:t xml:space="preserve">Wearable: </w:t>
      </w:r>
      <w:r>
        <w:t>o próprio cinto ESP32 (vibração + som) é o alerta tátil no campo, integrado ao pipeline.</w:t>
      </w:r>
    </w:p>
    <w:p>
      <w:pPr>
        <w:spacing w:before="120" w:after="40"/>
      </w:pPr>
      <w:r>
        <w:rPr>
          <w:b/>
          <w:color w:val="1D1D1F"/>
          <w:sz w:val="23"/>
        </w:rPr>
        <w:t>5.7 Privacidade, honestidade e limitações</w:t>
      </w:r>
    </w:p>
    <w:p>
      <w:pPr>
        <w:pStyle w:val="ListBullet"/>
        <w:spacing w:after="40"/>
      </w:pPr>
      <w:r>
        <w:rPr>
          <w:b/>
        </w:rPr>
        <w:t xml:space="preserve">LGPD: </w:t>
      </w:r>
      <w:r>
        <w:t>identidade anonimizada (crachá/QR → OP-XXX). O índice é por operador/turno, sem expor a pessoa.</w:t>
      </w:r>
    </w:p>
    <w:p>
      <w:pPr>
        <w:pStyle w:val="ListBullet"/>
        <w:spacing w:after="40"/>
      </w:pPr>
      <w:r>
        <w:rPr>
          <w:b/>
        </w:rPr>
        <w:t xml:space="preserve">Suposições: </w:t>
      </w:r>
      <w:r>
        <w:t>o Poisson assume taxa constante e independência; mudanças de processo ou sazonalidade exigem reestimar λ. O teste é unilateral e admite correção de múltiplas comparações.</w:t>
      </w:r>
    </w:p>
    <w:p>
      <w:pPr>
        <w:pStyle w:val="ListBullet"/>
        <w:spacing w:after="40"/>
      </w:pPr>
      <w:r>
        <w:rPr>
          <w:b/>
        </w:rPr>
        <w:t xml:space="preserve">Dados: </w:t>
      </w:r>
      <w:r>
        <w:t>para a banca usamos um roster sintético realista; o mesmo motor ingere os eventos reais logados ao vivo (mesma EventStore) — o dashboard é alimentado com dado real na hora.</w:t>
      </w:r>
    </w:p>
    <w:p>
      <w:pPr>
        <w:spacing w:before="200" w:after="60"/>
      </w:pPr>
      <w:r>
        <w:rPr>
          <w:b/>
          <w:color w:val="0071E3"/>
          <w:sz w:val="28"/>
        </w:rPr>
        <w:t>6. Métricas da Fase 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216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Meta (descritivo)</w:t>
            </w:r>
          </w:p>
        </w:tc>
        <w:tc>
          <w:tcPr>
            <w:tcW w:type="dxa" w:w="460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Medido / como medimos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Latência E2E crítica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≤ 1 s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83–180 ms (medido: POST do servidor ao cinto ESP32).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Latência E2E alta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≤ 5 s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Captura → atualização no dashboard (fetch de 15 s do painel).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Retorno ao verde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Imediato ao ficar conforme (push CONFORME); auto-clear de segurança.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Taxa de alerta efetivo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≥ 0,90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% de alertas crítico/alto que correspondem a evento real.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7. Como executar</w:t>
      </w:r>
    </w:p>
    <w:p>
      <w:pPr>
        <w:pStyle w:val="ListBullet"/>
        <w:spacing w:after="40"/>
      </w:pPr>
      <w:r>
        <w:rPr>
          <w:b/>
        </w:rPr>
        <w:t xml:space="preserve">Dashboard preditivo: </w:t>
      </w:r>
      <w:r>
        <w:t>run_dashboard.bat (popula dados sintéticos na 1ª execução; http://localhost:5005). Auto-teste sem câmera: run_selftest.bat (15/15).</w:t>
      </w:r>
    </w:p>
    <w:p>
      <w:pPr>
        <w:pStyle w:val="ListBullet"/>
        <w:spacing w:after="40"/>
      </w:pPr>
      <w:r>
        <w:rPr>
          <w:b/>
        </w:rPr>
        <w:t xml:space="preserve">Detecção ao vivo + ingestão: </w:t>
      </w:r>
      <w:r>
        <w:t>run_demo.bat (câmera, envia eventos reais ao dashboard, atribuídos ao operador ativo).</w:t>
      </w:r>
    </w:p>
    <w:p>
      <w:pPr>
        <w:pStyle w:val="ListBullet"/>
        <w:spacing w:after="40"/>
      </w:pPr>
      <w:r>
        <w:rPr>
          <w:b/>
        </w:rPr>
        <w:t xml:space="preserve">Cinto: </w:t>
      </w:r>
      <w:r>
        <w:t>grave firmware/tortuga_esp32 no ESP32, descubra o IP (Serial) e registre com set_esp.bat; teste o hardware com run_esp_test.bat.</w:t>
      </w:r>
    </w:p>
    <w:p>
      <w:pPr>
        <w:pStyle w:val="ListBullet"/>
        <w:spacing w:after="40"/>
      </w:pPr>
      <w:r>
        <w:rPr>
          <w:b/>
        </w:rPr>
        <w:t xml:space="preserve">Check-in por QR: </w:t>
      </w:r>
      <w:r>
        <w:t>run_checkin.bat gera os QR apontando para o IP do PC; o operador escaneia no início do turno.</w:t>
      </w:r>
    </w:p>
    <w:p>
      <w:pPr>
        <w:pStyle w:val="ListBullet"/>
        <w:spacing w:after="40"/>
      </w:pPr>
      <w:r>
        <w:rPr>
          <w:b/>
        </w:rPr>
        <w:t xml:space="preserve">Auditoria: </w:t>
      </w:r>
      <w:r>
        <w:t>run_audit.bat exporta a trilha assinada (CSV + HTML).</w:t>
      </w:r>
    </w:p>
    <w:p>
      <w:pPr>
        <w:spacing w:before="200" w:after="60"/>
      </w:pPr>
      <w:r>
        <w:rPr>
          <w:b/>
          <w:color w:val="0071E3"/>
          <w:sz w:val="28"/>
        </w:rPr>
        <w:t>8. Identificação por QR, perfis e zonas (evolução pós-Banca 2)</w:t>
      </w:r>
    </w:p>
    <w:p>
      <w:pPr>
        <w:spacing w:after="80"/>
        <w:jc w:val="both"/>
      </w:pPr>
      <w:r>
        <w:rPr>
          <w:b w:val="0"/>
        </w:rPr>
        <w:t>Atendendo aos apontamentos da Banca 2, quatro capacidades foram consolidadas, todas com o princípio de processar no servidor e manter o ESP32 mínimo (bateria de 1–2 pilhas AA durando o turno).</w:t>
      </w:r>
    </w:p>
    <w:p>
      <w:pPr>
        <w:spacing w:before="120" w:after="40"/>
      </w:pPr>
      <w:r>
        <w:rPr>
          <w:b/>
          <w:color w:val="1D1D1F"/>
          <w:sz w:val="23"/>
        </w:rPr>
        <w:t>8.1 Identificação por QR (escalável)</w:t>
      </w:r>
    </w:p>
    <w:p>
      <w:pPr>
        <w:spacing w:after="80"/>
        <w:jc w:val="both"/>
      </w:pPr>
      <w:r>
        <w:rPr>
          <w:b w:val="0"/>
        </w:rPr>
        <w:t>No início do turno o operador escaneia, com o celular, o QR impresso no cinto (device_id) e confirma quem é. O celular fala com o SERVIDOR (não com o ESP), que amarra operador–cinto–estação. Escala para milhares de operadores sem intervenção do gestor e sem consumo extra no cinto.</w:t>
      </w:r>
    </w:p>
    <w:p>
      <w:pPr>
        <w:spacing w:before="120" w:after="40"/>
      </w:pPr>
      <w:r>
        <w:rPr>
          <w:b/>
          <w:color w:val="1D1D1F"/>
          <w:sz w:val="23"/>
        </w:rPr>
        <w:t>8.2 Perfis por operador</w:t>
      </w:r>
    </w:p>
    <w:p>
      <w:pPr>
        <w:spacing w:after="80"/>
        <w:jc w:val="both"/>
      </w:pPr>
      <w:r>
        <w:rPr>
          <w:b w:val="0"/>
        </w:rPr>
        <w:t>Cada perfil define quais EPIs o sistema monitora e a confiança mínima do YOLO, configuráveis pelo gestor. Operadores em setores diferentes recebem regras diferentes, mesmo compartilhando cintos entre os 3 turnos.</w:t>
      </w:r>
    </w:p>
    <w:p>
      <w:pPr>
        <w:spacing w:before="120" w:after="40"/>
      </w:pPr>
      <w:r>
        <w:rPr>
          <w:b/>
          <w:color w:val="1D1D1F"/>
          <w:sz w:val="23"/>
        </w:rPr>
        <w:t>8.3 Zonas de risco configuráveis por nível (ao vivo)</w:t>
      </w:r>
    </w:p>
    <w:p>
      <w:pPr>
        <w:spacing w:after="80"/>
        <w:jc w:val="both"/>
      </w:pPr>
      <w:r>
        <w:rPr>
          <w:b w:val="0"/>
        </w:rPr>
        <w:t>O gestor desenha polígonos na interface e atribui um nível de severidade a cada zona. As coordenadas são salvas em proporção e renderizadas sobre o vídeo; a entrada na zona aciona o alerta no nível definido. As zonas recarregam ao vivo (~5 s) — desenhar uma zona aparece no vídeo sem reiniciar.</w:t>
      </w:r>
    </w:p>
    <w:p>
      <w:pPr>
        <w:spacing w:before="120" w:after="40"/>
      </w:pPr>
      <w:r>
        <w:rPr>
          <w:b/>
          <w:color w:val="1D1D1F"/>
          <w:sz w:val="23"/>
        </w:rPr>
        <w:t>8.4 Ingestão de dados reais ao vivo</w:t>
      </w:r>
    </w:p>
    <w:p>
      <w:pPr>
        <w:spacing w:after="80"/>
        <w:jc w:val="both"/>
      </w:pPr>
      <w:r>
        <w:rPr>
          <w:b w:val="0"/>
        </w:rPr>
        <w:t>O sistema de visão envia cada evento detectado ao endpoint de ingestão, que o atribui automaticamente ao operador ativo na estação (resolvido pelo check-in via QR) e, se for evento de campo, faz push imediato ao cinto. Na banca, o histórico dá a base estatística e os eventos capturados ao vivo entram na hora, provando a operação com dados reais.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