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071E3"/>
          <w:sz w:val="40"/>
        </w:rPr>
        <w:t>Relatório Técnico — Fase 1</w:t>
      </w:r>
    </w:p>
    <w:p>
      <w:pPr>
        <w:spacing w:after="20"/>
      </w:pPr>
      <w:r>
        <w:rPr>
          <w:b/>
          <w:color w:val="1D1D1F"/>
          <w:sz w:val="25"/>
        </w:rPr>
        <w:t>Detecção de EPIs e EPCs em Tempo Real</w:t>
      </w:r>
    </w:p>
    <w:p>
      <w:pPr>
        <w:spacing w:after="160"/>
      </w:pPr>
      <w:r>
        <w:rPr>
          <w:color w:val="6E6E73"/>
          <w:sz w:val="20"/>
        </w:rPr>
        <w:t>Projeto Tortuga · Innovation Challenge CUP 2026 · FIAP × SPI</w:t>
      </w:r>
    </w:p>
    <w:p>
      <w:pPr>
        <w:spacing w:before="200" w:after="60"/>
      </w:pPr>
      <w:r>
        <w:rPr>
          <w:b/>
          <w:color w:val="0071E3"/>
          <w:sz w:val="28"/>
        </w:rPr>
        <w:t>1. Objetivo e visão geral</w:t>
      </w:r>
    </w:p>
    <w:p>
      <w:pPr>
        <w:spacing w:after="80"/>
        <w:jc w:val="both"/>
      </w:pPr>
      <w:r>
        <w:rPr>
          <w:b w:val="0"/>
        </w:rPr>
        <w:t>A Fase 1 do Tortuga é o sensor cognitivo que enxerga conformidade: um detector de objetos que identifica, em tempo real e a partir de stream de vídeo, o uso dos Equipamentos de Proteção Individual (EPI) e Coletiva (EPC) por trabalhadores. O escopo mínimo abrange capacete, óculos de proteção, protetor auricular, bota de segurança e colete de alta visibilidade (a máscara respiratória é detectada como item adicional). O detector foi concebido como a primeira camada de um produto único e evolutivo, compartilhando o mesmo stream com a estimação de pose da Fase 2.</w:t>
      </w:r>
    </w:p>
    <w:p>
      <w:pPr>
        <w:spacing w:after="80"/>
        <w:jc w:val="both"/>
      </w:pPr>
      <w:r>
        <w:rPr>
          <w:b/>
        </w:rPr>
        <w:t xml:space="preserve">Sobre os três estados exigidos pelo descritivo. </w:t>
      </w:r>
      <w:r>
        <w:rPr>
          <w:b w:val="0"/>
        </w:rPr>
        <w:t xml:space="preserve">O sistema distingue com robustez </w:t>
      </w:r>
      <w:r>
        <w:rPr>
          <w:b/>
        </w:rPr>
        <w:t>presente/em uso correto</w:t>
      </w:r>
      <w:r>
        <w:rPr>
          <w:b w:val="0"/>
        </w:rPr>
        <w:t xml:space="preserve"> e </w:t>
      </w:r>
      <w:r>
        <w:rPr>
          <w:b/>
        </w:rPr>
        <w:t>ausente</w:t>
      </w:r>
      <w:r>
        <w:rPr>
          <w:b w:val="0"/>
        </w:rPr>
        <w:t xml:space="preserve"> — a ausência é inferida na camada de decisão, sem depender de classe negativa (ver Seção 7). O terceiro estado, </w:t>
      </w:r>
      <w:r>
        <w:rPr>
          <w:b/>
        </w:rPr>
        <w:t>presente mas em uso incorreto</w:t>
      </w:r>
      <w:r>
        <w:rPr>
          <w:b w:val="0"/>
        </w:rPr>
        <w:t xml:space="preserve"> (óculos apoiados na testa, colete amarrado na cintura), é a nossa frente de refino em aberto: será fechado rotulando esses casos no dataset próprio da SPI (Seção 6) e cruzando a posição do EPI com os keypoints de pose da Fase 2.</w:t>
      </w:r>
    </w:p>
    <w:p>
      <w:pPr>
        <w:spacing w:before="200" w:after="60"/>
      </w:pPr>
      <w:r>
        <w:rPr>
          <w:b/>
          <w:color w:val="0071E3"/>
          <w:sz w:val="28"/>
        </w:rPr>
        <w:t>2. Arquitetura escolhida</w:t>
      </w:r>
    </w:p>
    <w:p>
      <w:pPr>
        <w:spacing w:after="80"/>
        <w:jc w:val="both"/>
      </w:pPr>
      <w:r>
        <w:rPr>
          <w:b w:val="0"/>
        </w:rPr>
        <w:t>O núcleo de visão usa YOLOv8 (Ultralytics) para detecção de objetos, escolhido pela maturidade, pela latência compatível com tempo real e pela facilidade de exportação para edge (ONNX/TensorRT) na Fase 4. A inferência seleciona automaticamente o melhor dispositivo — CUDA em GPU NVIDIA, Metal (MPS) em Apple Silicon ou CPU como fallback — e nunca quebra em hardware sem GPU, atendendo ao requisito de replicabilidade industrial da Fase 4.</w:t>
      </w:r>
    </w:p>
    <w:p>
      <w:pPr>
        <w:spacing w:after="80"/>
        <w:jc w:val="both"/>
      </w:pPr>
      <w:r>
        <w:rPr>
          <w:b w:val="0"/>
        </w:rPr>
        <w:t>O componente detector.py implementa dois modos. No modo DUAL, combina um modelo de EPIs clássicos (capacete, colete e máscara, com seus negativos) e um modelo dedicado de óculos (glasses/no_glasses), deslocando os IDs de classe para evitar colisão e fundindo as detecções. No modo SINGLE, opera com um único modelo. A classificação de cada detecção em segura ou violação é feita por palavras-chave (prefixos NO-/sem), e o método filter_by_station ativa/desativa EPIs por estação sem alterar o modelo.</w:t>
      </w:r>
    </w:p>
    <w:p>
      <w:pPr>
        <w:spacing w:after="80"/>
        <w:jc w:val="both"/>
      </w:pPr>
      <w:r>
        <w:rPr>
          <w:b w:val="0"/>
        </w:rPr>
        <w:t>A captura, a detecção de EPI e a estimação de pose rodam em threads separadas (gui.py), com filas de profundidade 1 que descartam frames antigos para manter baixa latência. A interface desenha bounding boxes com classe e confiança, um painel lateral com status por EPI, controle de confiança ao vivo e indicadores de FPS. A inferência de EPI opera em 640px (igual ao imgsz de treino; ajustável para 960 via --det-size); o valor anterior de 320px reduzia EPIs pequenos — óculos e protetor auricular — a poucos pixels, prejudicando a detecção. Um pré-processamento opcional de robustez (CLAHE + gama automática) normaliza a iluminação antes da inferência, para cenas de baixo/alto contraste da metaindústria.</w:t>
      </w:r>
    </w:p>
    <w:p>
      <w:pPr>
        <w:spacing w:before="200" w:after="60"/>
      </w:pPr>
      <w:r>
        <w:rPr>
          <w:b/>
          <w:color w:val="0071E3"/>
          <w:sz w:val="28"/>
        </w:rPr>
        <w:t>3. Estratégia de treinamento</w:t>
      </w:r>
    </w:p>
    <w:p>
      <w:pPr>
        <w:spacing w:after="80"/>
        <w:jc w:val="both"/>
      </w:pPr>
      <w:r>
        <w:rPr>
          <w:b w:val="0"/>
        </w:rPr>
        <w:t>O conjunto de treino foi construído a partir de datasets públicos do Roboflow Universe (licença permissiva) — entre eles o PPE Combined (44k imagens), o Safety-PPE-Shoes e um dataset com capacete/colete/bota — consolidados para a taxonomia Tortuga por meio de um mapa de remapeamento de classes (CLASS_REMAP). A augmentation aplicada inclui variação de HSV, rotação, translação, escala, espelhamento horizontal, mosaic, mixup, copy-paste, erasing e RandAugment, com o objetivo explícito de generalizar para ambientes variados. O treino usa YOLOv8n/s, 100–150 épocas, batch 16 e imagem 640, com aceleração GPU.</w:t>
      </w:r>
    </w:p>
    <w:p>
      <w:pPr>
        <w:spacing w:before="200" w:after="60"/>
      </w:pPr>
      <w:r>
        <w:rPr>
          <w:b/>
          <w:color w:val="0071E3"/>
          <w:sz w:val="28"/>
        </w:rPr>
        <w:t>4. Métricas obtidas</w:t>
      </w:r>
    </w:p>
    <w:p>
      <w:pPr>
        <w:spacing w:after="80"/>
        <w:jc w:val="both"/>
      </w:pPr>
      <w:r>
        <w:rPr>
          <w:b w:val="0"/>
        </w:rPr>
        <w:t>As métricas abaixo são as efetivamente registradas nos runs de treino (results.csv). Ressalva importante: o conjunto de validação provém da mesma distribuição (predominantemente imagens de obra) do treino, de modo que o mAP elevado reflete a distribuição de origem e não necessariamente o desempenho em uma webcam de sala — daí o gap de domínio discutido na Seção 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4896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Run / modelo</w:t>
            </w:r>
          </w:p>
        </w:tc>
        <w:tc>
          <w:tcPr>
            <w:tcW w:type="dxa" w:w="187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mAP@0.5</w:t>
            </w:r>
          </w:p>
        </w:tc>
        <w:tc>
          <w:tcPr>
            <w:tcW w:type="dxa" w:w="187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Precision</w:t>
            </w:r>
          </w:p>
        </w:tc>
        <w:tc>
          <w:tcPr>
            <w:tcW w:type="dxa" w:w="1872"/>
            <w:shd w:val="clear" w:fill="E6F1FB"/>
          </w:tcPr>
          <w:p>
            <w:pPr>
              <w:spacing w:after="20"/>
            </w:pPr>
            <w:r>
              <w:rPr>
                <w:b/>
                <w:sz w:val="19"/>
              </w:rPr>
              <w:t>Recall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sz w:val="19"/>
              </w:rPr>
              <w:t>tortuga_ppe (YOLOv8n)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0,83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0,90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0,79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sz w:val="19"/>
              </w:rPr>
              <w:t>tortuga_ppe-3 (YOLOv8s, 29k img)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0,63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0,64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0,61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sz w:val="19"/>
              </w:rPr>
              <w:t>Meta do descritivo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≥ 0,75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≥ 0,80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≥ 0,80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</w:rPr>
        <w:t>O run de 29 mil imagens (tortuga_ppe-3), que pretendia adicionar bota e protetor auricular, regrediu em relação ao anterior — o sintoma relatado de não detectar direito. A causa é analisada a seguir.</w:t>
      </w:r>
    </w:p>
    <w:p>
      <w:pPr>
        <w:spacing w:before="200" w:after="60"/>
      </w:pPr>
      <w:r>
        <w:rPr>
          <w:b/>
          <w:color w:val="0071E3"/>
          <w:sz w:val="28"/>
        </w:rPr>
        <w:t>5. Principais erros identificados</w:t>
      </w:r>
    </w:p>
    <w:p>
      <w:pPr>
        <w:spacing w:after="80"/>
        <w:jc w:val="both"/>
      </w:pPr>
      <w:r>
        <w:rPr>
          <w:b w:val="0"/>
        </w:rPr>
        <w:t>O diagnóstico da regressão revelou quatro problemas, todos na construção do dataset e na inferência, não na arquitetura:</w:t>
      </w:r>
    </w:p>
    <w:p>
      <w:pPr>
        <w:pStyle w:val="ListBullet"/>
        <w:spacing w:after="40"/>
      </w:pPr>
      <w:r>
        <w:rPr>
          <w:b/>
        </w:rPr>
        <w:t xml:space="preserve">Protetor auricular com zero imagens: </w:t>
      </w:r>
      <w:r>
        <w:t>a fonte que deveria conter protetor auricular trouxe, na verdade, classes de bota/capacete/colete. No merge, as classes Ear Protection e NO-Ear Protection ficaram com 0 instâncias — o modelo declara a classe mas nunca aprende a detectá-la.</w:t>
      </w:r>
    </w:p>
    <w:p>
      <w:pPr>
        <w:pStyle w:val="ListBullet"/>
        <w:spacing w:after="40"/>
      </w:pPr>
      <w:r>
        <w:rPr>
          <w:b/>
        </w:rPr>
        <w:t xml:space="preserve">Contaminação por anotação parcial: </w:t>
      </w:r>
      <w:r>
        <w:t>ao combinar datasets que rotulam apenas um subconjunto dos EPIs, imagens com óculos/botas não rotulados ensinam o modelo a tratar esses objetos como fundo, degradando todas as classes.</w:t>
      </w:r>
    </w:p>
    <w:p>
      <w:pPr>
        <w:pStyle w:val="ListBullet"/>
        <w:spacing w:after="40"/>
      </w:pPr>
      <w:r>
        <w:rPr>
          <w:b/>
        </w:rPr>
        <w:t xml:space="preserve">Desbalanceamento severo: </w:t>
      </w:r>
      <w:r>
        <w:t>Hardhat somou 22.005 instâncias contra apenas 518 de óculos (≈42:1). Classes raras quase não são aprendidas.</w:t>
      </w:r>
    </w:p>
    <w:p>
      <w:pPr>
        <w:pStyle w:val="ListBullet"/>
        <w:spacing w:after="40"/>
      </w:pPr>
      <w:r>
        <w:rPr>
          <w:b/>
        </w:rPr>
        <w:t xml:space="preserve">Gap de domínio + inferência a 320px: </w:t>
      </w:r>
      <w:r>
        <w:t>alta acurácia no val (mesma distribuição de obra) convivia com falha em sala/escritório; e a inferência a 320px encolhia EPIs pequenos abaixo do detectável.</w:t>
      </w:r>
    </w:p>
    <w:p>
      <w:pPr>
        <w:spacing w:before="200" w:after="60"/>
      </w:pPr>
      <w:r>
        <w:rPr>
          <w:b/>
          <w:color w:val="0071E3"/>
          <w:sz w:val="28"/>
        </w:rPr>
        <w:t>6. Plano de melhoria e correções aplicadas</w:t>
      </w:r>
    </w:p>
    <w:p>
      <w:pPr>
        <w:spacing w:after="80"/>
        <w:jc w:val="both"/>
      </w:pPr>
      <w:r>
        <w:rPr>
          <w:b w:val="0"/>
        </w:rPr>
        <w:t>Para a banca, o detector foi restaurado para a configuração que comprovadamente funcionava em sala (modo DUAL: capacete, colete, óculos e máscara), preservando o modelo completo em separado. A inferência foi elevada para 640px. O pipeline de dados foi endurecido para impedir que o erro se repita:</w:t>
      </w:r>
    </w:p>
    <w:p>
      <w:pPr>
        <w:pStyle w:val="ListBullet"/>
        <w:spacing w:after="40"/>
      </w:pPr>
      <w:r>
        <w:t>Relatório pré-voo de distribuição de classes e detecção de anotação parcial ao mesclar (train_model.py).</w:t>
      </w:r>
    </w:p>
    <w:p>
      <w:pPr>
        <w:pStyle w:val="ListBullet"/>
        <w:spacing w:after="40"/>
      </w:pPr>
      <w:r>
        <w:t>Guarda que aborta o treino quando alguma classe-alvo tem 0 instâncias (evita queimar horas de GPU em um dataset quebrado).</w:t>
      </w:r>
    </w:p>
    <w:p>
      <w:pPr>
        <w:pStyle w:val="ListBullet"/>
        <w:spacing w:after="40"/>
      </w:pPr>
      <w:r>
        <w:t>Verificação automática de classes no download, que acusa imediatamente uma fonte com conteúdo errado.</w:t>
      </w:r>
    </w:p>
    <w:p>
      <w:pPr>
        <w:pStyle w:val="ListBullet"/>
        <w:spacing w:after="40"/>
      </w:pPr>
      <w:r>
        <w:t>Salvamento em staging com validação obrigatória antes de promover a modelo de produção — elimina a regressão silenciosa por sobrescrita.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2D2D7"/>
          <w:left w:val="single" w:sz="4" w:color="D2D2D7"/>
          <w:bottom w:val="single" w:sz="4" w:color="D2D2D7"/>
          <w:right w:val="single" w:sz="4" w:color="D2D2D7"/>
          <w:insideH w:val="single" w:sz="4" w:color="D2D2D7"/>
          <w:insideV w:val="single" w:sz="4" w:color="D2D2D7"/>
        </w:tblBorders>
      </w:tblPr>
      <w:tblGrid>
        <w:gridCol w:w="9648"/>
      </w:tblGrid>
      <w:tr>
        <w:tc>
          <w:tcPr>
            <w:tcW w:type="dxa" w:w="9648"/>
            <w:shd w:val="clear" w:fill="FFF6EC"/>
          </w:tcPr>
          <w:p>
            <w:pPr>
              <w:spacing w:after="20"/>
            </w:pPr>
            <w:r>
              <w:rPr>
                <w:b/>
                <w:color w:val="B26B00"/>
              </w:rPr>
              <w:t xml:space="preserve">Dataset próprio da SPI (em andamento). </w:t>
            </w:r>
            <w:r>
              <w:rPr>
                <w:b w:val="0"/>
              </w:rPr>
              <w:t>A visita técnica à SPI foi realizada e as fotos dos EPIs reais estão sendo incorporadas ao dataset, atendendo à exigência do item 4.6 (treino/validação também em dados produzidos pela equipe). Esse conjunto servirá de validação mundo real, cobrirá o protetor auricular e a bota com uma fonte correta (base pública SH17 + dados SPI), balanceará as classes e permitirá rotular os casos de uso incorreto do terceiro estado.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0071E3"/>
          <w:sz w:val="28"/>
        </w:rPr>
        <w:t>7. Diferenciais de engenharia</w:t>
      </w:r>
    </w:p>
    <w:p>
      <w:pPr>
        <w:pStyle w:val="ListBullet"/>
        <w:spacing w:after="40"/>
      </w:pPr>
      <w:r>
        <w:rPr>
          <w:b/>
        </w:rPr>
        <w:t xml:space="preserve">Ausência sem classe NO-X: </w:t>
      </w:r>
      <w:r>
        <w:t>havendo pessoa em cena, todo EPI exigido cuja classe presente não aparece é tratado como ausente na camada de decisão — funciona mesmo com modelos só-positivos (SH17).</w:t>
      </w:r>
    </w:p>
    <w:p>
      <w:pPr>
        <w:pStyle w:val="ListBullet"/>
        <w:spacing w:after="40"/>
      </w:pPr>
      <w:r>
        <w:rPr>
          <w:b/>
        </w:rPr>
        <w:t xml:space="preserve">Atribuição multi-pessoa: </w:t>
      </w:r>
      <w:r>
        <w:t>a violação é atribuída à pessoa certa (o EPI conta como presente se cai dentro do bbox da pessoa expandido por uma margem), mesmo com várias pessoas em cena.</w:t>
      </w:r>
    </w:p>
    <w:p>
      <w:pPr>
        <w:pStyle w:val="ListBullet"/>
        <w:spacing w:after="40"/>
      </w:pPr>
      <w:r>
        <w:rPr>
          <w:b/>
        </w:rPr>
        <w:t xml:space="preserve">Uso situacional por zona: </w:t>
      </w:r>
      <w:r>
        <w:t>o EPI exigido depende do posto; zonas e perfis são configuráveis pelo gestor, e a identidade é anonimizada por QR/crachá (OP-XXX), base do histórico individual usado na Fase 3.</w:t>
      </w:r>
    </w:p>
    <w:p>
      <w:pPr>
        <w:spacing w:before="200" w:after="60"/>
      </w:pPr>
      <w:r>
        <w:rPr>
          <w:b/>
          <w:color w:val="0071E3"/>
          <w:sz w:val="28"/>
        </w:rPr>
        <w:t>8. Referências normativas</w:t>
      </w:r>
    </w:p>
    <w:p>
      <w:pPr>
        <w:spacing w:after="80"/>
        <w:jc w:val="both"/>
      </w:pPr>
      <w:r>
        <w:rPr>
          <w:b w:val="0"/>
        </w:rPr>
        <w:t>NR-06 (EPI) — base para o mapeamento de quais EPIs são exigidos por atividade. NR-12 (Máquinas) — conceito de zonas de perigo e EPC. NR-35 (Trabalho em Altura) — cinto/talabarte. O projeto é informado pelas normas, sem pretender esgotá-las.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1D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