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A UNIVERSIDADE FEDERAL DO PARANÁ, situada na rua XV de Novembro n° 1299, Centro, Curitiba/PR, representada pela Pró-reitoria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Prof. Dr. Rodrigo Rosi Mengarelli</w:t>
      </w:r>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telefone (....) .........................., email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4A3EA23A"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FF6BF9">
        <w:rPr>
          <w:rFonts w:ascii="Arial" w:eastAsia="Arial" w:hAnsi="Arial" w:cs="Arial"/>
          <w:sz w:val="25"/>
        </w:rPr>
        <w:t xml:space="preserve">10 </w:t>
      </w:r>
      <w:r>
        <w:rPr>
          <w:rFonts w:ascii="Arial" w:eastAsia="Arial" w:hAnsi="Arial" w:cs="Arial"/>
          <w:sz w:val="25"/>
        </w:rPr>
        <w:t xml:space="preserve">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FF6BF9">
        <w:rPr>
          <w:rFonts w:ascii="Arial" w:eastAsia="Arial" w:hAnsi="Arial" w:cs="Arial"/>
          <w:sz w:val="25"/>
        </w:rPr>
        <w:t>02</w:t>
      </w:r>
      <w:r w:rsidR="003E4AC7">
        <w:rPr>
          <w:rFonts w:ascii="Arial" w:eastAsia="Arial" w:hAnsi="Arial" w:cs="Arial"/>
          <w:sz w:val="25"/>
        </w:rPr>
        <w:t>/0</w:t>
      </w:r>
      <w:r w:rsidR="000A01A7">
        <w:rPr>
          <w:rFonts w:ascii="Arial" w:eastAsia="Arial" w:hAnsi="Arial" w:cs="Arial"/>
          <w:sz w:val="25"/>
        </w:rPr>
        <w:t>7</w:t>
      </w:r>
      <w:r w:rsidR="003E4AC7">
        <w:rPr>
          <w:rFonts w:ascii="Arial" w:eastAsia="Arial" w:hAnsi="Arial" w:cs="Arial"/>
          <w:sz w:val="25"/>
        </w:rPr>
        <w:t>/2025</w:t>
      </w:r>
      <w:r>
        <w:rPr>
          <w:rFonts w:ascii="Arial" w:eastAsia="Arial" w:hAnsi="Arial" w:cs="Arial"/>
          <w:sz w:val="25"/>
        </w:rPr>
        <w:t xml:space="preserve"> (data inicial) a </w:t>
      </w:r>
      <w:r w:rsidR="00FF6BF9">
        <w:rPr>
          <w:rFonts w:ascii="Arial" w:eastAsia="Arial" w:hAnsi="Arial" w:cs="Arial"/>
          <w:sz w:val="25"/>
        </w:rPr>
        <w:t>02</w:t>
      </w:r>
      <w:r w:rsidR="003E4AC7">
        <w:rPr>
          <w:rFonts w:ascii="Arial" w:eastAsia="Arial" w:hAnsi="Arial" w:cs="Arial"/>
          <w:sz w:val="25"/>
        </w:rPr>
        <w:t>/0</w:t>
      </w:r>
      <w:r w:rsidR="00574E24">
        <w:rPr>
          <w:rFonts w:ascii="Arial" w:eastAsia="Arial" w:hAnsi="Arial" w:cs="Arial"/>
          <w:sz w:val="25"/>
        </w:rPr>
        <w:t>9</w:t>
      </w:r>
      <w:r w:rsidR="003E4AC7">
        <w:rPr>
          <w:rFonts w:ascii="Arial" w:eastAsia="Arial" w:hAnsi="Arial" w:cs="Arial"/>
          <w:sz w:val="25"/>
        </w:rPr>
        <w:t>/2025</w:t>
      </w:r>
      <w:r>
        <w:rPr>
          <w:rFonts w:ascii="Arial" w:eastAsia="Arial" w:hAnsi="Arial" w:cs="Arial"/>
          <w:sz w:val="25"/>
        </w:rPr>
        <w:t xml:space="preserve"> (data final), desempenhando as seguintes ações (síntese):</w:t>
      </w:r>
      <w:r w:rsidR="00512AB2" w:rsidRPr="00512AB2">
        <w:t xml:space="preserve"> </w:t>
      </w:r>
      <w:r w:rsidR="00574E24" w:rsidRPr="00574E24">
        <w:rPr>
          <w:rFonts w:ascii="Arial" w:eastAsia="Arial" w:hAnsi="Arial" w:cs="Arial"/>
          <w:b/>
          <w:bCs/>
          <w:sz w:val="25"/>
        </w:rPr>
        <w:t>Análise dos indicadores, criação de resumo e criação de base de dados</w:t>
      </w:r>
      <w:r w:rsidR="00574E24">
        <w:rPr>
          <w:rFonts w:ascii="Arial" w:eastAsia="Arial" w:hAnsi="Arial" w:cs="Arial"/>
          <w:b/>
          <w:bCs/>
          <w:sz w:val="25"/>
        </w:rPr>
        <w:t xml:space="preserve"> para mineração de dados</w:t>
      </w:r>
      <w:r w:rsidR="003E4AC7" w:rsidRPr="003E4AC7">
        <w:rPr>
          <w:rFonts w:ascii="Arial" w:eastAsia="Arial" w:hAnsi="Arial" w:cs="Arial"/>
          <w:b/>
          <w:bCs/>
          <w:sz w:val="25"/>
        </w:rPr>
        <w:t>.</w:t>
      </w:r>
      <w:r>
        <w:rPr>
          <w:rFonts w:ascii="Arial" w:eastAsia="Arial" w:hAnsi="Arial" w:cs="Arial"/>
          <w:sz w:val="25"/>
        </w:rPr>
        <w:t xml:space="preserve"> </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49F43" w14:textId="77777777" w:rsidR="00AA374D" w:rsidRDefault="00AA374D">
      <w:pPr>
        <w:spacing w:after="0" w:line="240" w:lineRule="auto"/>
      </w:pPr>
      <w:r>
        <w:separator/>
      </w:r>
    </w:p>
  </w:endnote>
  <w:endnote w:type="continuationSeparator" w:id="0">
    <w:p w14:paraId="1C1A2544" w14:textId="77777777" w:rsidR="00AA374D" w:rsidRDefault="00AA3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7CA4" w14:textId="77777777" w:rsidR="00AA374D" w:rsidRDefault="00AA374D">
      <w:pPr>
        <w:spacing w:after="0" w:line="240" w:lineRule="auto"/>
      </w:pPr>
      <w:r>
        <w:separator/>
      </w:r>
    </w:p>
  </w:footnote>
  <w:footnote w:type="continuationSeparator" w:id="0">
    <w:p w14:paraId="0C860787" w14:textId="77777777" w:rsidR="00AA374D" w:rsidRDefault="00AA3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65022"/>
    <w:rsid w:val="000A01A7"/>
    <w:rsid w:val="000B0E70"/>
    <w:rsid w:val="00144E8B"/>
    <w:rsid w:val="002C73DB"/>
    <w:rsid w:val="003E4AC7"/>
    <w:rsid w:val="00503392"/>
    <w:rsid w:val="00512AB2"/>
    <w:rsid w:val="00574E24"/>
    <w:rsid w:val="005B24BD"/>
    <w:rsid w:val="005B78B0"/>
    <w:rsid w:val="00644ACC"/>
    <w:rsid w:val="00666EFB"/>
    <w:rsid w:val="00672EE7"/>
    <w:rsid w:val="007537F1"/>
    <w:rsid w:val="007D3A62"/>
    <w:rsid w:val="00807DD8"/>
    <w:rsid w:val="00953FAE"/>
    <w:rsid w:val="00954FE1"/>
    <w:rsid w:val="0098061D"/>
    <w:rsid w:val="009D02BB"/>
    <w:rsid w:val="00AA374D"/>
    <w:rsid w:val="00AD317B"/>
    <w:rsid w:val="00B45B06"/>
    <w:rsid w:val="00B63156"/>
    <w:rsid w:val="00C27569"/>
    <w:rsid w:val="00C857F8"/>
    <w:rsid w:val="00C95B11"/>
    <w:rsid w:val="00D2154A"/>
    <w:rsid w:val="00E85750"/>
    <w:rsid w:val="00FF6BF9"/>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9719">
      <w:bodyDiv w:val="1"/>
      <w:marLeft w:val="0"/>
      <w:marRight w:val="0"/>
      <w:marTop w:val="0"/>
      <w:marBottom w:val="0"/>
      <w:divBdr>
        <w:top w:val="none" w:sz="0" w:space="0" w:color="auto"/>
        <w:left w:val="none" w:sz="0" w:space="0" w:color="auto"/>
        <w:bottom w:val="none" w:sz="0" w:space="0" w:color="auto"/>
        <w:right w:val="none" w:sz="0" w:space="0" w:color="auto"/>
      </w:divBdr>
      <w:divsChild>
        <w:div w:id="496574567">
          <w:marLeft w:val="0"/>
          <w:marRight w:val="0"/>
          <w:marTop w:val="0"/>
          <w:marBottom w:val="0"/>
          <w:divBdr>
            <w:top w:val="none" w:sz="0" w:space="0" w:color="auto"/>
            <w:left w:val="none" w:sz="0" w:space="0" w:color="auto"/>
            <w:bottom w:val="none" w:sz="0" w:space="0" w:color="auto"/>
            <w:right w:val="none" w:sz="0" w:space="0" w:color="auto"/>
          </w:divBdr>
          <w:divsChild>
            <w:div w:id="19272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Props1.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895</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16</cp:revision>
  <dcterms:created xsi:type="dcterms:W3CDTF">2025-05-28T17:18:00Z</dcterms:created>
  <dcterms:modified xsi:type="dcterms:W3CDTF">2025-06-04T11:34:00Z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