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F3902" w14:textId="5C1FADD7" w:rsidR="0044159D" w:rsidRPr="00C47876" w:rsidRDefault="0044159D" w:rsidP="0044159D">
      <w:pPr>
        <w:pStyle w:val="Heading2"/>
        <w:numPr>
          <w:ilvl w:val="0"/>
          <w:numId w:val="0"/>
        </w:numPr>
        <w:spacing w:line="269" w:lineRule="auto"/>
        <w:ind w:left="576" w:hanging="576"/>
        <w:rPr>
          <w:rFonts w:ascii="Calibri" w:eastAsia="Times New Roman" w:hAnsi="Calibri" w:cs="Calibri"/>
          <w:lang w:val="en-GB"/>
        </w:rPr>
      </w:pPr>
      <w:r w:rsidRPr="00C47876">
        <w:rPr>
          <w:rStyle w:val="Heading5Char"/>
          <w:color w:val="000000" w:themeColor="text1"/>
          <w:lang w:val="en-GB"/>
        </w:rPr>
        <w:t>EARLY CHILDHOOD</w:t>
      </w:r>
      <w:r>
        <w:rPr>
          <w:rStyle w:val="Heading5Char"/>
          <w:color w:val="000000" w:themeColor="text1"/>
          <w:lang w:val="en-GB"/>
        </w:rPr>
        <w:t xml:space="preserve"> DEVELOPMENT INDEX 2030 (ECDI2030)</w:t>
      </w:r>
    </w:p>
    <w:p w14:paraId="6F6ADF29" w14:textId="77777777" w:rsidR="0044159D" w:rsidRPr="00C47876" w:rsidRDefault="0044159D" w:rsidP="0044159D">
      <w:pPr>
        <w:spacing w:before="100" w:after="200" w:line="240" w:lineRule="auto"/>
        <w:rPr>
          <w:rFonts w:ascii="Calibri" w:eastAsia="Times New Roman" w:hAnsi="Calibri" w:cs="Calibri"/>
          <w:sz w:val="20"/>
          <w:szCs w:val="20"/>
          <w:lang w:val="en-GB"/>
        </w:rPr>
      </w:pPr>
      <w:r w:rsidRPr="00C47876">
        <w:rPr>
          <w:rFonts w:ascii="Calibri" w:eastAsia="Times New Roman" w:hAnsi="Calibri" w:cs="Calibri"/>
          <w:sz w:val="20"/>
          <w:szCs w:val="20"/>
          <w:lang w:val="en-GB"/>
        </w:rPr>
        <w:t>Early childhood development is a multidimensional process that involves an ordered progression of motor, cognitive, language, socio-emotional and regulatory skills and capacities across the first few years of life.</w:t>
      </w:r>
      <w:r>
        <w:rPr>
          <w:rStyle w:val="FootnoteReference"/>
          <w:rFonts w:ascii="Calibri" w:eastAsia="Times New Roman" w:hAnsi="Calibri" w:cs="Calibri"/>
          <w:sz w:val="20"/>
          <w:szCs w:val="20"/>
          <w:lang w:val="en-GB"/>
        </w:rPr>
        <w:footnoteReference w:id="1"/>
      </w:r>
      <w:r w:rsidRPr="00C47876">
        <w:rPr>
          <w:rFonts w:ascii="Calibri" w:eastAsia="Times New Roman" w:hAnsi="Calibri" w:cs="Calibri"/>
          <w:sz w:val="20"/>
          <w:szCs w:val="20"/>
          <w:lang w:val="en-GB"/>
        </w:rPr>
        <w:t xml:space="preserve"> While these are distinct domains of early childhood development, they are interconnected. Nurturing and supporting all these dimensions in a holistic manner is key to ensuring children have the best chance to reach their full potential. Physical growth, literacy and numeracy skills, socio-emotional development and learning readiness set the trajectory for lifelong health, learning and well-being</w:t>
      </w:r>
      <w:r>
        <w:rPr>
          <w:rFonts w:ascii="Calibri" w:eastAsia="Times New Roman" w:hAnsi="Calibri" w:cs="Calibri"/>
          <w:sz w:val="20"/>
          <w:szCs w:val="20"/>
          <w:lang w:val="en-GB"/>
        </w:rPr>
        <w:t>.</w:t>
      </w:r>
      <w:r>
        <w:rPr>
          <w:rStyle w:val="FootnoteReference"/>
          <w:rFonts w:ascii="Calibri" w:eastAsia="Times New Roman" w:hAnsi="Calibri" w:cs="Calibri"/>
          <w:sz w:val="20"/>
          <w:szCs w:val="20"/>
          <w:lang w:val="en-GB"/>
        </w:rPr>
        <w:footnoteReference w:id="2"/>
      </w:r>
    </w:p>
    <w:p w14:paraId="72001523" w14:textId="77777777" w:rsidR="0044159D" w:rsidRDefault="0044159D" w:rsidP="0044159D">
      <w:pPr>
        <w:spacing w:before="100" w:after="200" w:line="240" w:lineRule="auto"/>
        <w:rPr>
          <w:rFonts w:ascii="Calibri" w:eastAsia="Times New Roman" w:hAnsi="Calibri" w:cs="Calibri"/>
          <w:sz w:val="20"/>
          <w:szCs w:val="20"/>
          <w:lang w:val="en-GB"/>
        </w:rPr>
      </w:pPr>
      <w:r w:rsidRPr="00C47876">
        <w:rPr>
          <w:rFonts w:ascii="Calibri" w:eastAsia="Times New Roman" w:hAnsi="Calibri" w:cs="Calibri"/>
          <w:sz w:val="20"/>
          <w:szCs w:val="20"/>
        </w:rPr>
        <w:t xml:space="preserve">The Early Childhood Development Index 2030 (ECDI2030) </w:t>
      </w:r>
      <w:r>
        <w:rPr>
          <w:rFonts w:ascii="Calibri" w:eastAsia="Times New Roman" w:hAnsi="Calibri" w:cs="Calibri"/>
          <w:sz w:val="20"/>
          <w:szCs w:val="20"/>
        </w:rPr>
        <w:t xml:space="preserve">module </w:t>
      </w:r>
      <w:r w:rsidRPr="00C47876">
        <w:rPr>
          <w:rFonts w:ascii="Calibri" w:eastAsia="Times New Roman" w:hAnsi="Calibri" w:cs="Calibri"/>
          <w:sz w:val="20"/>
          <w:szCs w:val="20"/>
        </w:rPr>
        <w:t xml:space="preserve">captures the achievement of key developmental milestones by children between the ages of 24 and 59 months. </w:t>
      </w:r>
      <w:r w:rsidRPr="00C47876">
        <w:rPr>
          <w:rFonts w:ascii="Calibri" w:eastAsia="Times New Roman" w:hAnsi="Calibri" w:cs="Calibri"/>
          <w:sz w:val="20"/>
          <w:szCs w:val="20"/>
          <w:lang w:val="en-GB"/>
        </w:rPr>
        <w:t>The data generated by the ECDI2030 can be used for monitoring and reporting on SDG indicator 4.2.1</w:t>
      </w:r>
      <w:r>
        <w:rPr>
          <w:rFonts w:ascii="Calibri" w:eastAsia="Times New Roman" w:hAnsi="Calibri" w:cs="Calibri"/>
          <w:sz w:val="20"/>
          <w:szCs w:val="20"/>
          <w:lang w:val="en-GB"/>
        </w:rPr>
        <w:t>, and to</w:t>
      </w:r>
      <w:r w:rsidRPr="00C47876">
        <w:rPr>
          <w:rFonts w:ascii="Calibri" w:eastAsia="Times New Roman" w:hAnsi="Calibri" w:cs="Calibri"/>
          <w:sz w:val="20"/>
          <w:szCs w:val="20"/>
          <w:lang w:val="en-GB"/>
        </w:rPr>
        <w:t xml:space="preserve"> inform government efforts to improve developmental outcomes among children. </w:t>
      </w:r>
    </w:p>
    <w:p w14:paraId="0837D9A0" w14:textId="5FF4AFE4" w:rsidR="0044159D" w:rsidRPr="00C47876" w:rsidRDefault="0044159D" w:rsidP="0044159D">
      <w:pPr>
        <w:spacing w:before="100" w:after="200" w:line="240" w:lineRule="auto"/>
        <w:rPr>
          <w:rFonts w:ascii="Calibri" w:eastAsia="Times New Roman" w:hAnsi="Calibri" w:cs="Calibri"/>
          <w:sz w:val="20"/>
          <w:szCs w:val="20"/>
        </w:rPr>
      </w:pPr>
      <w:r w:rsidRPr="00C47876">
        <w:rPr>
          <w:rFonts w:ascii="Calibri" w:eastAsia="Times New Roman" w:hAnsi="Calibri" w:cs="Calibri"/>
          <w:sz w:val="20"/>
          <w:szCs w:val="20"/>
        </w:rPr>
        <w:t xml:space="preserve">The </w:t>
      </w:r>
      <w:r>
        <w:rPr>
          <w:rFonts w:ascii="Calibri" w:eastAsia="Times New Roman" w:hAnsi="Calibri" w:cs="Calibri"/>
          <w:sz w:val="20"/>
          <w:szCs w:val="20"/>
        </w:rPr>
        <w:t>measure includes</w:t>
      </w:r>
      <w:r w:rsidRPr="00C47876">
        <w:rPr>
          <w:rFonts w:ascii="Calibri" w:eastAsia="Times New Roman" w:hAnsi="Calibri" w:cs="Calibri"/>
          <w:sz w:val="20"/>
          <w:szCs w:val="20"/>
        </w:rPr>
        <w:t xml:space="preserve"> 20 questions</w:t>
      </w:r>
      <w:r>
        <w:rPr>
          <w:rFonts w:ascii="Calibri" w:eastAsia="Times New Roman" w:hAnsi="Calibri" w:cs="Calibri"/>
          <w:sz w:val="20"/>
          <w:szCs w:val="20"/>
        </w:rPr>
        <w:t xml:space="preserve"> </w:t>
      </w:r>
      <w:r w:rsidRPr="00C47876">
        <w:rPr>
          <w:rFonts w:ascii="Calibri" w:eastAsia="Times New Roman" w:hAnsi="Calibri" w:cs="Calibri"/>
          <w:sz w:val="20"/>
          <w:szCs w:val="20"/>
        </w:rPr>
        <w:t>about the way children behave in certain everyday situations, and the skills and knowledge they have acquired</w:t>
      </w:r>
      <w:r>
        <w:rPr>
          <w:rFonts w:ascii="Calibri" w:eastAsia="Times New Roman" w:hAnsi="Calibri" w:cs="Calibri"/>
          <w:sz w:val="20"/>
          <w:szCs w:val="20"/>
        </w:rPr>
        <w:t xml:space="preserve">, reflecting the </w:t>
      </w:r>
      <w:r w:rsidRPr="00FF1D19">
        <w:rPr>
          <w:rFonts w:ascii="Calibri" w:eastAsia="Times New Roman" w:hAnsi="Calibri" w:cs="Calibri"/>
          <w:sz w:val="20"/>
          <w:szCs w:val="20"/>
        </w:rPr>
        <w:t>increasing difficulty of the skills children acquire as they grow. </w:t>
      </w:r>
      <w:r w:rsidRPr="00C47876">
        <w:rPr>
          <w:rFonts w:ascii="Calibri" w:eastAsia="Times New Roman" w:hAnsi="Calibri" w:cs="Calibri"/>
          <w:sz w:val="20"/>
          <w:szCs w:val="20"/>
          <w:lang w:val="en-GB"/>
        </w:rPr>
        <w:t xml:space="preserve">The 20 items are </w:t>
      </w:r>
      <w:r w:rsidRPr="007B38F6">
        <w:rPr>
          <w:rFonts w:ascii="Calibri" w:eastAsia="Times New Roman" w:hAnsi="Calibri" w:cs="Calibri"/>
          <w:sz w:val="20"/>
          <w:szCs w:val="20"/>
          <w:lang w:val="en-GB"/>
        </w:rPr>
        <w:t xml:space="preserve">organized according to the three general domains of health, learning and psychosocial well-being. </w:t>
      </w:r>
      <w:r w:rsidR="000E269E">
        <w:rPr>
          <w:rFonts w:ascii="Calibri" w:eastAsia="Times New Roman" w:hAnsi="Calibri" w:cs="Calibri"/>
          <w:sz w:val="20"/>
          <w:szCs w:val="20"/>
          <w:lang w:val="en-GB"/>
        </w:rPr>
        <w:t>Children are</w:t>
      </w:r>
      <w:r>
        <w:rPr>
          <w:rFonts w:ascii="Calibri" w:eastAsia="Times New Roman" w:hAnsi="Calibri" w:cs="Calibri"/>
          <w:sz w:val="20"/>
          <w:szCs w:val="20"/>
          <w:lang w:val="en-GB"/>
        </w:rPr>
        <w:t xml:space="preserve"> considered to be developmentally on track if they have achieved the minimum number of milestones expected for their age group.</w:t>
      </w:r>
      <w:r>
        <w:rPr>
          <w:rFonts w:ascii="Calibri" w:eastAsia="Times New Roman" w:hAnsi="Calibri" w:cs="Calibri"/>
          <w:sz w:val="20"/>
          <w:szCs w:val="20"/>
        </w:rPr>
        <w:t xml:space="preserve"> </w:t>
      </w:r>
      <w:r>
        <w:rPr>
          <w:rFonts w:ascii="Calibri" w:eastAsia="Times New Roman" w:hAnsi="Calibri" w:cs="Calibri"/>
          <w:sz w:val="20"/>
          <w:szCs w:val="20"/>
          <w:lang w:val="en-GB"/>
        </w:rPr>
        <w:t>Each of the three general domains is composed of a set of core sub-domains</w:t>
      </w:r>
      <w:r w:rsidRPr="00C47876">
        <w:rPr>
          <w:rFonts w:ascii="Calibri" w:eastAsia="Times New Roman" w:hAnsi="Calibri" w:cs="Calibri"/>
          <w:sz w:val="20"/>
          <w:szCs w:val="20"/>
          <w:lang w:val="en-GB"/>
        </w:rPr>
        <w:t>:</w:t>
      </w:r>
    </w:p>
    <w:p w14:paraId="61A496FB" w14:textId="77777777" w:rsidR="0044159D" w:rsidRPr="00C47876" w:rsidRDefault="0044159D" w:rsidP="0044159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sz w:val="20"/>
          <w:szCs w:val="20"/>
          <w:lang w:val="en-GB"/>
        </w:rPr>
        <w:t xml:space="preserve">Health sub-domains: </w:t>
      </w:r>
      <w:r w:rsidRPr="00C47876">
        <w:rPr>
          <w:rFonts w:ascii="Calibri" w:eastAsia="Times New Roman" w:hAnsi="Calibri" w:cs="Calibri"/>
          <w:sz w:val="20"/>
          <w:szCs w:val="20"/>
        </w:rPr>
        <w:t>gross motor development, fine motor development and self-care.</w:t>
      </w:r>
    </w:p>
    <w:p w14:paraId="0240FC72" w14:textId="77777777" w:rsidR="0044159D" w:rsidRPr="00C47876" w:rsidRDefault="0044159D" w:rsidP="0044159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sz w:val="20"/>
          <w:szCs w:val="20"/>
          <w:lang w:val="en-GB"/>
        </w:rPr>
        <w:t>L</w:t>
      </w:r>
      <w:r w:rsidRPr="00C47876">
        <w:rPr>
          <w:rFonts w:ascii="Calibri" w:eastAsia="Times New Roman" w:hAnsi="Calibri" w:cs="Calibri"/>
          <w:sz w:val="20"/>
          <w:szCs w:val="20"/>
          <w:lang w:val="en-GB"/>
        </w:rPr>
        <w:t xml:space="preserve">earning </w:t>
      </w:r>
      <w:r>
        <w:rPr>
          <w:rFonts w:ascii="Calibri" w:eastAsia="Times New Roman" w:hAnsi="Calibri" w:cs="Calibri"/>
          <w:sz w:val="20"/>
          <w:szCs w:val="20"/>
          <w:lang w:val="en-GB"/>
        </w:rPr>
        <w:t>sub-d</w:t>
      </w:r>
      <w:r w:rsidRPr="00C47876">
        <w:rPr>
          <w:rFonts w:ascii="Calibri" w:eastAsia="Times New Roman" w:hAnsi="Calibri" w:cs="Calibri"/>
          <w:sz w:val="20"/>
          <w:szCs w:val="20"/>
          <w:lang w:val="en-GB"/>
        </w:rPr>
        <w:t>omain</w:t>
      </w:r>
      <w:r>
        <w:rPr>
          <w:rFonts w:ascii="Calibri" w:eastAsia="Times New Roman" w:hAnsi="Calibri" w:cs="Calibri"/>
          <w:sz w:val="20"/>
          <w:szCs w:val="20"/>
          <w:lang w:val="en-GB"/>
        </w:rPr>
        <w:t>s:</w:t>
      </w:r>
      <w:r w:rsidRPr="00C47876">
        <w:rPr>
          <w:rFonts w:ascii="Calibri" w:eastAsia="Times New Roman" w:hAnsi="Calibri" w:cs="Calibri"/>
          <w:sz w:val="20"/>
          <w:szCs w:val="20"/>
        </w:rPr>
        <w:t xml:space="preserve"> expressive language, literacy, numeracy, pre-writing, and executive functioning.</w:t>
      </w:r>
    </w:p>
    <w:p w14:paraId="12214C0D" w14:textId="77777777" w:rsidR="0044159D" w:rsidRPr="00C47876" w:rsidRDefault="0044159D" w:rsidP="0044159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sz w:val="20"/>
          <w:szCs w:val="20"/>
          <w:lang w:val="en-GB"/>
        </w:rPr>
        <w:t>P</w:t>
      </w:r>
      <w:r w:rsidRPr="00C47876">
        <w:rPr>
          <w:rFonts w:ascii="Calibri" w:eastAsia="Times New Roman" w:hAnsi="Calibri" w:cs="Calibri"/>
          <w:sz w:val="20"/>
          <w:szCs w:val="20"/>
          <w:lang w:val="en-GB"/>
        </w:rPr>
        <w:t xml:space="preserve">sychosocial well-being </w:t>
      </w:r>
      <w:r>
        <w:rPr>
          <w:rFonts w:ascii="Calibri" w:eastAsia="Times New Roman" w:hAnsi="Calibri" w:cs="Calibri"/>
          <w:sz w:val="20"/>
          <w:szCs w:val="20"/>
          <w:lang w:val="en-GB"/>
        </w:rPr>
        <w:t>sub-</w:t>
      </w:r>
      <w:r w:rsidRPr="00C47876">
        <w:rPr>
          <w:rFonts w:ascii="Calibri" w:eastAsia="Times New Roman" w:hAnsi="Calibri" w:cs="Calibri"/>
          <w:sz w:val="20"/>
          <w:szCs w:val="20"/>
          <w:lang w:val="en-GB"/>
        </w:rPr>
        <w:t>domai</w:t>
      </w:r>
      <w:r>
        <w:rPr>
          <w:rFonts w:ascii="Calibri" w:eastAsia="Times New Roman" w:hAnsi="Calibri" w:cs="Calibri"/>
          <w:sz w:val="20"/>
          <w:szCs w:val="20"/>
          <w:lang w:val="en-GB"/>
        </w:rPr>
        <w:t>ns:</w:t>
      </w:r>
      <w:r w:rsidRPr="00C47876">
        <w:rPr>
          <w:rFonts w:ascii="Calibri" w:eastAsia="Times New Roman" w:hAnsi="Calibri" w:cs="Calibri"/>
          <w:sz w:val="20"/>
          <w:szCs w:val="20"/>
          <w:lang w:val="en-GB"/>
        </w:rPr>
        <w:t xml:space="preserve"> </w:t>
      </w:r>
      <w:r w:rsidRPr="00C47876">
        <w:rPr>
          <w:rFonts w:ascii="Calibri" w:eastAsia="Times New Roman" w:hAnsi="Calibri" w:cs="Calibri"/>
          <w:sz w:val="20"/>
          <w:szCs w:val="20"/>
        </w:rPr>
        <w:t>emotional skills, social skills, internalizing behavior, and externalizing behavior.</w:t>
      </w:r>
    </w:p>
    <w:p w14:paraId="226F4FC4" w14:textId="77777777" w:rsidR="0044159D" w:rsidRPr="00C47876" w:rsidRDefault="0044159D" w:rsidP="0044159D">
      <w:pPr>
        <w:spacing w:after="0" w:line="240" w:lineRule="auto"/>
        <w:ind w:left="540"/>
        <w:rPr>
          <w:rFonts w:ascii="Calibri" w:eastAsia="Times New Roman" w:hAnsi="Calibri" w:cs="Calibri"/>
          <w:sz w:val="20"/>
          <w:szCs w:val="20"/>
          <w:lang w:val="en-GB"/>
        </w:rPr>
      </w:pPr>
      <w:r w:rsidRPr="00C47876">
        <w:rPr>
          <w:rFonts w:ascii="Calibri" w:eastAsia="Times New Roman" w:hAnsi="Calibri" w:cs="Calibri"/>
          <w:sz w:val="20"/>
          <w:szCs w:val="20"/>
          <w:lang w:val="en-GB"/>
        </w:rPr>
        <w:t> </w:t>
      </w:r>
    </w:p>
    <w:p w14:paraId="2353CFCC" w14:textId="77777777" w:rsidR="0044159D" w:rsidRDefault="0044159D" w:rsidP="0044159D">
      <w:pPr>
        <w:spacing w:before="100" w:after="200" w:line="240" w:lineRule="auto"/>
        <w:rPr>
          <w:rFonts w:ascii="Calibri" w:eastAsia="Times New Roman" w:hAnsi="Calibri" w:cs="Calibri"/>
          <w:sz w:val="20"/>
          <w:szCs w:val="20"/>
        </w:rPr>
      </w:pPr>
      <w:r w:rsidRPr="00C47876">
        <w:rPr>
          <w:rFonts w:ascii="Calibri" w:eastAsia="Times New Roman" w:hAnsi="Calibri" w:cs="Calibri"/>
          <w:sz w:val="20"/>
          <w:szCs w:val="20"/>
        </w:rPr>
        <w:t>The</w:t>
      </w:r>
      <w:r>
        <w:rPr>
          <w:rFonts w:ascii="Calibri" w:eastAsia="Times New Roman" w:hAnsi="Calibri" w:cs="Calibri"/>
          <w:sz w:val="20"/>
          <w:szCs w:val="20"/>
        </w:rPr>
        <w:t xml:space="preserve"> ECDI2030 module is not designed to report on individual domains separately. Rather, it is meant to produce a single summary score that captures the interlinked developmental concepts embedded in the three domains mentioned in SDG 4.2.1.</w:t>
      </w:r>
      <w:r>
        <w:rPr>
          <w:rStyle w:val="FootnoteReference"/>
          <w:rFonts w:ascii="Calibri" w:eastAsia="Times New Roman" w:hAnsi="Calibri" w:cs="Calibri"/>
          <w:sz w:val="20"/>
          <w:szCs w:val="20"/>
        </w:rPr>
        <w:footnoteReference w:id="3"/>
      </w:r>
      <w:r>
        <w:rPr>
          <w:rFonts w:ascii="Calibri" w:eastAsia="Times New Roman" w:hAnsi="Calibri" w:cs="Calibri"/>
          <w:sz w:val="20"/>
          <w:szCs w:val="20"/>
        </w:rPr>
        <w:t xml:space="preserve"> </w:t>
      </w:r>
    </w:p>
    <w:p w14:paraId="6157846C" w14:textId="1AAA4395" w:rsidR="0044159D" w:rsidRPr="00C47876" w:rsidRDefault="0044159D" w:rsidP="0044159D">
      <w:pPr>
        <w:spacing w:before="100" w:after="200" w:line="240" w:lineRule="auto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 xml:space="preserve">The </w:t>
      </w:r>
      <w:r w:rsidRPr="00C47876">
        <w:rPr>
          <w:rFonts w:ascii="Calibri" w:eastAsia="Times New Roman" w:hAnsi="Calibri" w:cs="Calibri"/>
          <w:sz w:val="20"/>
          <w:szCs w:val="20"/>
        </w:rPr>
        <w:t xml:space="preserve">indicator derived from the ECDI2030 </w:t>
      </w:r>
      <w:r>
        <w:rPr>
          <w:rFonts w:ascii="Calibri" w:eastAsia="Times New Roman" w:hAnsi="Calibri" w:cs="Calibri"/>
          <w:sz w:val="20"/>
          <w:szCs w:val="20"/>
        </w:rPr>
        <w:t xml:space="preserve">module </w:t>
      </w:r>
      <w:r w:rsidRPr="00C47876">
        <w:rPr>
          <w:rFonts w:ascii="Calibri" w:eastAsia="Times New Roman" w:hAnsi="Calibri" w:cs="Calibri"/>
          <w:sz w:val="20"/>
          <w:szCs w:val="20"/>
        </w:rPr>
        <w:t>is the percentage of children aged 24 to 59 months who have achieved the minimum number of milestones expected for their age group</w:t>
      </w:r>
      <w:r w:rsidR="009349E2">
        <w:rPr>
          <w:rFonts w:ascii="Calibri" w:eastAsia="Times New Roman" w:hAnsi="Calibri" w:cs="Calibri"/>
          <w:sz w:val="20"/>
          <w:szCs w:val="20"/>
        </w:rPr>
        <w:t>.</w:t>
      </w:r>
      <w:r>
        <w:rPr>
          <w:rStyle w:val="FootnoteReference"/>
          <w:rFonts w:ascii="Calibri" w:eastAsia="Times New Roman" w:hAnsi="Calibri" w:cs="Calibri"/>
          <w:sz w:val="20"/>
          <w:szCs w:val="20"/>
        </w:rPr>
        <w:footnoteReference w:id="4"/>
      </w:r>
      <w:r w:rsidRPr="00C47876">
        <w:rPr>
          <w:rFonts w:ascii="Calibri" w:eastAsia="Times New Roman" w:hAnsi="Calibri" w:cs="Calibri"/>
          <w:sz w:val="20"/>
          <w:szCs w:val="20"/>
          <w:lang w:val="en-GB"/>
        </w:rPr>
        <w:t xml:space="preserve"> </w:t>
      </w:r>
    </w:p>
    <w:p w14:paraId="75800FBA" w14:textId="593405F0" w:rsidR="0044159D" w:rsidRPr="00C47876" w:rsidRDefault="0044159D" w:rsidP="0044159D">
      <w:pPr>
        <w:spacing w:before="100" w:after="200" w:line="240" w:lineRule="auto"/>
        <w:jc w:val="center"/>
        <w:rPr>
          <w:rFonts w:ascii="Calibri" w:eastAsia="Times New Roman" w:hAnsi="Calibri" w:cs="Calibri"/>
          <w:color w:val="FF0000"/>
          <w:sz w:val="20"/>
          <w:szCs w:val="20"/>
          <w:lang w:val="en-GB"/>
        </w:rPr>
      </w:pPr>
    </w:p>
    <w:p w14:paraId="488C7B34" w14:textId="77777777" w:rsidR="000009A0" w:rsidRDefault="000009A0"/>
    <w:sectPr w:rsidR="00000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868FF" w14:textId="77777777" w:rsidR="00556E5D" w:rsidRDefault="00556E5D" w:rsidP="0044159D">
      <w:pPr>
        <w:spacing w:after="0" w:line="240" w:lineRule="auto"/>
      </w:pPr>
      <w:r>
        <w:separator/>
      </w:r>
    </w:p>
  </w:endnote>
  <w:endnote w:type="continuationSeparator" w:id="0">
    <w:p w14:paraId="41BD4746" w14:textId="77777777" w:rsidR="00556E5D" w:rsidRDefault="00556E5D" w:rsidP="00441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C1C0D" w14:textId="77777777" w:rsidR="00556E5D" w:rsidRDefault="00556E5D" w:rsidP="0044159D">
      <w:pPr>
        <w:spacing w:after="0" w:line="240" w:lineRule="auto"/>
      </w:pPr>
      <w:r>
        <w:separator/>
      </w:r>
    </w:p>
  </w:footnote>
  <w:footnote w:type="continuationSeparator" w:id="0">
    <w:p w14:paraId="68949AF4" w14:textId="77777777" w:rsidR="00556E5D" w:rsidRDefault="00556E5D" w:rsidP="0044159D">
      <w:pPr>
        <w:spacing w:after="0" w:line="240" w:lineRule="auto"/>
      </w:pPr>
      <w:r>
        <w:continuationSeparator/>
      </w:r>
    </w:p>
  </w:footnote>
  <w:footnote w:id="1">
    <w:p w14:paraId="07D346A5" w14:textId="3BD4B25D" w:rsidR="0044159D" w:rsidRPr="0044159D" w:rsidRDefault="0044159D" w:rsidP="0044159D">
      <w:pPr>
        <w:spacing w:after="0" w:line="240" w:lineRule="auto"/>
        <w:jc w:val="both"/>
        <w:rPr>
          <w:rFonts w:ascii="Calibri" w:eastAsia="Times New Roman" w:hAnsi="Calibri" w:cs="Calibri"/>
          <w:sz w:val="18"/>
          <w:szCs w:val="18"/>
        </w:rPr>
      </w:pPr>
      <w:r w:rsidRPr="0044159D">
        <w:rPr>
          <w:rStyle w:val="FootnoteReference"/>
          <w:sz w:val="18"/>
          <w:szCs w:val="18"/>
        </w:rPr>
        <w:footnoteRef/>
      </w:r>
      <w:r w:rsidRPr="0044159D">
        <w:rPr>
          <w:sz w:val="18"/>
          <w:szCs w:val="18"/>
        </w:rPr>
        <w:t xml:space="preserve"> </w:t>
      </w:r>
      <w:r w:rsidRPr="0044159D">
        <w:rPr>
          <w:rFonts w:ascii="Calibri" w:eastAsia="Times New Roman" w:hAnsi="Calibri" w:cs="Calibri"/>
          <w:sz w:val="18"/>
          <w:szCs w:val="18"/>
          <w:lang w:val="en-GB"/>
        </w:rPr>
        <w:t xml:space="preserve">UNICEF et al. </w:t>
      </w:r>
      <w:r w:rsidRPr="0044159D">
        <w:rPr>
          <w:rFonts w:ascii="Calibri" w:eastAsia="Times New Roman" w:hAnsi="Calibri" w:cs="Calibri"/>
          <w:i/>
          <w:iCs/>
          <w:sz w:val="18"/>
          <w:szCs w:val="18"/>
          <w:lang w:val="en-GB"/>
        </w:rPr>
        <w:t xml:space="preserve">Advancing Early Childhood Development: From Science to Scale. </w:t>
      </w:r>
      <w:r w:rsidRPr="0044159D">
        <w:rPr>
          <w:rFonts w:ascii="Calibri" w:eastAsia="Times New Roman" w:hAnsi="Calibri" w:cs="Calibri"/>
          <w:sz w:val="18"/>
          <w:szCs w:val="18"/>
          <w:lang w:val="en-GB"/>
        </w:rPr>
        <w:t xml:space="preserve">Executive Summary, The Lancet, 2016. </w:t>
      </w:r>
      <w:hyperlink r:id="rId1" w:history="1">
        <w:r w:rsidRPr="0044159D">
          <w:rPr>
            <w:rFonts w:ascii="Calibri" w:eastAsia="Times New Roman" w:hAnsi="Calibri" w:cs="Calibri"/>
            <w:color w:val="0000FF"/>
            <w:sz w:val="18"/>
            <w:szCs w:val="18"/>
            <w:u w:val="single"/>
            <w:lang w:val="en-GB"/>
          </w:rPr>
          <w:t>https://www.thelancet.com/pb-assets/Lancet/stories/series/ecd/Lancet_ECD_Executive_Summary.pdf.</w:t>
        </w:r>
      </w:hyperlink>
    </w:p>
  </w:footnote>
  <w:footnote w:id="2">
    <w:p w14:paraId="4F49E755" w14:textId="77777777" w:rsidR="0044159D" w:rsidRPr="0044159D" w:rsidRDefault="0044159D" w:rsidP="0044159D">
      <w:pPr>
        <w:pStyle w:val="FootnoteText"/>
        <w:jc w:val="both"/>
        <w:rPr>
          <w:sz w:val="18"/>
          <w:szCs w:val="18"/>
        </w:rPr>
      </w:pPr>
      <w:r w:rsidRPr="0044159D">
        <w:rPr>
          <w:rStyle w:val="FootnoteReference"/>
          <w:sz w:val="18"/>
          <w:szCs w:val="18"/>
        </w:rPr>
        <w:footnoteRef/>
      </w:r>
      <w:r w:rsidRPr="0044159D">
        <w:rPr>
          <w:sz w:val="18"/>
          <w:szCs w:val="18"/>
        </w:rPr>
        <w:t xml:space="preserve"> </w:t>
      </w:r>
      <w:r w:rsidRPr="0044159D">
        <w:rPr>
          <w:rFonts w:ascii="Calibri" w:eastAsia="Times New Roman" w:hAnsi="Calibri" w:cs="Calibri"/>
          <w:sz w:val="18"/>
          <w:szCs w:val="18"/>
          <w:lang w:val="en-GB"/>
        </w:rPr>
        <w:t>Shonkoff, J. and D. Phillips. </w:t>
      </w:r>
      <w:r w:rsidRPr="0044159D">
        <w:rPr>
          <w:rFonts w:ascii="Calibri" w:eastAsia="Times New Roman" w:hAnsi="Calibri" w:cs="Calibri"/>
          <w:i/>
          <w:iCs/>
          <w:sz w:val="18"/>
          <w:szCs w:val="18"/>
          <w:lang w:val="en-GB"/>
        </w:rPr>
        <w:t xml:space="preserve">From Neurons to </w:t>
      </w:r>
      <w:proofErr w:type="spellStart"/>
      <w:r w:rsidRPr="0044159D">
        <w:rPr>
          <w:rFonts w:ascii="Calibri" w:eastAsia="Times New Roman" w:hAnsi="Calibri" w:cs="Calibri"/>
          <w:i/>
          <w:iCs/>
          <w:sz w:val="18"/>
          <w:szCs w:val="18"/>
          <w:lang w:val="en-GB"/>
        </w:rPr>
        <w:t>Neighborhoods</w:t>
      </w:r>
      <w:proofErr w:type="spellEnd"/>
      <w:r w:rsidRPr="0044159D">
        <w:rPr>
          <w:rFonts w:ascii="Calibri" w:eastAsia="Times New Roman" w:hAnsi="Calibri" w:cs="Calibri"/>
          <w:i/>
          <w:iCs/>
          <w:sz w:val="18"/>
          <w:szCs w:val="18"/>
          <w:lang w:val="en-GB"/>
        </w:rPr>
        <w:t>: The Science of Early Childhood Development</w:t>
      </w:r>
      <w:r w:rsidRPr="0044159D">
        <w:rPr>
          <w:rFonts w:ascii="Calibri" w:eastAsia="Times New Roman" w:hAnsi="Calibri" w:cs="Calibri"/>
          <w:sz w:val="18"/>
          <w:szCs w:val="18"/>
          <w:lang w:val="en-GB"/>
        </w:rPr>
        <w:t xml:space="preserve">. Washington, D.C.: National Academy Press, 2000.; United Nations Children’s Fund, </w:t>
      </w:r>
      <w:r w:rsidRPr="0044159D">
        <w:rPr>
          <w:rFonts w:ascii="Calibri" w:eastAsia="Times New Roman" w:hAnsi="Calibri" w:cs="Calibri"/>
          <w:i/>
          <w:iCs/>
          <w:sz w:val="18"/>
          <w:szCs w:val="18"/>
          <w:lang w:val="en-GB"/>
        </w:rPr>
        <w:t>Early Moments Matter</w:t>
      </w:r>
      <w:r w:rsidRPr="0044159D">
        <w:rPr>
          <w:rFonts w:ascii="Calibri" w:eastAsia="Times New Roman" w:hAnsi="Calibri" w:cs="Calibri"/>
          <w:sz w:val="18"/>
          <w:szCs w:val="18"/>
          <w:lang w:val="en-GB"/>
        </w:rPr>
        <w:t>, New York: UNICEF, 2017.</w:t>
      </w:r>
    </w:p>
  </w:footnote>
  <w:footnote w:id="3">
    <w:p w14:paraId="613C74FA" w14:textId="77777777" w:rsidR="0044159D" w:rsidRPr="0044159D" w:rsidRDefault="0044159D" w:rsidP="0044159D">
      <w:pPr>
        <w:pStyle w:val="FootnoteText"/>
        <w:jc w:val="both"/>
        <w:rPr>
          <w:sz w:val="18"/>
          <w:szCs w:val="18"/>
        </w:rPr>
      </w:pPr>
      <w:r w:rsidRPr="0044159D">
        <w:rPr>
          <w:rStyle w:val="FootnoteReference"/>
          <w:sz w:val="18"/>
          <w:szCs w:val="18"/>
        </w:rPr>
        <w:footnoteRef/>
      </w:r>
      <w:r w:rsidRPr="0044159D">
        <w:rPr>
          <w:sz w:val="18"/>
          <w:szCs w:val="18"/>
        </w:rPr>
        <w:t xml:space="preserve"> For details about the development of the ECDI2030 module and related indicator, see ‘ECDI2030-Frequently-Asked-Questions’: </w:t>
      </w:r>
      <w:hyperlink r:id="rId2" w:history="1">
        <w:r w:rsidRPr="0044159D">
          <w:rPr>
            <w:rStyle w:val="Hyperlink"/>
            <w:sz w:val="18"/>
            <w:szCs w:val="18"/>
          </w:rPr>
          <w:t>https://data.unicef.org/resources/early-childhood-development-index-2030-ecdi2030/</w:t>
        </w:r>
      </w:hyperlink>
      <w:r w:rsidRPr="0044159D">
        <w:rPr>
          <w:sz w:val="18"/>
          <w:szCs w:val="18"/>
        </w:rPr>
        <w:t xml:space="preserve"> </w:t>
      </w:r>
    </w:p>
  </w:footnote>
  <w:footnote w:id="4">
    <w:p w14:paraId="67609780" w14:textId="770A1316" w:rsidR="0044159D" w:rsidRPr="007B38F6" w:rsidRDefault="0044159D" w:rsidP="0044159D">
      <w:pPr>
        <w:pStyle w:val="FootnoteText"/>
        <w:jc w:val="both"/>
        <w:rPr>
          <w:sz w:val="18"/>
          <w:szCs w:val="18"/>
        </w:rPr>
      </w:pPr>
      <w:r w:rsidRPr="0044159D">
        <w:rPr>
          <w:rStyle w:val="FootnoteReference"/>
          <w:sz w:val="18"/>
          <w:szCs w:val="18"/>
        </w:rPr>
        <w:footnoteRef/>
      </w:r>
      <w:r w:rsidRPr="0044159D">
        <w:rPr>
          <w:sz w:val="18"/>
          <w:szCs w:val="18"/>
        </w:rPr>
        <w:t xml:space="preserve"> The indicator generated by the ECDI2030 module is not entirely comparable to the one generated by the ECDI</w:t>
      </w:r>
      <w:r>
        <w:rPr>
          <w:sz w:val="18"/>
          <w:szCs w:val="18"/>
        </w:rPr>
        <w:t xml:space="preserve"> </w:t>
      </w:r>
      <w:r w:rsidRPr="0044159D">
        <w:rPr>
          <w:sz w:val="18"/>
          <w:szCs w:val="18"/>
        </w:rPr>
        <w:t>module that was introduced in the MICS surveys in 2009. For more information see ‘ECDI2030-Frequently-Asked-Questions’.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146A1"/>
    <w:multiLevelType w:val="multilevel"/>
    <w:tmpl w:val="B4C0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38793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4604DF8"/>
    <w:multiLevelType w:val="multilevel"/>
    <w:tmpl w:val="DCC61880"/>
    <w:lvl w:ilvl="0">
      <w:start w:val="7"/>
      <w:numFmt w:val="decimal"/>
      <w:lvlText w:val="%1"/>
      <w:lvlJc w:val="left"/>
      <w:pPr>
        <w:ind w:left="420" w:hanging="420"/>
      </w:pPr>
      <w:rPr>
        <w:rFonts w:asciiTheme="minorHAnsi" w:eastAsiaTheme="minorEastAsia" w:hAnsiTheme="minorHAnsi" w:cstheme="minorBidi" w:hint="default"/>
        <w:color w:val="000000" w:themeColor="text1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asciiTheme="minorHAnsi" w:eastAsiaTheme="minorEastAsia" w:hAnsiTheme="minorHAnsi" w:cstheme="minorBidi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EastAsia" w:hAnsiTheme="minorHAnsi" w:cstheme="minorBidi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eastAsiaTheme="minorEastAsia" w:hAnsiTheme="minorHAnsi" w:cstheme="minorBidi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Theme="minorEastAsia" w:hAnsiTheme="minorHAnsi" w:cstheme="minorBidi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eastAsiaTheme="minorEastAsia" w:hAnsiTheme="minorHAnsi" w:cstheme="minorBidi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eastAsiaTheme="minorEastAsia" w:hAnsiTheme="minorHAnsi" w:cstheme="minorBidi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eastAsiaTheme="minorEastAsia" w:hAnsiTheme="minorHAnsi" w:cstheme="minorBidi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eastAsiaTheme="minorEastAsia" w:hAnsiTheme="minorHAnsi" w:cstheme="minorBidi" w:hint="default"/>
        <w:color w:val="000000" w:themeColor="text1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9D"/>
    <w:rsid w:val="000009A0"/>
    <w:rsid w:val="000E269E"/>
    <w:rsid w:val="001E614A"/>
    <w:rsid w:val="0044159D"/>
    <w:rsid w:val="00556E5D"/>
    <w:rsid w:val="009349E2"/>
    <w:rsid w:val="00D9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1031"/>
  <w15:chartTrackingRefBased/>
  <w15:docId w15:val="{7CCAFBEB-9A79-4CAA-9B8B-D51EAB8E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59D"/>
  </w:style>
  <w:style w:type="paragraph" w:styleId="Heading1">
    <w:name w:val="heading 1"/>
    <w:basedOn w:val="Normal"/>
    <w:next w:val="Normal"/>
    <w:link w:val="Heading1Char"/>
    <w:uiPriority w:val="9"/>
    <w:qFormat/>
    <w:rsid w:val="0044159D"/>
    <w:pPr>
      <w:numPr>
        <w:numId w:val="2"/>
      </w:num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59D"/>
    <w:pPr>
      <w:numPr>
        <w:ilvl w:val="1"/>
        <w:numId w:val="2"/>
      </w:num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59D"/>
    <w:pPr>
      <w:numPr>
        <w:ilvl w:val="2"/>
        <w:numId w:val="2"/>
      </w:numPr>
      <w:pBdr>
        <w:top w:val="single" w:sz="6" w:space="2" w:color="4472C4" w:themeColor="accent1"/>
      </w:pBdr>
      <w:spacing w:before="300" w:after="0" w:line="276" w:lineRule="auto"/>
      <w:outlineLvl w:val="2"/>
    </w:pPr>
    <w:rPr>
      <w:rFonts w:eastAsiaTheme="minorEastAsia"/>
      <w:caps/>
      <w:color w:val="1F3763" w:themeColor="accent1" w:themeShade="7F"/>
      <w:spacing w:val="15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59D"/>
    <w:pPr>
      <w:numPr>
        <w:ilvl w:val="3"/>
        <w:numId w:val="2"/>
      </w:numPr>
      <w:pBdr>
        <w:top w:val="dotted" w:sz="6" w:space="2" w:color="4472C4" w:themeColor="accent1"/>
      </w:pBdr>
      <w:spacing w:before="200" w:after="0" w:line="276" w:lineRule="auto"/>
      <w:outlineLvl w:val="3"/>
    </w:pPr>
    <w:rPr>
      <w:rFonts w:eastAsiaTheme="minorEastAsia"/>
      <w:caps/>
      <w:color w:val="2F5496" w:themeColor="accent1" w:themeShade="BF"/>
      <w:spacing w:val="1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59D"/>
    <w:pPr>
      <w:numPr>
        <w:ilvl w:val="4"/>
        <w:numId w:val="2"/>
      </w:numPr>
      <w:pBdr>
        <w:bottom w:val="single" w:sz="6" w:space="1" w:color="4472C4" w:themeColor="accent1"/>
      </w:pBdr>
      <w:spacing w:before="200" w:after="0" w:line="276" w:lineRule="auto"/>
      <w:outlineLvl w:val="4"/>
    </w:pPr>
    <w:rPr>
      <w:rFonts w:eastAsiaTheme="minorEastAsia"/>
      <w:caps/>
      <w:color w:val="2F5496" w:themeColor="accent1" w:themeShade="BF"/>
      <w:spacing w:val="1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59D"/>
    <w:pPr>
      <w:numPr>
        <w:ilvl w:val="5"/>
        <w:numId w:val="2"/>
      </w:numPr>
      <w:pBdr>
        <w:bottom w:val="dotted" w:sz="6" w:space="1" w:color="4472C4" w:themeColor="accent1"/>
      </w:pBdr>
      <w:spacing w:before="200" w:after="0" w:line="276" w:lineRule="auto"/>
      <w:outlineLvl w:val="5"/>
    </w:pPr>
    <w:rPr>
      <w:rFonts w:eastAsiaTheme="minorEastAsia"/>
      <w:caps/>
      <w:color w:val="2F5496" w:themeColor="accent1" w:themeShade="BF"/>
      <w:spacing w:val="1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59D"/>
    <w:pPr>
      <w:numPr>
        <w:ilvl w:val="6"/>
        <w:numId w:val="2"/>
      </w:numPr>
      <w:spacing w:before="200" w:after="0" w:line="276" w:lineRule="auto"/>
      <w:outlineLvl w:val="6"/>
    </w:pPr>
    <w:rPr>
      <w:rFonts w:eastAsiaTheme="minorEastAsia"/>
      <w:caps/>
      <w:color w:val="2F5496" w:themeColor="accent1" w:themeShade="BF"/>
      <w:spacing w:val="1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59D"/>
    <w:pPr>
      <w:numPr>
        <w:ilvl w:val="7"/>
        <w:numId w:val="2"/>
      </w:numPr>
      <w:spacing w:before="200" w:after="0" w:line="276" w:lineRule="auto"/>
      <w:outlineLvl w:val="7"/>
    </w:pPr>
    <w:rPr>
      <w:rFonts w:eastAsiaTheme="minorEastAsia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59D"/>
    <w:pPr>
      <w:numPr>
        <w:ilvl w:val="8"/>
        <w:numId w:val="2"/>
      </w:numPr>
      <w:spacing w:before="200" w:after="0" w:line="276" w:lineRule="auto"/>
      <w:outlineLvl w:val="8"/>
    </w:pPr>
    <w:rPr>
      <w:rFonts w:eastAsiaTheme="minorEastAsia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59D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4159D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59D"/>
    <w:rPr>
      <w:rFonts w:eastAsiaTheme="minorEastAsia"/>
      <w:caps/>
      <w:color w:val="1F3763" w:themeColor="accent1" w:themeShade="7F"/>
      <w:spacing w:val="15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59D"/>
    <w:rPr>
      <w:rFonts w:eastAsiaTheme="minorEastAsia"/>
      <w:caps/>
      <w:color w:val="2F5496" w:themeColor="accent1" w:themeShade="BF"/>
      <w:spacing w:val="1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59D"/>
    <w:rPr>
      <w:rFonts w:eastAsiaTheme="minorEastAsia"/>
      <w:caps/>
      <w:color w:val="2F5496" w:themeColor="accent1" w:themeShade="BF"/>
      <w:spacing w:val="10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59D"/>
    <w:rPr>
      <w:rFonts w:eastAsiaTheme="minorEastAsia"/>
      <w:caps/>
      <w:color w:val="2F5496" w:themeColor="accent1" w:themeShade="BF"/>
      <w:spacing w:val="10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59D"/>
    <w:rPr>
      <w:rFonts w:eastAsiaTheme="minorEastAsia"/>
      <w:caps/>
      <w:color w:val="2F5496" w:themeColor="accent1" w:themeShade="BF"/>
      <w:spacing w:val="1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59D"/>
    <w:rPr>
      <w:rFonts w:eastAsiaTheme="minorEastAsia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59D"/>
    <w:rPr>
      <w:rFonts w:eastAsiaTheme="minorEastAsia"/>
      <w:i/>
      <w:iCs/>
      <w:caps/>
      <w:spacing w:val="1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4159D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4159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159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15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data.unicef.org/resources/early-childhood-development-index-2030-ecdi2030/" TargetMode="External"/><Relationship Id="rId1" Type="http://schemas.openxmlformats.org/officeDocument/2006/relationships/hyperlink" Target="https://www.thelancet.com/pb-assets/Lancet/stories/series/ecd/Lancet_ECD_Executive_Summary.pdf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Petrowski</dc:creator>
  <cp:keywords/>
  <dc:description/>
  <cp:lastModifiedBy>Nicole Petrowski</cp:lastModifiedBy>
  <cp:revision>3</cp:revision>
  <dcterms:created xsi:type="dcterms:W3CDTF">2021-12-08T15:41:00Z</dcterms:created>
  <dcterms:modified xsi:type="dcterms:W3CDTF">2022-01-27T15:04:00Z</dcterms:modified>
</cp:coreProperties>
</file>