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6EAE" w14:textId="77777777" w:rsidR="002A44F0" w:rsidRPr="002A44F0" w:rsidRDefault="002A44F0" w:rsidP="00CB3EA6">
      <w:pPr>
        <w:pStyle w:val="Sinespaciado"/>
        <w:rPr>
          <w:rFonts w:ascii="Century Gothic" w:hAnsi="Century Gothic"/>
          <w:b/>
          <w:bCs/>
        </w:rPr>
      </w:pPr>
      <w:r w:rsidRPr="002A44F0">
        <w:rPr>
          <w:rFonts w:ascii="Century Gothic" w:hAnsi="Century Gothic"/>
          <w:b/>
          <w:bCs/>
        </w:rPr>
        <w:t>Proyecto Asignatura Ciencia de Datos</w:t>
      </w:r>
    </w:p>
    <w:p w14:paraId="0982DD5C" w14:textId="7B56A20B" w:rsidR="004A36AE" w:rsidRPr="002A44F0" w:rsidRDefault="002A44F0" w:rsidP="00CB3EA6">
      <w:pPr>
        <w:pStyle w:val="Sinespaciado"/>
        <w:rPr>
          <w:rFonts w:ascii="Century Gothic" w:hAnsi="Century Gothic"/>
        </w:rPr>
      </w:pPr>
      <w:r w:rsidRPr="002A44F0">
        <w:rPr>
          <w:rFonts w:ascii="Century Gothic" w:hAnsi="Century Gothic"/>
          <w:b/>
          <w:bCs/>
        </w:rPr>
        <w:t>Entregable #</w:t>
      </w:r>
      <w:r w:rsidR="00573B75">
        <w:rPr>
          <w:rFonts w:ascii="Century Gothic" w:hAnsi="Century Gothic"/>
          <w:b/>
          <w:bCs/>
        </w:rPr>
        <w:t>2</w:t>
      </w:r>
      <w:r w:rsidRPr="002A44F0">
        <w:rPr>
          <w:rFonts w:ascii="Century Gothic" w:hAnsi="Century Gothic"/>
          <w:b/>
          <w:bCs/>
        </w:rPr>
        <w:t xml:space="preserve">: </w:t>
      </w:r>
      <w:r w:rsidR="00573B75">
        <w:rPr>
          <w:rFonts w:ascii="Century Gothic" w:hAnsi="Century Gothic"/>
        </w:rPr>
        <w:t>Inventario de Datos</w:t>
      </w:r>
    </w:p>
    <w:p w14:paraId="7C72C538" w14:textId="77777777" w:rsidR="002A44F0" w:rsidRPr="002A44F0" w:rsidRDefault="002A44F0" w:rsidP="00CB3EA6">
      <w:pPr>
        <w:pStyle w:val="Sinespaciado"/>
        <w:rPr>
          <w:rFonts w:ascii="Century Gothic" w:hAnsi="Century Gothic"/>
        </w:rPr>
      </w:pPr>
      <w:r w:rsidRPr="002A44F0">
        <w:rPr>
          <w:rFonts w:ascii="Century Gothic" w:hAnsi="Century Gothic"/>
        </w:rPr>
        <w:t>Cristian Enrique Munar Mora</w:t>
      </w:r>
    </w:p>
    <w:p w14:paraId="5A04FB64" w14:textId="77777777" w:rsidR="002A44F0" w:rsidRPr="002A44F0" w:rsidRDefault="002A44F0" w:rsidP="00CB3EA6">
      <w:pPr>
        <w:pStyle w:val="Sinespaciado"/>
        <w:rPr>
          <w:rFonts w:ascii="Century Gothic" w:hAnsi="Century Gothic"/>
        </w:rPr>
      </w:pPr>
    </w:p>
    <w:p w14:paraId="194142A9" w14:textId="7B57411D" w:rsidR="007F0CA4" w:rsidRDefault="00573B75" w:rsidP="00CA53D6">
      <w:pPr>
        <w:pStyle w:val="Sinespaciado"/>
        <w:jc w:val="both"/>
        <w:rPr>
          <w:rFonts w:ascii="Century Gothic" w:hAnsi="Century Gothic"/>
          <w:b/>
          <w:bCs/>
        </w:rPr>
      </w:pPr>
      <w:r w:rsidRPr="00573B75">
        <w:rPr>
          <w:rFonts w:ascii="Century Gothic" w:hAnsi="Century Gothic"/>
          <w:b/>
          <w:bCs/>
        </w:rPr>
        <w:t>Planear el Inventario</w:t>
      </w:r>
      <w:r>
        <w:rPr>
          <w:rFonts w:ascii="Century Gothic" w:hAnsi="Century Gothic"/>
          <w:b/>
          <w:bCs/>
        </w:rPr>
        <w:t>:</w:t>
      </w:r>
    </w:p>
    <w:p w14:paraId="5D69E82D" w14:textId="313E332F" w:rsidR="00573B75" w:rsidRPr="005D1E58" w:rsidRDefault="00573B75" w:rsidP="005D1E58">
      <w:pPr>
        <w:pStyle w:val="Sinespaciado"/>
        <w:numPr>
          <w:ilvl w:val="0"/>
          <w:numId w:val="4"/>
        </w:numPr>
        <w:jc w:val="both"/>
        <w:rPr>
          <w:rFonts w:ascii="Century Gothic" w:hAnsi="Century Gothic"/>
        </w:rPr>
      </w:pPr>
      <w:r w:rsidRPr="005D1E58">
        <w:rPr>
          <w:rFonts w:ascii="Century Gothic" w:hAnsi="Century Gothic"/>
          <w:b/>
          <w:bCs/>
        </w:rPr>
        <w:t>Propósito del Inventario:</w:t>
      </w:r>
      <w:r>
        <w:rPr>
          <w:rFonts w:ascii="Century Gothic" w:hAnsi="Century Gothic"/>
        </w:rPr>
        <w:t xml:space="preserve"> El propósito de este inventario de datos es considerar, enunciar y describir todas las tablas (</w:t>
      </w:r>
      <w:r w:rsidRPr="00573B75">
        <w:rPr>
          <w:rFonts w:ascii="Century Gothic" w:hAnsi="Century Gothic"/>
          <w:i/>
          <w:iCs/>
        </w:rPr>
        <w:t>data</w:t>
      </w:r>
      <w:r>
        <w:rPr>
          <w:rFonts w:ascii="Century Gothic" w:hAnsi="Century Gothic"/>
          <w:i/>
          <w:iCs/>
        </w:rPr>
        <w:t>-</w:t>
      </w:r>
      <w:r w:rsidRPr="00573B75">
        <w:rPr>
          <w:rFonts w:ascii="Century Gothic" w:hAnsi="Century Gothic"/>
          <w:i/>
          <w:iCs/>
        </w:rPr>
        <w:t>sets</w:t>
      </w:r>
      <w:r>
        <w:rPr>
          <w:rFonts w:ascii="Century Gothic" w:hAnsi="Century Gothic"/>
        </w:rPr>
        <w:t xml:space="preserve">) de que se dispone para la resolución del problema planteado: </w:t>
      </w:r>
      <w:r w:rsidRPr="005D1E58">
        <w:rPr>
          <w:rFonts w:ascii="Century Gothic" w:hAnsi="Century Gothic"/>
          <w:i/>
          <w:iCs/>
        </w:rPr>
        <w:t>¿</w:t>
      </w:r>
      <w:r w:rsidR="005D1E58" w:rsidRPr="005D1E58">
        <w:rPr>
          <w:rFonts w:ascii="Century Gothic" w:hAnsi="Century Gothic"/>
          <w:i/>
          <w:iCs/>
        </w:rPr>
        <w:t xml:space="preserve">Cómo puede la compañía mejorar su resultado </w:t>
      </w:r>
      <w:r w:rsidR="005D1E58">
        <w:rPr>
          <w:rFonts w:ascii="Century Gothic" w:hAnsi="Century Gothic"/>
          <w:i/>
          <w:iCs/>
        </w:rPr>
        <w:t xml:space="preserve">del Ramo de SOAT </w:t>
      </w:r>
      <w:r w:rsidR="005D1E58" w:rsidRPr="005D1E58">
        <w:rPr>
          <w:rFonts w:ascii="Century Gothic" w:hAnsi="Century Gothic"/>
          <w:i/>
          <w:iCs/>
        </w:rPr>
        <w:t>a partir de una mejor selección de riesgos</w:t>
      </w:r>
      <w:r w:rsidRPr="005D1E58">
        <w:rPr>
          <w:rFonts w:ascii="Century Gothic" w:hAnsi="Century Gothic"/>
          <w:i/>
          <w:iCs/>
        </w:rPr>
        <w:t>?</w:t>
      </w:r>
      <w:r w:rsidR="005D1E58" w:rsidRPr="005D1E58">
        <w:rPr>
          <w:rFonts w:ascii="Century Gothic" w:hAnsi="Century Gothic"/>
          <w:i/>
          <w:iCs/>
        </w:rPr>
        <w:t xml:space="preserve"> </w:t>
      </w:r>
      <w:r w:rsidR="005D1E58" w:rsidRPr="005D1E58">
        <w:rPr>
          <w:rFonts w:ascii="Century Gothic" w:hAnsi="Century Gothic"/>
        </w:rPr>
        <w:t xml:space="preserve">[…] Problema que se reduce al entendimiento de </w:t>
      </w:r>
      <w:r w:rsidR="005D1E58" w:rsidRPr="005D1E58">
        <w:rPr>
          <w:rFonts w:ascii="Century Gothic" w:hAnsi="Century Gothic"/>
          <w:i/>
          <w:iCs/>
        </w:rPr>
        <w:t xml:space="preserve">¿Qué variables </w:t>
      </w:r>
      <w:r w:rsidR="005D1E58">
        <w:rPr>
          <w:rFonts w:ascii="Century Gothic" w:hAnsi="Century Gothic"/>
          <w:i/>
          <w:iCs/>
        </w:rPr>
        <w:t>influyen en la distribución de Frecuencia y Costo Medio de los siniestros del Ramo de SOAT</w:t>
      </w:r>
      <w:r w:rsidR="005D1E58" w:rsidRPr="005D1E58">
        <w:rPr>
          <w:rFonts w:ascii="Century Gothic" w:hAnsi="Century Gothic"/>
          <w:i/>
          <w:iCs/>
        </w:rPr>
        <w:t>?</w:t>
      </w:r>
    </w:p>
    <w:p w14:paraId="3A3E6A14" w14:textId="35FCF86C" w:rsidR="005D1E58" w:rsidRDefault="005D1E58" w:rsidP="005D1E58">
      <w:pPr>
        <w:pStyle w:val="Sinespaciado"/>
        <w:ind w:left="720"/>
        <w:jc w:val="both"/>
        <w:rPr>
          <w:rFonts w:ascii="Century Gothic" w:hAnsi="Century Gothic"/>
        </w:rPr>
      </w:pPr>
    </w:p>
    <w:p w14:paraId="44D30952" w14:textId="43BDB2FF" w:rsidR="005D1E58" w:rsidRPr="005D1E58" w:rsidRDefault="005D1E58" w:rsidP="005D1E58">
      <w:pPr>
        <w:pStyle w:val="Sinespaciado"/>
        <w:ind w:left="720"/>
        <w:jc w:val="both"/>
        <w:rPr>
          <w:rFonts w:ascii="Century Gothic" w:hAnsi="Century Gothic"/>
        </w:rPr>
      </w:pPr>
      <w:r>
        <w:rPr>
          <w:rFonts w:ascii="Century Gothic" w:hAnsi="Century Gothic"/>
        </w:rPr>
        <w:t xml:space="preserve">Se busca también con este inventario entender qué dificultades puede tenerse para el acceso a la data que se necesita y las características técnicas de la misma: almacenamiento, frecuencia de actualización, dueños y gestores de la data, etc. </w:t>
      </w:r>
    </w:p>
    <w:p w14:paraId="45FDEF00" w14:textId="39C6A0DA" w:rsidR="00573B75" w:rsidRDefault="00573B75" w:rsidP="00CA53D6">
      <w:pPr>
        <w:pStyle w:val="Sinespaciado"/>
        <w:jc w:val="both"/>
        <w:rPr>
          <w:rFonts w:ascii="Century Gothic" w:hAnsi="Century Gothic"/>
        </w:rPr>
      </w:pPr>
    </w:p>
    <w:p w14:paraId="19D71DF9" w14:textId="74F1D0AD" w:rsidR="005D1E58" w:rsidRPr="005D1E58" w:rsidRDefault="00573B75" w:rsidP="005D1E58">
      <w:pPr>
        <w:pStyle w:val="Sinespaciado"/>
        <w:numPr>
          <w:ilvl w:val="0"/>
          <w:numId w:val="4"/>
        </w:numPr>
        <w:jc w:val="both"/>
        <w:rPr>
          <w:rFonts w:ascii="Century Gothic" w:hAnsi="Century Gothic"/>
          <w:b/>
          <w:bCs/>
        </w:rPr>
      </w:pPr>
      <w:r w:rsidRPr="005D1E58">
        <w:rPr>
          <w:rFonts w:ascii="Century Gothic" w:hAnsi="Century Gothic"/>
          <w:b/>
          <w:bCs/>
        </w:rPr>
        <w:t xml:space="preserve">Sostenibilidad del Inventario: </w:t>
      </w:r>
      <w:r w:rsidR="005D1E58" w:rsidRPr="005D1E58">
        <w:rPr>
          <w:rFonts w:ascii="Century Gothic" w:hAnsi="Century Gothic"/>
        </w:rPr>
        <w:t>Las diferentes</w:t>
      </w:r>
      <w:r w:rsidR="005D1E58">
        <w:rPr>
          <w:rFonts w:ascii="Century Gothic" w:hAnsi="Century Gothic"/>
        </w:rPr>
        <w:t xml:space="preserve"> fuentes de datos, como se describirá en el Anexo 1 de este entregable, tienen su origen en la operación del negocio y en la transformación de los datos capturados en los procesos de cotizaciones, emisiones, siniestros, y otros, en información útil para el seguimiento del resultado técnico y financiero del ramo de SOAT. En este sentido, la información utilizada para este proyecto está siendo actualizada en periodos no mayores a un mes en el caso menos frecuente.</w:t>
      </w:r>
    </w:p>
    <w:p w14:paraId="635FDFA3" w14:textId="70135B6F" w:rsidR="00573B75" w:rsidRDefault="00573B75" w:rsidP="00CA53D6">
      <w:pPr>
        <w:pStyle w:val="Sinespaciado"/>
        <w:jc w:val="both"/>
        <w:rPr>
          <w:rFonts w:ascii="Century Gothic" w:hAnsi="Century Gothic"/>
        </w:rPr>
      </w:pPr>
    </w:p>
    <w:p w14:paraId="59D59DB8" w14:textId="77777777" w:rsidR="009E0FBC" w:rsidRPr="009E0FBC" w:rsidRDefault="00573B75" w:rsidP="005D1E58">
      <w:pPr>
        <w:pStyle w:val="Sinespaciado"/>
        <w:numPr>
          <w:ilvl w:val="0"/>
          <w:numId w:val="4"/>
        </w:numPr>
        <w:jc w:val="both"/>
        <w:rPr>
          <w:rFonts w:ascii="Century Gothic" w:hAnsi="Century Gothic"/>
          <w:b/>
          <w:bCs/>
        </w:rPr>
      </w:pPr>
      <w:r w:rsidRPr="005D1E58">
        <w:rPr>
          <w:rFonts w:ascii="Century Gothic" w:hAnsi="Century Gothic"/>
          <w:b/>
          <w:bCs/>
        </w:rPr>
        <w:t>¿Qué Incluir?</w:t>
      </w:r>
      <w:r w:rsidR="005D1E58">
        <w:rPr>
          <w:rFonts w:ascii="Century Gothic" w:hAnsi="Century Gothic"/>
          <w:b/>
          <w:bCs/>
        </w:rPr>
        <w:t xml:space="preserve"> </w:t>
      </w:r>
      <w:r w:rsidR="005D1E58">
        <w:rPr>
          <w:rFonts w:ascii="Century Gothic" w:hAnsi="Century Gothic"/>
        </w:rPr>
        <w:t xml:space="preserve">La base de la cual se partirá para el poblamiento de la data requerida de este proyecto corresponde al universo de todas las pólizas </w:t>
      </w:r>
      <w:r w:rsidR="009E0FBC">
        <w:rPr>
          <w:rFonts w:ascii="Century Gothic" w:hAnsi="Century Gothic"/>
        </w:rPr>
        <w:t xml:space="preserve">que estuvieron vigentes en la compañía </w:t>
      </w:r>
      <w:r w:rsidR="005D1E58">
        <w:rPr>
          <w:rFonts w:ascii="Century Gothic" w:hAnsi="Century Gothic"/>
        </w:rPr>
        <w:t xml:space="preserve">para el ramo de SOAT </w:t>
      </w:r>
      <w:r w:rsidR="009E0FBC">
        <w:rPr>
          <w:rFonts w:ascii="Century Gothic" w:hAnsi="Century Gothic"/>
        </w:rPr>
        <w:t>(</w:t>
      </w:r>
      <w:r w:rsidR="005D1E58">
        <w:rPr>
          <w:rFonts w:ascii="Century Gothic" w:hAnsi="Century Gothic"/>
        </w:rPr>
        <w:t>en determinada ventana de tiempo</w:t>
      </w:r>
      <w:r w:rsidR="009E0FBC">
        <w:rPr>
          <w:rFonts w:ascii="Century Gothic" w:hAnsi="Century Gothic"/>
        </w:rPr>
        <w:t>)</w:t>
      </w:r>
      <w:r w:rsidR="005D1E58">
        <w:rPr>
          <w:rFonts w:ascii="Century Gothic" w:hAnsi="Century Gothic"/>
        </w:rPr>
        <w:t xml:space="preserve">, así como la siniestralidad asociada a estas pólizas. </w:t>
      </w:r>
    </w:p>
    <w:p w14:paraId="0D5CBF7D" w14:textId="77777777" w:rsidR="009E0FBC" w:rsidRDefault="009E0FBC" w:rsidP="009E0FBC">
      <w:pPr>
        <w:pStyle w:val="Sinespaciado"/>
        <w:ind w:left="720"/>
        <w:jc w:val="both"/>
        <w:rPr>
          <w:rFonts w:ascii="Century Gothic" w:hAnsi="Century Gothic"/>
        </w:rPr>
      </w:pPr>
    </w:p>
    <w:p w14:paraId="38D8087A" w14:textId="77777777" w:rsidR="009E0FBC" w:rsidRDefault="009E0FBC" w:rsidP="009E0FBC">
      <w:pPr>
        <w:pStyle w:val="Sinespaciado"/>
        <w:ind w:left="720"/>
        <w:jc w:val="both"/>
        <w:rPr>
          <w:rFonts w:ascii="Century Gothic" w:hAnsi="Century Gothic"/>
        </w:rPr>
      </w:pPr>
      <w:r>
        <w:rPr>
          <w:rFonts w:ascii="Century Gothic" w:hAnsi="Century Gothic"/>
        </w:rPr>
        <w:t>Es preciso pues plantear ciertas definiciones necesarias para el entendimiento del problema:</w:t>
      </w:r>
    </w:p>
    <w:p w14:paraId="2C33D5B9" w14:textId="77777777" w:rsidR="009E0FBC" w:rsidRDefault="009E0FBC" w:rsidP="009E0FBC">
      <w:pPr>
        <w:pStyle w:val="Sinespaciado"/>
        <w:ind w:left="720"/>
        <w:jc w:val="both"/>
        <w:rPr>
          <w:rFonts w:ascii="Century Gothic" w:hAnsi="Century Gothic"/>
        </w:rPr>
      </w:pPr>
    </w:p>
    <w:p w14:paraId="23A56069" w14:textId="787CA3BD" w:rsidR="009E0FBC" w:rsidRPr="009E0FBC" w:rsidRDefault="009E0FBC" w:rsidP="009E0FBC">
      <w:pPr>
        <w:pStyle w:val="Sinespaciado"/>
        <w:ind w:left="1440"/>
        <w:jc w:val="both"/>
        <w:rPr>
          <w:rFonts w:ascii="Century Gothic" w:hAnsi="Century Gothic"/>
        </w:rPr>
      </w:pPr>
      <w:r w:rsidRPr="009E0FBC">
        <w:rPr>
          <w:rFonts w:ascii="Century Gothic" w:hAnsi="Century Gothic"/>
          <w:i/>
          <w:iCs/>
        </w:rPr>
        <w:t>Amparo</w:t>
      </w:r>
      <w:r>
        <w:rPr>
          <w:rFonts w:ascii="Century Gothic" w:hAnsi="Century Gothic"/>
          <w:i/>
          <w:iCs/>
        </w:rPr>
        <w:t>: Cada uno de los riesgos o eventos que están cubiertos por una póliza de seguros. En el caso de una póliza de SOAT los amparos son: Gastos Médicos, Incapacidad Permanente, Gastos de Transporte, Muerte y Auxilios Funerarios.</w:t>
      </w:r>
    </w:p>
    <w:p w14:paraId="29ED75D1" w14:textId="77777777" w:rsidR="009E0FBC" w:rsidRPr="009E0FBC" w:rsidRDefault="009E0FBC" w:rsidP="009E0FBC">
      <w:pPr>
        <w:pStyle w:val="Sinespaciado"/>
        <w:ind w:left="720"/>
        <w:jc w:val="both"/>
        <w:rPr>
          <w:rFonts w:ascii="Century Gothic" w:hAnsi="Century Gothic"/>
          <w:i/>
          <w:iCs/>
        </w:rPr>
      </w:pPr>
    </w:p>
    <w:p w14:paraId="780884D6" w14:textId="1A3BCD39" w:rsidR="009E0FBC" w:rsidRDefault="009E0FBC" w:rsidP="009E0FBC">
      <w:pPr>
        <w:pStyle w:val="Sinespaciado"/>
        <w:ind w:left="1440"/>
        <w:jc w:val="both"/>
        <w:rPr>
          <w:rFonts w:ascii="Century Gothic" w:hAnsi="Century Gothic"/>
          <w:i/>
          <w:iCs/>
        </w:rPr>
      </w:pPr>
      <w:r w:rsidRPr="009E0FBC">
        <w:rPr>
          <w:rFonts w:ascii="Century Gothic" w:hAnsi="Century Gothic"/>
          <w:i/>
          <w:iCs/>
        </w:rPr>
        <w:t xml:space="preserve">Expuesto: Porción del riesgo </w:t>
      </w:r>
      <w:r>
        <w:rPr>
          <w:rFonts w:ascii="Century Gothic" w:hAnsi="Century Gothic"/>
          <w:i/>
          <w:iCs/>
        </w:rPr>
        <w:t xml:space="preserve">que se encuentra vigente en determinada unidad de tiempo. Por definición 1 expuesto corresponde a la vigencia completa de una póliza (un año). Así, por ejemplo, los expuestos calculados para una póliza en un mes, serán igual a 1/12. </w:t>
      </w:r>
    </w:p>
    <w:p w14:paraId="033CCFC3" w14:textId="4EFB2D54" w:rsidR="009E0FBC" w:rsidRDefault="009E0FBC" w:rsidP="009E0FBC">
      <w:pPr>
        <w:pStyle w:val="Sinespaciado"/>
        <w:ind w:left="1440"/>
        <w:jc w:val="both"/>
        <w:rPr>
          <w:rFonts w:ascii="Century Gothic" w:hAnsi="Century Gothic"/>
          <w:i/>
          <w:iCs/>
        </w:rPr>
      </w:pPr>
    </w:p>
    <w:p w14:paraId="38C0B9A3" w14:textId="77777777" w:rsidR="009E0FBC" w:rsidRDefault="009E0FBC" w:rsidP="009E0FBC">
      <w:pPr>
        <w:pStyle w:val="Sinespaciado"/>
        <w:ind w:left="1440"/>
        <w:jc w:val="both"/>
        <w:rPr>
          <w:rFonts w:ascii="Century Gothic" w:hAnsi="Century Gothic"/>
          <w:i/>
          <w:iCs/>
        </w:rPr>
      </w:pPr>
      <w:r>
        <w:rPr>
          <w:rFonts w:ascii="Century Gothic" w:hAnsi="Century Gothic"/>
          <w:i/>
          <w:iCs/>
        </w:rPr>
        <w:lastRenderedPageBreak/>
        <w:t>Casos: Cantidad de siniestros ocurridos sobre una cartera de pólizas en un periodo determinado. En el ramo de SOAT un único evento (siniestro/accidente) puede dar lugar a varias víctimas. Ejemplo: Accidentes múltiples o choques en los que haya más de un muerto o lesionado.</w:t>
      </w:r>
    </w:p>
    <w:p w14:paraId="5EA27B69" w14:textId="77777777" w:rsidR="009E0FBC" w:rsidRDefault="009E0FBC" w:rsidP="009E0FBC">
      <w:pPr>
        <w:pStyle w:val="Sinespaciado"/>
        <w:ind w:left="1440"/>
        <w:jc w:val="both"/>
        <w:rPr>
          <w:rFonts w:ascii="Century Gothic" w:hAnsi="Century Gothic"/>
          <w:i/>
          <w:iCs/>
        </w:rPr>
      </w:pPr>
    </w:p>
    <w:p w14:paraId="1506BFEB" w14:textId="0190021F" w:rsidR="009E0FBC" w:rsidRDefault="009E0FBC" w:rsidP="009E0FBC">
      <w:pPr>
        <w:pStyle w:val="Sinespaciado"/>
        <w:ind w:left="1440"/>
        <w:jc w:val="both"/>
        <w:rPr>
          <w:rFonts w:ascii="Century Gothic" w:hAnsi="Century Gothic"/>
          <w:i/>
          <w:iCs/>
        </w:rPr>
      </w:pPr>
      <w:r>
        <w:rPr>
          <w:rFonts w:ascii="Century Gothic" w:hAnsi="Century Gothic"/>
          <w:i/>
          <w:iCs/>
        </w:rPr>
        <w:t>Valor Incurrido: Corresponde al monto pagado o reservado para el cumplimiento de las obligaciones derivadas de los casos ocurridos en un periodo determinado. Es necesario mencionar que el producto de SOAT está diseñado para asumir hasta cierto monto máximo por victima en cada uno de los amparos: Ejemplo: 800 salarios mínimos diarios legales vigentes (</w:t>
      </w:r>
      <w:r w:rsidR="000E7703">
        <w:rPr>
          <w:rFonts w:ascii="Century Gothic" w:hAnsi="Century Gothic"/>
          <w:i/>
          <w:iCs/>
        </w:rPr>
        <w:t>SMDLV</w:t>
      </w:r>
      <w:r>
        <w:rPr>
          <w:rFonts w:ascii="Century Gothic" w:hAnsi="Century Gothic"/>
          <w:i/>
          <w:iCs/>
        </w:rPr>
        <w:t>) para la cobertura de Gastos Médicos.</w:t>
      </w:r>
    </w:p>
    <w:p w14:paraId="50A14D3C" w14:textId="571CC95E" w:rsidR="009E0FBC" w:rsidRDefault="009E0FBC" w:rsidP="009E0FBC">
      <w:pPr>
        <w:pStyle w:val="Sinespaciado"/>
        <w:ind w:left="1440"/>
        <w:jc w:val="both"/>
        <w:rPr>
          <w:rFonts w:ascii="Century Gothic" w:hAnsi="Century Gothic"/>
          <w:i/>
          <w:iCs/>
        </w:rPr>
      </w:pPr>
    </w:p>
    <w:p w14:paraId="0665FB6F" w14:textId="1DFA59E4" w:rsidR="009E0FBC" w:rsidRDefault="009E0FBC" w:rsidP="009E0FBC">
      <w:pPr>
        <w:pStyle w:val="Sinespaciado"/>
        <w:ind w:left="1440"/>
        <w:jc w:val="both"/>
        <w:rPr>
          <w:rFonts w:ascii="Century Gothic" w:hAnsi="Century Gothic"/>
          <w:i/>
          <w:iCs/>
        </w:rPr>
      </w:pPr>
      <w:r>
        <w:rPr>
          <w:rFonts w:ascii="Century Gothic" w:hAnsi="Century Gothic"/>
          <w:i/>
          <w:iCs/>
        </w:rPr>
        <w:t>Frecuencia: Relación existente entre la cantidad de casos ocurridos sobre la cantidad de expuestos en un periodo determinado.</w:t>
      </w:r>
    </w:p>
    <w:p w14:paraId="285735EE" w14:textId="34BCA47B" w:rsidR="009E0FBC" w:rsidRDefault="009E0FBC" w:rsidP="009E0FBC">
      <w:pPr>
        <w:pStyle w:val="Sinespaciado"/>
        <w:ind w:left="1440"/>
        <w:jc w:val="both"/>
        <w:rPr>
          <w:rFonts w:ascii="Century Gothic" w:hAnsi="Century Gothic"/>
          <w:i/>
          <w:iCs/>
        </w:rPr>
      </w:pPr>
    </w:p>
    <w:p w14:paraId="43FEE54A" w14:textId="7681DC94" w:rsidR="009E0FBC" w:rsidRDefault="009E0FBC" w:rsidP="009E0FBC">
      <w:pPr>
        <w:pStyle w:val="Sinespaciado"/>
        <w:ind w:left="1440"/>
        <w:jc w:val="both"/>
        <w:rPr>
          <w:rFonts w:ascii="Century Gothic" w:hAnsi="Century Gothic"/>
          <w:i/>
          <w:iCs/>
        </w:rPr>
      </w:pPr>
      <w:r>
        <w:rPr>
          <w:rFonts w:ascii="Century Gothic" w:hAnsi="Century Gothic"/>
          <w:i/>
          <w:iCs/>
        </w:rPr>
        <w:t>Costo Medio: Valor que, en promedio, le cuesta a la compañía cada una de las víctimas para un ramo o amparo determinado</w:t>
      </w:r>
      <w:r w:rsidR="000E7703">
        <w:rPr>
          <w:rFonts w:ascii="Century Gothic" w:hAnsi="Century Gothic"/>
          <w:i/>
          <w:iCs/>
        </w:rPr>
        <w:t>.</w:t>
      </w:r>
    </w:p>
    <w:p w14:paraId="16E7F841" w14:textId="0CADFF43" w:rsidR="009E0FBC" w:rsidRDefault="009E0FBC" w:rsidP="009E0FBC">
      <w:pPr>
        <w:pStyle w:val="Sinespaciado"/>
        <w:ind w:left="1440"/>
        <w:jc w:val="both"/>
        <w:rPr>
          <w:rFonts w:ascii="Century Gothic" w:hAnsi="Century Gothic"/>
          <w:b/>
          <w:bCs/>
          <w:i/>
          <w:iCs/>
        </w:rPr>
      </w:pPr>
    </w:p>
    <w:p w14:paraId="117E37C2" w14:textId="5B8E78AA" w:rsidR="009E0FBC" w:rsidRPr="000E7703" w:rsidRDefault="000E7703" w:rsidP="009E0FBC">
      <w:pPr>
        <w:pStyle w:val="Sinespaciado"/>
        <w:ind w:left="1440"/>
        <w:jc w:val="both"/>
        <w:rPr>
          <w:rFonts w:ascii="Century Gothic" w:hAnsi="Century Gothic"/>
          <w:i/>
          <w:iCs/>
        </w:rPr>
      </w:pPr>
      <w:r w:rsidRPr="000E7703">
        <w:rPr>
          <w:rFonts w:ascii="Century Gothic" w:hAnsi="Century Gothic"/>
          <w:i/>
          <w:iCs/>
        </w:rPr>
        <w:t>Prima Pura de Riesgo</w:t>
      </w:r>
      <w:r>
        <w:rPr>
          <w:rFonts w:ascii="Century Gothic" w:hAnsi="Century Gothic"/>
          <w:i/>
          <w:iCs/>
        </w:rPr>
        <w:t>: Valor esperado del monto de la reclamación para cualquier póliza del Ramo. Resulta del producto de la Frecuencia (proporción de pólizas que se siniestran) y el Costo Medio (monto promedio pagado para cada póliza dado que esta se ha siniestrado).</w:t>
      </w:r>
    </w:p>
    <w:p w14:paraId="5430EF4C" w14:textId="5CF26BA9" w:rsidR="00573B75" w:rsidRDefault="000E7703" w:rsidP="00CA53D6">
      <w:pPr>
        <w:pStyle w:val="Sinespaciado"/>
        <w:jc w:val="both"/>
        <w:rPr>
          <w:rFonts w:ascii="Century Gothic" w:hAnsi="Century Gothic"/>
        </w:rPr>
      </w:pPr>
      <w:r>
        <w:rPr>
          <w:rFonts w:ascii="Century Gothic" w:hAnsi="Century Gothic"/>
        </w:rPr>
        <w:tab/>
      </w:r>
    </w:p>
    <w:p w14:paraId="5B190ABC" w14:textId="70E5C5F0" w:rsidR="000E7703" w:rsidRPr="000E7703" w:rsidRDefault="000E7703" w:rsidP="000E7703">
      <w:pPr>
        <w:pStyle w:val="Sinespaciado"/>
        <w:ind w:left="720"/>
        <w:jc w:val="both"/>
        <w:rPr>
          <w:rFonts w:ascii="Century Gothic" w:hAnsi="Century Gothic"/>
          <w:sz w:val="20"/>
          <w:szCs w:val="20"/>
        </w:rPr>
      </w:pPr>
      <w:r>
        <w:rPr>
          <w:rFonts w:ascii="Century Gothic" w:hAnsi="Century Gothic"/>
        </w:rPr>
        <w:t>Adicionalmente a esta información de carácter técnico, se requerirá recopilar todas aquellas variables a las que se puede acceder en las bases de datos de la compañía y de las cuales se considere puedan ser predictivas para la siniestralidad: Características del Asegurado, Características del Vehículo, Zona de Circulación, Canal de Venta, etc.</w:t>
      </w:r>
    </w:p>
    <w:p w14:paraId="5D22F2C0" w14:textId="77777777" w:rsidR="000E7703" w:rsidRDefault="000E7703" w:rsidP="00CA53D6">
      <w:pPr>
        <w:pStyle w:val="Sinespaciado"/>
        <w:jc w:val="both"/>
        <w:rPr>
          <w:rFonts w:ascii="Century Gothic" w:hAnsi="Century Gothic"/>
        </w:rPr>
      </w:pPr>
    </w:p>
    <w:p w14:paraId="07FB8F7C" w14:textId="6B104952" w:rsidR="009454BC" w:rsidRDefault="00573B75" w:rsidP="009454BC">
      <w:pPr>
        <w:pStyle w:val="Sinespaciado"/>
        <w:numPr>
          <w:ilvl w:val="0"/>
          <w:numId w:val="4"/>
        </w:numPr>
        <w:jc w:val="both"/>
        <w:rPr>
          <w:rFonts w:ascii="Century Gothic" w:hAnsi="Century Gothic"/>
        </w:rPr>
      </w:pPr>
      <w:r>
        <w:rPr>
          <w:rFonts w:ascii="Century Gothic" w:hAnsi="Century Gothic"/>
        </w:rPr>
        <w:t>Nivel de Detalle Requerido</w:t>
      </w:r>
      <w:r w:rsidR="000E7703">
        <w:rPr>
          <w:rFonts w:ascii="Century Gothic" w:hAnsi="Century Gothic"/>
        </w:rPr>
        <w:t xml:space="preserve">: Según experiencias previas y conocimiento del negocio, para abordar este problema, se considera apropiado tomar la experiencia siniestral de los últimos 3 años. No obstante, debido a las medidas preventivas y restrictivas establecidas por el Gobierno Nacional para minimizar los efectos del COVID en Colombia, el 2020 fue un año atípico en términos de siniestralidad. En este sentido, resulta conveniente </w:t>
      </w:r>
      <w:r w:rsidR="009454BC">
        <w:rPr>
          <w:rFonts w:ascii="Century Gothic" w:hAnsi="Century Gothic"/>
        </w:rPr>
        <w:t xml:space="preserve">omitir la información de este último año por el sesgo que pueda generar en los resultados obtenidos. </w:t>
      </w:r>
    </w:p>
    <w:p w14:paraId="6AD9CC71" w14:textId="3D649D9D" w:rsidR="009454BC" w:rsidRDefault="009454BC" w:rsidP="009454BC">
      <w:pPr>
        <w:pStyle w:val="Sinespaciado"/>
        <w:ind w:left="720"/>
        <w:jc w:val="both"/>
        <w:rPr>
          <w:rFonts w:ascii="Century Gothic" w:hAnsi="Century Gothic"/>
        </w:rPr>
      </w:pPr>
      <w:r>
        <w:rPr>
          <w:rFonts w:ascii="Century Gothic" w:hAnsi="Century Gothic"/>
        </w:rPr>
        <w:t xml:space="preserve"> </w:t>
      </w:r>
    </w:p>
    <w:p w14:paraId="57FF62E8" w14:textId="6AE3A6DE" w:rsidR="009454BC" w:rsidRPr="009454BC" w:rsidRDefault="009454BC" w:rsidP="009454BC">
      <w:pPr>
        <w:pStyle w:val="Sinespaciado"/>
        <w:ind w:left="720"/>
        <w:jc w:val="both"/>
        <w:rPr>
          <w:rFonts w:ascii="Century Gothic" w:hAnsi="Century Gothic"/>
        </w:rPr>
      </w:pPr>
      <w:r>
        <w:rPr>
          <w:rFonts w:ascii="Century Gothic" w:hAnsi="Century Gothic"/>
        </w:rPr>
        <w:t>Teniendo en cuenta lo anterior, se tomará toda la información de expuestos, casos e incurrido para los años 2017, 2018 y 2019 omitiendo así los efectos derivados del COVID.</w:t>
      </w:r>
    </w:p>
    <w:p w14:paraId="60C59E87" w14:textId="22F9D644" w:rsidR="00573B75" w:rsidRDefault="00573B75" w:rsidP="00573B75">
      <w:pPr>
        <w:pStyle w:val="Sinespaciado"/>
        <w:jc w:val="both"/>
        <w:rPr>
          <w:rFonts w:ascii="Century Gothic" w:hAnsi="Century Gothic"/>
        </w:rPr>
      </w:pPr>
    </w:p>
    <w:p w14:paraId="659DB296" w14:textId="73EE33D6" w:rsidR="00573B75" w:rsidRDefault="00573B75" w:rsidP="00573B75">
      <w:pPr>
        <w:pStyle w:val="Sinespaciado"/>
        <w:jc w:val="both"/>
        <w:rPr>
          <w:rFonts w:ascii="Century Gothic" w:hAnsi="Century Gothic"/>
          <w:b/>
          <w:bCs/>
        </w:rPr>
      </w:pPr>
      <w:r>
        <w:rPr>
          <w:rFonts w:ascii="Century Gothic" w:hAnsi="Century Gothic"/>
          <w:b/>
          <w:bCs/>
        </w:rPr>
        <w:t>Descripción del Inventario de Datos:</w:t>
      </w:r>
    </w:p>
    <w:p w14:paraId="3A9A724A" w14:textId="3A8588E3" w:rsidR="00573B75" w:rsidRPr="009454BC" w:rsidRDefault="00573B75" w:rsidP="00573B75">
      <w:pPr>
        <w:pStyle w:val="Sinespaciado"/>
        <w:jc w:val="both"/>
        <w:rPr>
          <w:rFonts w:ascii="Century Gothic" w:hAnsi="Century Gothic"/>
        </w:rPr>
      </w:pPr>
      <w:r>
        <w:rPr>
          <w:rFonts w:ascii="Century Gothic" w:hAnsi="Century Gothic"/>
        </w:rPr>
        <w:t xml:space="preserve">Ver </w:t>
      </w:r>
      <w:r w:rsidRPr="00573B75">
        <w:rPr>
          <w:rFonts w:ascii="Century Gothic" w:hAnsi="Century Gothic"/>
        </w:rPr>
        <w:t xml:space="preserve">Anexo 1: </w:t>
      </w:r>
      <w:r>
        <w:rPr>
          <w:rFonts w:ascii="Century Gothic" w:hAnsi="Century Gothic"/>
        </w:rPr>
        <w:t>Entregable #2 – Data Inventory.xlsx</w:t>
      </w:r>
    </w:p>
    <w:sectPr w:rsidR="00573B75" w:rsidRPr="009454B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3F90"/>
    <w:multiLevelType w:val="hybridMultilevel"/>
    <w:tmpl w:val="7982ED92"/>
    <w:lvl w:ilvl="0" w:tplc="6ABACE14">
      <w:numFmt w:val="bullet"/>
      <w:lvlText w:val=""/>
      <w:lvlJc w:val="left"/>
      <w:pPr>
        <w:ind w:left="720" w:hanging="360"/>
      </w:pPr>
      <w:rPr>
        <w:rFonts w:ascii="Symbol" w:eastAsia="Times New Roman"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CC6BF0"/>
    <w:multiLevelType w:val="hybridMultilevel"/>
    <w:tmpl w:val="D9D41DB4"/>
    <w:lvl w:ilvl="0" w:tplc="AED82006">
      <w:numFmt w:val="bullet"/>
      <w:lvlText w:val=""/>
      <w:lvlJc w:val="left"/>
      <w:pPr>
        <w:ind w:left="720" w:hanging="360"/>
      </w:pPr>
      <w:rPr>
        <w:rFonts w:ascii="Symbol" w:eastAsia="Times New Roman"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413307"/>
    <w:multiLevelType w:val="hybridMultilevel"/>
    <w:tmpl w:val="B8BEE8A8"/>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F348CD"/>
    <w:multiLevelType w:val="hybridMultilevel"/>
    <w:tmpl w:val="59CE98D2"/>
    <w:lvl w:ilvl="0" w:tplc="AA38CDBC">
      <w:numFmt w:val="bullet"/>
      <w:lvlText w:val=""/>
      <w:lvlJc w:val="left"/>
      <w:pPr>
        <w:ind w:left="720" w:hanging="360"/>
      </w:pPr>
      <w:rPr>
        <w:rFonts w:ascii="Symbol" w:eastAsia="Times New Roman"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EA6"/>
    <w:rsid w:val="000E7703"/>
    <w:rsid w:val="001872BE"/>
    <w:rsid w:val="001D0554"/>
    <w:rsid w:val="002A44F0"/>
    <w:rsid w:val="00385FA8"/>
    <w:rsid w:val="004A36AE"/>
    <w:rsid w:val="00573B75"/>
    <w:rsid w:val="005D1E58"/>
    <w:rsid w:val="00681EB8"/>
    <w:rsid w:val="0078040F"/>
    <w:rsid w:val="007F0CA4"/>
    <w:rsid w:val="009179AB"/>
    <w:rsid w:val="009454BC"/>
    <w:rsid w:val="009E0FBC"/>
    <w:rsid w:val="00C765C1"/>
    <w:rsid w:val="00CA53D6"/>
    <w:rsid w:val="00CB3EA6"/>
    <w:rsid w:val="00F15B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B05074"/>
  <w14:defaultImageDpi w14:val="0"/>
  <w15:docId w15:val="{38167510-A3CC-4065-982F-F4383E17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3EA6"/>
    <w:rPr>
      <w:sz w:val="22"/>
      <w:szCs w:val="22"/>
    </w:rPr>
  </w:style>
  <w:style w:type="paragraph" w:styleId="Prrafodelista">
    <w:name w:val="List Paragraph"/>
    <w:basedOn w:val="Normal"/>
    <w:uiPriority w:val="34"/>
    <w:qFormat/>
    <w:rsid w:val="002A44F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cemunarm@outlook.com</dc:creator>
  <cp:keywords/>
  <dc:description/>
  <cp:lastModifiedBy>cemunarm@outlook.com</cp:lastModifiedBy>
  <cp:revision>3</cp:revision>
  <dcterms:created xsi:type="dcterms:W3CDTF">2021-04-26T20:39:00Z</dcterms:created>
  <dcterms:modified xsi:type="dcterms:W3CDTF">2021-05-03T23:29:00Z</dcterms:modified>
</cp:coreProperties>
</file>