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C54" w:rsidRDefault="003F2895" w:rsidP="003F2895">
      <w:pPr>
        <w:jc w:val="center"/>
        <w:rPr>
          <w:rFonts w:ascii="Times New Roman" w:hAnsi="Times New Roman" w:cs="Times New Roman"/>
          <w:b/>
          <w:sz w:val="28"/>
          <w:szCs w:val="28"/>
        </w:rPr>
      </w:pPr>
      <w:r w:rsidRPr="003F2895">
        <w:rPr>
          <w:rFonts w:ascii="Times New Roman" w:hAnsi="Times New Roman" w:cs="Times New Roman"/>
          <w:b/>
          <w:sz w:val="28"/>
          <w:szCs w:val="28"/>
        </w:rPr>
        <w:t>İŞLEMSEL KUVVETLENDİRİCİLERİN DOĞRUSAL UYGULAMALARI</w:t>
      </w:r>
    </w:p>
    <w:p w:rsidR="00C030B4" w:rsidRDefault="00C030B4" w:rsidP="00C030B4">
      <w:pPr>
        <w:rPr>
          <w:rFonts w:ascii="Times New Roman" w:hAnsi="Times New Roman" w:cs="Times New Roman"/>
          <w:sz w:val="24"/>
          <w:szCs w:val="24"/>
        </w:rPr>
      </w:pPr>
      <w:r>
        <w:rPr>
          <w:rFonts w:ascii="Times New Roman" w:hAnsi="Times New Roman" w:cs="Times New Roman"/>
          <w:b/>
          <w:sz w:val="24"/>
          <w:szCs w:val="24"/>
        </w:rPr>
        <w:t>Deney 2.1</w:t>
      </w:r>
    </w:p>
    <w:p w:rsidR="003F2895" w:rsidRDefault="00A52E15" w:rsidP="00C030B4">
      <w:pPr>
        <w:rPr>
          <w:rFonts w:ascii="Times New Roman" w:hAnsi="Times New Roman" w:cs="Times New Roman"/>
          <w:sz w:val="24"/>
          <w:szCs w:val="24"/>
        </w:rPr>
      </w:pPr>
      <w:r>
        <w:rPr>
          <w:noProof/>
          <w:lang w:eastAsia="tr-TR"/>
        </w:rPr>
        <w:drawing>
          <wp:anchor distT="0" distB="0" distL="114300" distR="114300" simplePos="0" relativeHeight="251658240" behindDoc="1" locked="0" layoutInCell="1" allowOverlap="1">
            <wp:simplePos x="0" y="0"/>
            <wp:positionH relativeFrom="column">
              <wp:posOffset>748030</wp:posOffset>
            </wp:positionH>
            <wp:positionV relativeFrom="paragraph">
              <wp:posOffset>1060450</wp:posOffset>
            </wp:positionV>
            <wp:extent cx="3771900" cy="1876425"/>
            <wp:effectExtent l="19050" t="0" r="0" b="0"/>
            <wp:wrapTight wrapText="bothSides">
              <wp:wrapPolygon edited="0">
                <wp:start x="-109" y="0"/>
                <wp:lineTo x="-109" y="21490"/>
                <wp:lineTo x="21600" y="21490"/>
                <wp:lineTo x="21600" y="0"/>
                <wp:lineTo x="-109"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771900" cy="1876425"/>
                    </a:xfrm>
                    <a:prstGeom prst="rect">
                      <a:avLst/>
                    </a:prstGeom>
                    <a:noFill/>
                    <a:ln w="9525">
                      <a:noFill/>
                      <a:miter lim="800000"/>
                      <a:headEnd/>
                      <a:tailEnd/>
                    </a:ln>
                  </pic:spPr>
                </pic:pic>
              </a:graphicData>
            </a:graphic>
          </wp:anchor>
        </w:drawing>
      </w:r>
      <w:r w:rsidR="001E00D9">
        <w:rPr>
          <w:noProof/>
        </w:rPr>
        <w:pict>
          <v:shapetype id="_x0000_t202" coordsize="21600,21600" o:spt="202" path="m,l,21600r21600,l21600,xe">
            <v:stroke joinstyle="miter"/>
            <v:path gradientshapeok="t" o:connecttype="rect"/>
          </v:shapetype>
          <v:shape id="_x0000_s1026" type="#_x0000_t202" style="position:absolute;margin-left:61.15pt;margin-top:241pt;width:297pt;height:21pt;z-index:251660288;mso-position-horizontal-relative:text;mso-position-vertical-relative:text" wrapcoords="-55 0 -55 20965 21600 20965 21600 0 -55 0" stroked="f">
            <v:textbox style="mso-fit-shape-to-text:t" inset="0,0,0,0">
              <w:txbxContent>
                <w:p w:rsidR="00E92A4C" w:rsidRPr="00E024BC" w:rsidRDefault="00E92A4C" w:rsidP="00E92A4C">
                  <w:pPr>
                    <w:pStyle w:val="Caption"/>
                    <w:jc w:val="center"/>
                    <w:rPr>
                      <w:rFonts w:ascii="Times New Roman" w:hAnsi="Times New Roman" w:cs="Times New Roman"/>
                      <w:noProof/>
                      <w:sz w:val="24"/>
                      <w:szCs w:val="24"/>
                    </w:rPr>
                  </w:pPr>
                  <w:r>
                    <w:t>Şekil 4.2</w:t>
                  </w:r>
                </w:p>
              </w:txbxContent>
            </v:textbox>
            <w10:wrap type="tight"/>
          </v:shape>
        </w:pict>
      </w:r>
      <w:r w:rsidR="00C030B4">
        <w:rPr>
          <w:rFonts w:ascii="Times New Roman" w:hAnsi="Times New Roman" w:cs="Times New Roman"/>
          <w:sz w:val="24"/>
          <w:szCs w:val="24"/>
        </w:rPr>
        <w:t xml:space="preserve"> </w:t>
      </w:r>
      <w:r w:rsidR="00C030B4">
        <w:rPr>
          <w:rFonts w:ascii="Times New Roman" w:hAnsi="Times New Roman" w:cs="Times New Roman"/>
          <w:sz w:val="24"/>
          <w:szCs w:val="24"/>
        </w:rPr>
        <w:tab/>
        <w:t>Deney föyünde şekil 4.2 deki faz çeviren devre oluşturuldu. Opampa</w:t>
      </w:r>
      <w:r w:rsidR="00E92A4C">
        <w:rPr>
          <w:rFonts w:ascii="Times New Roman" w:hAnsi="Times New Roman" w:cs="Times New Roman"/>
          <w:sz w:val="24"/>
          <w:szCs w:val="24"/>
        </w:rPr>
        <w:t xml:space="preserve"> +15 V ve -15 V</w:t>
      </w:r>
      <w:r w:rsidR="00C030B4">
        <w:rPr>
          <w:rFonts w:ascii="Times New Roman" w:hAnsi="Times New Roman" w:cs="Times New Roman"/>
          <w:sz w:val="24"/>
          <w:szCs w:val="24"/>
        </w:rPr>
        <w:t xml:space="preserve"> </w:t>
      </w:r>
      <w:r w:rsidR="00E92A4C">
        <w:rPr>
          <w:rFonts w:ascii="Times New Roman" w:hAnsi="Times New Roman" w:cs="Times New Roman"/>
          <w:sz w:val="24"/>
          <w:szCs w:val="24"/>
        </w:rPr>
        <w:t xml:space="preserve">bağlandı ve giriş işareti sinüzoidal bir işaret olarak ayarlandı. R1=10k seçilerek </w:t>
      </w:r>
      <w:r w:rsidR="00C030B4">
        <w:rPr>
          <w:rFonts w:ascii="Times New Roman" w:hAnsi="Times New Roman" w:cs="Times New Roman"/>
          <w:sz w:val="24"/>
          <w:szCs w:val="24"/>
        </w:rPr>
        <w:t xml:space="preserve">R2 direnci için 100k – 10k arası </w:t>
      </w:r>
      <w:r w:rsidR="00E92A4C">
        <w:rPr>
          <w:rFonts w:ascii="Times New Roman" w:hAnsi="Times New Roman" w:cs="Times New Roman"/>
          <w:sz w:val="24"/>
          <w:szCs w:val="24"/>
        </w:rPr>
        <w:t xml:space="preserve">değerler ile devre çalıştırılarak çıkış genliği gözlem ve </w:t>
      </w:r>
      <w:r w:rsidR="00745A6B">
        <w:rPr>
          <w:rFonts w:ascii="Times New Roman" w:hAnsi="Times New Roman" w:cs="Times New Roman"/>
          <w:sz w:val="24"/>
          <w:szCs w:val="24"/>
        </w:rPr>
        <w:t xml:space="preserve">aşağıdaki </w:t>
      </w:r>
      <w:r w:rsidR="00E92A4C">
        <w:rPr>
          <w:rFonts w:ascii="Times New Roman" w:hAnsi="Times New Roman" w:cs="Times New Roman"/>
          <w:sz w:val="24"/>
          <w:szCs w:val="24"/>
        </w:rPr>
        <w:t xml:space="preserve">teorik </w:t>
      </w:r>
      <w:r w:rsidR="00745A6B">
        <w:rPr>
          <w:rFonts w:ascii="Times New Roman" w:hAnsi="Times New Roman" w:cs="Times New Roman"/>
          <w:sz w:val="24"/>
          <w:szCs w:val="24"/>
        </w:rPr>
        <w:t xml:space="preserve">formül </w:t>
      </w:r>
      <w:r w:rsidR="00E92A4C">
        <w:rPr>
          <w:rFonts w:ascii="Times New Roman" w:hAnsi="Times New Roman" w:cs="Times New Roman"/>
          <w:sz w:val="24"/>
          <w:szCs w:val="24"/>
        </w:rPr>
        <w:t xml:space="preserve">hesap yoluyla gözlendi ve </w:t>
      </w:r>
      <w:r w:rsidR="00745A6B">
        <w:rPr>
          <w:rFonts w:ascii="Times New Roman" w:hAnsi="Times New Roman" w:cs="Times New Roman"/>
          <w:sz w:val="24"/>
          <w:szCs w:val="24"/>
        </w:rPr>
        <w:t xml:space="preserve">deney </w:t>
      </w:r>
      <w:r w:rsidR="008D475B">
        <w:rPr>
          <w:rFonts w:ascii="Times New Roman" w:hAnsi="Times New Roman" w:cs="Times New Roman"/>
          <w:sz w:val="24"/>
          <w:szCs w:val="24"/>
        </w:rPr>
        <w:t>protokol kağıdındaki</w:t>
      </w:r>
      <w:r w:rsidR="00745A6B">
        <w:rPr>
          <w:rFonts w:ascii="Times New Roman" w:hAnsi="Times New Roman" w:cs="Times New Roman"/>
          <w:sz w:val="24"/>
          <w:szCs w:val="24"/>
        </w:rPr>
        <w:t xml:space="preserve"> ilk tabloya işlendi</w:t>
      </w:r>
      <w:r w:rsidR="00E92A4C">
        <w:rPr>
          <w:rFonts w:ascii="Times New Roman" w:hAnsi="Times New Roman" w:cs="Times New Roman"/>
          <w:sz w:val="24"/>
          <w:szCs w:val="24"/>
        </w:rPr>
        <w:t xml:space="preserve"> tablosuna işlendi.</w:t>
      </w:r>
    </w:p>
    <w:p w:rsidR="00E92A4C" w:rsidRDefault="00E92A4C" w:rsidP="00C030B4">
      <w:pPr>
        <w:rPr>
          <w:rFonts w:ascii="Times New Roman" w:hAnsi="Times New Roman" w:cs="Times New Roman"/>
          <w:sz w:val="24"/>
          <w:szCs w:val="24"/>
        </w:rPr>
      </w:pPr>
    </w:p>
    <w:p w:rsidR="00E92A4C" w:rsidRDefault="00E92A4C" w:rsidP="00C030B4">
      <w:pPr>
        <w:rPr>
          <w:rFonts w:ascii="Times New Roman" w:hAnsi="Times New Roman" w:cs="Times New Roman"/>
          <w:sz w:val="24"/>
          <w:szCs w:val="24"/>
        </w:rPr>
      </w:pPr>
    </w:p>
    <w:p w:rsidR="00E92A4C" w:rsidRDefault="00E92A4C" w:rsidP="00C030B4">
      <w:pPr>
        <w:rPr>
          <w:rFonts w:ascii="Times New Roman" w:hAnsi="Times New Roman" w:cs="Times New Roman"/>
          <w:sz w:val="24"/>
          <w:szCs w:val="24"/>
        </w:rPr>
      </w:pPr>
    </w:p>
    <w:p w:rsidR="00E92A4C" w:rsidRDefault="00E92A4C" w:rsidP="00C030B4">
      <w:pPr>
        <w:rPr>
          <w:rFonts w:ascii="Times New Roman" w:hAnsi="Times New Roman" w:cs="Times New Roman"/>
          <w:sz w:val="24"/>
          <w:szCs w:val="24"/>
        </w:rPr>
      </w:pPr>
    </w:p>
    <w:p w:rsidR="00E92A4C" w:rsidRDefault="00E92A4C" w:rsidP="00C030B4">
      <w:pPr>
        <w:rPr>
          <w:rFonts w:ascii="Times New Roman" w:hAnsi="Times New Roman" w:cs="Times New Roman"/>
          <w:sz w:val="24"/>
          <w:szCs w:val="24"/>
        </w:rPr>
      </w:pPr>
    </w:p>
    <w:p w:rsidR="00E92A4C" w:rsidRDefault="00E92A4C" w:rsidP="00C030B4">
      <w:pPr>
        <w:rPr>
          <w:rFonts w:ascii="Times New Roman" w:hAnsi="Times New Roman" w:cs="Times New Roman"/>
          <w:sz w:val="24"/>
          <w:szCs w:val="24"/>
        </w:rPr>
      </w:pPr>
    </w:p>
    <w:p w:rsidR="00A52E15" w:rsidRDefault="00A52E15" w:rsidP="00C030B4">
      <w:pPr>
        <w:rPr>
          <w:rFonts w:ascii="Times New Roman" w:hAnsi="Times New Roman" w:cs="Times New Roman"/>
          <w:sz w:val="24"/>
          <w:szCs w:val="24"/>
        </w:rPr>
      </w:pPr>
    </w:p>
    <w:p w:rsidR="00745A6B" w:rsidRDefault="00745A6B" w:rsidP="00C030B4">
      <w:pPr>
        <w:rPr>
          <w:rFonts w:ascii="Times New Roman" w:eastAsiaTheme="minorEastAsia" w:hAnsi="Times New Roman" w:cs="Times New Roman"/>
          <w:sz w:val="24"/>
          <w:szCs w:val="24"/>
        </w:rPr>
      </w:pPr>
    </w:p>
    <w:p w:rsidR="00A52E15" w:rsidRDefault="00A52E15" w:rsidP="00A52E1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R2</m:t>
            </m:r>
          </m:num>
          <m:den>
            <m:r>
              <w:rPr>
                <w:rFonts w:ascii="Cambria Math" w:hAnsi="Cambria Math" w:cs="Times New Roman"/>
                <w:sz w:val="24"/>
                <w:szCs w:val="24"/>
              </w:rPr>
              <m:t>R1</m:t>
            </m:r>
          </m:den>
        </m:f>
      </m:oMath>
    </w:p>
    <w:p w:rsidR="00A52E15" w:rsidRDefault="00A52E15" w:rsidP="00C030B4">
      <w:pPr>
        <w:rPr>
          <w:rFonts w:ascii="Times New Roman" w:eastAsiaTheme="minorEastAsia" w:hAnsi="Times New Roman" w:cs="Times New Roman"/>
          <w:sz w:val="24"/>
          <w:szCs w:val="24"/>
        </w:rPr>
      </w:pPr>
    </w:p>
    <w:p w:rsidR="00745A6B" w:rsidRDefault="00745A6B" w:rsidP="00745A6B">
      <w:pPr>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Giriş Genliği (Peak to Peak) = </w:t>
      </w:r>
      <w:r w:rsidRPr="00745A6B">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pp</w:t>
      </w:r>
      <w:r>
        <w:rPr>
          <w:rFonts w:ascii="Times New Roman" w:eastAsiaTheme="minorEastAsia" w:hAnsi="Times New Roman" w:cs="Times New Roman"/>
          <w:sz w:val="24"/>
          <w:szCs w:val="24"/>
        </w:rPr>
        <w:t xml:space="preserve"> = 2 V</w:t>
      </w:r>
    </w:p>
    <w:tbl>
      <w:tblPr>
        <w:tblStyle w:val="TableGrid"/>
        <w:tblW w:w="0" w:type="auto"/>
        <w:jc w:val="center"/>
        <w:tblLook w:val="04A0" w:firstRow="1" w:lastRow="0" w:firstColumn="1" w:lastColumn="0" w:noHBand="0" w:noVBand="1"/>
      </w:tblPr>
      <w:tblGrid>
        <w:gridCol w:w="696"/>
        <w:gridCol w:w="1703"/>
        <w:gridCol w:w="1903"/>
      </w:tblGrid>
      <w:tr w:rsidR="00E92A4C" w:rsidTr="00E92A4C">
        <w:trPr>
          <w:jc w:val="center"/>
        </w:trPr>
        <w:tc>
          <w:tcPr>
            <w:tcW w:w="0" w:type="auto"/>
          </w:tcPr>
          <w:p w:rsidR="00E92A4C" w:rsidRDefault="00745A6B" w:rsidP="008D475B">
            <w:pPr>
              <w:rPr>
                <w:rFonts w:ascii="Times New Roman" w:hAnsi="Times New Roman" w:cs="Times New Roman"/>
                <w:sz w:val="24"/>
                <w:szCs w:val="24"/>
              </w:rPr>
            </w:pPr>
            <w:r>
              <w:rPr>
                <w:rFonts w:ascii="Times New Roman" w:hAnsi="Times New Roman" w:cs="Times New Roman"/>
                <w:sz w:val="24"/>
                <w:szCs w:val="24"/>
              </w:rPr>
              <w:t xml:space="preserve"> </w:t>
            </w:r>
            <w:r w:rsidR="00E92A4C">
              <w:rPr>
                <w:rFonts w:ascii="Times New Roman" w:hAnsi="Times New Roman" w:cs="Times New Roman"/>
                <w:sz w:val="24"/>
                <w:szCs w:val="24"/>
              </w:rPr>
              <w:t xml:space="preserve">R2               </w:t>
            </w:r>
          </w:p>
        </w:tc>
        <w:tc>
          <w:tcPr>
            <w:tcW w:w="0" w:type="auto"/>
          </w:tcPr>
          <w:p w:rsidR="00E92A4C" w:rsidRDefault="00E92A4C" w:rsidP="00E92A4C">
            <w:pPr>
              <w:jc w:val="center"/>
              <w:rPr>
                <w:rFonts w:ascii="Times New Roman" w:hAnsi="Times New Roman" w:cs="Times New Roman"/>
                <w:sz w:val="24"/>
                <w:szCs w:val="24"/>
              </w:rPr>
            </w:pPr>
            <w:r>
              <w:rPr>
                <w:rFonts w:ascii="Times New Roman" w:hAnsi="Times New Roman" w:cs="Times New Roman"/>
                <w:sz w:val="24"/>
                <w:szCs w:val="24"/>
              </w:rPr>
              <w:t>Gözlenen Çıkış</w:t>
            </w:r>
          </w:p>
          <w:p w:rsidR="00E92A4C" w:rsidRDefault="00E92A4C" w:rsidP="00E92A4C">
            <w:pPr>
              <w:jc w:val="center"/>
              <w:rPr>
                <w:rFonts w:ascii="Times New Roman" w:hAnsi="Times New Roman" w:cs="Times New Roman"/>
                <w:sz w:val="24"/>
                <w:szCs w:val="24"/>
              </w:rPr>
            </w:pPr>
            <w:r>
              <w:rPr>
                <w:rFonts w:ascii="Times New Roman" w:hAnsi="Times New Roman" w:cs="Times New Roman"/>
                <w:sz w:val="24"/>
                <w:szCs w:val="24"/>
              </w:rPr>
              <w:t>Genliği</w:t>
            </w:r>
            <w:r w:rsidR="008D475B">
              <w:rPr>
                <w:rFonts w:ascii="Times New Roman" w:hAnsi="Times New Roman" w:cs="Times New Roman"/>
                <w:sz w:val="24"/>
                <w:szCs w:val="24"/>
              </w:rPr>
              <w:t xml:space="preserve"> (V)</w:t>
            </w:r>
          </w:p>
        </w:tc>
        <w:tc>
          <w:tcPr>
            <w:tcW w:w="0" w:type="auto"/>
          </w:tcPr>
          <w:p w:rsidR="00E92A4C" w:rsidRDefault="00E92A4C" w:rsidP="00C030B4">
            <w:pPr>
              <w:rPr>
                <w:rFonts w:ascii="Times New Roman" w:hAnsi="Times New Roman" w:cs="Times New Roman"/>
                <w:sz w:val="24"/>
                <w:szCs w:val="24"/>
              </w:rPr>
            </w:pPr>
            <w:r>
              <w:rPr>
                <w:rFonts w:ascii="Times New Roman" w:hAnsi="Times New Roman" w:cs="Times New Roman"/>
                <w:sz w:val="24"/>
                <w:szCs w:val="24"/>
              </w:rPr>
              <w:t xml:space="preserve">Hesaplanan Çıkış </w:t>
            </w:r>
          </w:p>
          <w:p w:rsidR="00E92A4C" w:rsidRDefault="00E92A4C" w:rsidP="00E92A4C">
            <w:pPr>
              <w:jc w:val="center"/>
              <w:rPr>
                <w:rFonts w:ascii="Times New Roman" w:hAnsi="Times New Roman" w:cs="Times New Roman"/>
                <w:sz w:val="24"/>
                <w:szCs w:val="24"/>
              </w:rPr>
            </w:pPr>
            <w:r>
              <w:rPr>
                <w:rFonts w:ascii="Times New Roman" w:hAnsi="Times New Roman" w:cs="Times New Roman"/>
                <w:sz w:val="24"/>
                <w:szCs w:val="24"/>
              </w:rPr>
              <w:t>Genliği</w:t>
            </w:r>
            <w:r w:rsidR="008D475B">
              <w:rPr>
                <w:rFonts w:ascii="Times New Roman" w:hAnsi="Times New Roman" w:cs="Times New Roman"/>
                <w:sz w:val="24"/>
                <w:szCs w:val="24"/>
              </w:rPr>
              <w:t xml:space="preserve"> (V)</w:t>
            </w:r>
          </w:p>
        </w:tc>
      </w:tr>
      <w:tr w:rsidR="00E92A4C" w:rsidTr="00E92A4C">
        <w:trPr>
          <w:jc w:val="center"/>
        </w:trPr>
        <w:tc>
          <w:tcPr>
            <w:tcW w:w="0" w:type="auto"/>
          </w:tcPr>
          <w:p w:rsidR="00E92A4C" w:rsidRDefault="00E92A4C" w:rsidP="00C030B4">
            <w:pPr>
              <w:rPr>
                <w:rFonts w:ascii="Times New Roman" w:hAnsi="Times New Roman" w:cs="Times New Roman"/>
                <w:sz w:val="24"/>
                <w:szCs w:val="24"/>
              </w:rPr>
            </w:pPr>
            <w:r>
              <w:rPr>
                <w:rFonts w:ascii="Times New Roman" w:hAnsi="Times New Roman" w:cs="Times New Roman"/>
                <w:sz w:val="24"/>
                <w:szCs w:val="24"/>
              </w:rPr>
              <w:t>100k</w:t>
            </w:r>
          </w:p>
        </w:tc>
        <w:tc>
          <w:tcPr>
            <w:tcW w:w="0" w:type="auto"/>
          </w:tcPr>
          <w:p w:rsidR="00E92A4C" w:rsidRDefault="00E92A4C" w:rsidP="00E92A4C">
            <w:pPr>
              <w:jc w:val="center"/>
              <w:rPr>
                <w:rFonts w:ascii="Times New Roman" w:hAnsi="Times New Roman" w:cs="Times New Roman"/>
                <w:sz w:val="24"/>
                <w:szCs w:val="24"/>
              </w:rPr>
            </w:pPr>
            <w:r>
              <w:rPr>
                <w:rFonts w:ascii="Times New Roman" w:hAnsi="Times New Roman" w:cs="Times New Roman"/>
                <w:sz w:val="24"/>
                <w:szCs w:val="24"/>
              </w:rPr>
              <w:t>-18.4</w:t>
            </w:r>
          </w:p>
        </w:tc>
        <w:tc>
          <w:tcPr>
            <w:tcW w:w="0" w:type="auto"/>
          </w:tcPr>
          <w:p w:rsidR="00E92A4C" w:rsidRDefault="00E92A4C" w:rsidP="00E92A4C">
            <w:pPr>
              <w:jc w:val="center"/>
              <w:rPr>
                <w:rFonts w:ascii="Times New Roman" w:hAnsi="Times New Roman" w:cs="Times New Roman"/>
                <w:sz w:val="24"/>
                <w:szCs w:val="24"/>
              </w:rPr>
            </w:pPr>
            <w:r>
              <w:rPr>
                <w:rFonts w:ascii="Times New Roman" w:hAnsi="Times New Roman" w:cs="Times New Roman"/>
                <w:sz w:val="24"/>
                <w:szCs w:val="24"/>
              </w:rPr>
              <w:t>-20</w:t>
            </w:r>
          </w:p>
        </w:tc>
      </w:tr>
      <w:tr w:rsidR="00E92A4C" w:rsidTr="00E92A4C">
        <w:trPr>
          <w:jc w:val="center"/>
        </w:trPr>
        <w:tc>
          <w:tcPr>
            <w:tcW w:w="0" w:type="auto"/>
          </w:tcPr>
          <w:p w:rsidR="00E92A4C" w:rsidRDefault="00E92A4C" w:rsidP="00C030B4">
            <w:pPr>
              <w:rPr>
                <w:rFonts w:ascii="Times New Roman" w:hAnsi="Times New Roman" w:cs="Times New Roman"/>
                <w:sz w:val="24"/>
                <w:szCs w:val="24"/>
              </w:rPr>
            </w:pPr>
            <w:r>
              <w:rPr>
                <w:rFonts w:ascii="Times New Roman" w:hAnsi="Times New Roman" w:cs="Times New Roman"/>
                <w:sz w:val="24"/>
                <w:szCs w:val="24"/>
              </w:rPr>
              <w:t>75k</w:t>
            </w:r>
          </w:p>
        </w:tc>
        <w:tc>
          <w:tcPr>
            <w:tcW w:w="0" w:type="auto"/>
          </w:tcPr>
          <w:p w:rsidR="00E92A4C" w:rsidRDefault="00E92A4C" w:rsidP="00E92A4C">
            <w:pPr>
              <w:jc w:val="center"/>
              <w:rPr>
                <w:rFonts w:ascii="Times New Roman" w:hAnsi="Times New Roman" w:cs="Times New Roman"/>
                <w:sz w:val="24"/>
                <w:szCs w:val="24"/>
              </w:rPr>
            </w:pPr>
            <w:r>
              <w:rPr>
                <w:rFonts w:ascii="Times New Roman" w:hAnsi="Times New Roman" w:cs="Times New Roman"/>
                <w:sz w:val="24"/>
                <w:szCs w:val="24"/>
              </w:rPr>
              <w:t>-15,4</w:t>
            </w:r>
          </w:p>
        </w:tc>
        <w:tc>
          <w:tcPr>
            <w:tcW w:w="0" w:type="auto"/>
          </w:tcPr>
          <w:p w:rsidR="00E92A4C" w:rsidRDefault="00E92A4C" w:rsidP="00E92A4C">
            <w:pPr>
              <w:jc w:val="center"/>
              <w:rPr>
                <w:rFonts w:ascii="Times New Roman" w:hAnsi="Times New Roman" w:cs="Times New Roman"/>
                <w:sz w:val="24"/>
                <w:szCs w:val="24"/>
              </w:rPr>
            </w:pPr>
            <w:r>
              <w:rPr>
                <w:rFonts w:ascii="Times New Roman" w:hAnsi="Times New Roman" w:cs="Times New Roman"/>
                <w:sz w:val="24"/>
                <w:szCs w:val="24"/>
              </w:rPr>
              <w:t>-15</w:t>
            </w:r>
          </w:p>
        </w:tc>
      </w:tr>
      <w:tr w:rsidR="00E92A4C" w:rsidTr="00E92A4C">
        <w:trPr>
          <w:jc w:val="center"/>
        </w:trPr>
        <w:tc>
          <w:tcPr>
            <w:tcW w:w="0" w:type="auto"/>
          </w:tcPr>
          <w:p w:rsidR="00E92A4C" w:rsidRDefault="00E92A4C" w:rsidP="00C030B4">
            <w:pPr>
              <w:rPr>
                <w:rFonts w:ascii="Times New Roman" w:hAnsi="Times New Roman" w:cs="Times New Roman"/>
                <w:sz w:val="24"/>
                <w:szCs w:val="24"/>
              </w:rPr>
            </w:pPr>
            <w:r>
              <w:rPr>
                <w:rFonts w:ascii="Times New Roman" w:hAnsi="Times New Roman" w:cs="Times New Roman"/>
                <w:sz w:val="24"/>
                <w:szCs w:val="24"/>
              </w:rPr>
              <w:t>50k</w:t>
            </w:r>
          </w:p>
        </w:tc>
        <w:tc>
          <w:tcPr>
            <w:tcW w:w="0" w:type="auto"/>
          </w:tcPr>
          <w:p w:rsidR="00E92A4C" w:rsidRDefault="00E92A4C" w:rsidP="00E92A4C">
            <w:pPr>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E92A4C" w:rsidRDefault="00E92A4C" w:rsidP="00E92A4C">
            <w:pPr>
              <w:jc w:val="center"/>
              <w:rPr>
                <w:rFonts w:ascii="Times New Roman" w:hAnsi="Times New Roman" w:cs="Times New Roman"/>
                <w:sz w:val="24"/>
                <w:szCs w:val="24"/>
              </w:rPr>
            </w:pPr>
            <w:r>
              <w:rPr>
                <w:rFonts w:ascii="Times New Roman" w:hAnsi="Times New Roman" w:cs="Times New Roman"/>
                <w:sz w:val="24"/>
                <w:szCs w:val="24"/>
              </w:rPr>
              <w:t>-10</w:t>
            </w:r>
          </w:p>
        </w:tc>
      </w:tr>
      <w:tr w:rsidR="00E92A4C" w:rsidTr="00E92A4C">
        <w:trPr>
          <w:jc w:val="center"/>
        </w:trPr>
        <w:tc>
          <w:tcPr>
            <w:tcW w:w="0" w:type="auto"/>
          </w:tcPr>
          <w:p w:rsidR="00E92A4C" w:rsidRDefault="00E92A4C" w:rsidP="00C030B4">
            <w:pPr>
              <w:rPr>
                <w:rFonts w:ascii="Times New Roman" w:hAnsi="Times New Roman" w:cs="Times New Roman"/>
                <w:sz w:val="24"/>
                <w:szCs w:val="24"/>
              </w:rPr>
            </w:pPr>
            <w:r>
              <w:rPr>
                <w:rFonts w:ascii="Times New Roman" w:hAnsi="Times New Roman" w:cs="Times New Roman"/>
                <w:sz w:val="24"/>
                <w:szCs w:val="24"/>
              </w:rPr>
              <w:t>25k</w:t>
            </w:r>
          </w:p>
        </w:tc>
        <w:tc>
          <w:tcPr>
            <w:tcW w:w="0" w:type="auto"/>
          </w:tcPr>
          <w:p w:rsidR="00E92A4C" w:rsidRDefault="00E92A4C" w:rsidP="00E92A4C">
            <w:pPr>
              <w:jc w:val="center"/>
              <w:rPr>
                <w:rFonts w:ascii="Times New Roman" w:hAnsi="Times New Roman" w:cs="Times New Roman"/>
                <w:sz w:val="24"/>
                <w:szCs w:val="24"/>
              </w:rPr>
            </w:pPr>
            <w:r>
              <w:rPr>
                <w:rFonts w:ascii="Times New Roman" w:hAnsi="Times New Roman" w:cs="Times New Roman"/>
                <w:sz w:val="24"/>
                <w:szCs w:val="24"/>
              </w:rPr>
              <w:t>-5,11</w:t>
            </w:r>
          </w:p>
        </w:tc>
        <w:tc>
          <w:tcPr>
            <w:tcW w:w="0" w:type="auto"/>
          </w:tcPr>
          <w:p w:rsidR="00E92A4C" w:rsidRDefault="00E92A4C" w:rsidP="00E92A4C">
            <w:pPr>
              <w:jc w:val="center"/>
              <w:rPr>
                <w:rFonts w:ascii="Times New Roman" w:hAnsi="Times New Roman" w:cs="Times New Roman"/>
                <w:sz w:val="24"/>
                <w:szCs w:val="24"/>
              </w:rPr>
            </w:pPr>
            <w:r>
              <w:rPr>
                <w:rFonts w:ascii="Times New Roman" w:hAnsi="Times New Roman" w:cs="Times New Roman"/>
                <w:sz w:val="24"/>
                <w:szCs w:val="24"/>
              </w:rPr>
              <w:t>-5</w:t>
            </w:r>
          </w:p>
        </w:tc>
      </w:tr>
      <w:tr w:rsidR="00E92A4C" w:rsidTr="00E92A4C">
        <w:trPr>
          <w:jc w:val="center"/>
        </w:trPr>
        <w:tc>
          <w:tcPr>
            <w:tcW w:w="0" w:type="auto"/>
          </w:tcPr>
          <w:p w:rsidR="00E92A4C" w:rsidRDefault="00E92A4C" w:rsidP="00C030B4">
            <w:pPr>
              <w:rPr>
                <w:rFonts w:ascii="Times New Roman" w:hAnsi="Times New Roman" w:cs="Times New Roman"/>
                <w:sz w:val="24"/>
                <w:szCs w:val="24"/>
              </w:rPr>
            </w:pPr>
            <w:r>
              <w:rPr>
                <w:rFonts w:ascii="Times New Roman" w:hAnsi="Times New Roman" w:cs="Times New Roman"/>
                <w:sz w:val="24"/>
                <w:szCs w:val="24"/>
              </w:rPr>
              <w:t>10k</w:t>
            </w:r>
          </w:p>
        </w:tc>
        <w:tc>
          <w:tcPr>
            <w:tcW w:w="0" w:type="auto"/>
          </w:tcPr>
          <w:p w:rsidR="00E92A4C" w:rsidRDefault="00E92A4C" w:rsidP="00E92A4C">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E92A4C" w:rsidRDefault="00E92A4C" w:rsidP="00E92A4C">
            <w:pPr>
              <w:jc w:val="center"/>
              <w:rPr>
                <w:rFonts w:ascii="Times New Roman" w:hAnsi="Times New Roman" w:cs="Times New Roman"/>
                <w:sz w:val="24"/>
                <w:szCs w:val="24"/>
              </w:rPr>
            </w:pPr>
            <w:r>
              <w:rPr>
                <w:rFonts w:ascii="Times New Roman" w:hAnsi="Times New Roman" w:cs="Times New Roman"/>
                <w:sz w:val="24"/>
                <w:szCs w:val="24"/>
              </w:rPr>
              <w:t>-2</w:t>
            </w:r>
          </w:p>
        </w:tc>
      </w:tr>
    </w:tbl>
    <w:p w:rsidR="00E92A4C" w:rsidRDefault="00E92A4C" w:rsidP="00C030B4">
      <w:pPr>
        <w:rPr>
          <w:rFonts w:ascii="Times New Roman" w:hAnsi="Times New Roman" w:cs="Times New Roman"/>
          <w:sz w:val="24"/>
          <w:szCs w:val="24"/>
        </w:rPr>
      </w:pPr>
    </w:p>
    <w:p w:rsidR="00A52E15" w:rsidRDefault="00A52E15" w:rsidP="00C030B4">
      <w:pPr>
        <w:rPr>
          <w:rFonts w:ascii="Times New Roman" w:hAnsi="Times New Roman" w:cs="Times New Roman"/>
          <w:b/>
          <w:sz w:val="24"/>
          <w:szCs w:val="24"/>
        </w:rPr>
      </w:pPr>
    </w:p>
    <w:p w:rsidR="00E92A4C" w:rsidRDefault="00E92A4C" w:rsidP="00C030B4">
      <w:pPr>
        <w:rPr>
          <w:rFonts w:ascii="Times New Roman" w:hAnsi="Times New Roman" w:cs="Times New Roman"/>
          <w:sz w:val="24"/>
          <w:szCs w:val="24"/>
        </w:rPr>
      </w:pPr>
      <w:r>
        <w:rPr>
          <w:rFonts w:ascii="Times New Roman" w:hAnsi="Times New Roman" w:cs="Times New Roman"/>
          <w:b/>
          <w:sz w:val="24"/>
          <w:szCs w:val="24"/>
        </w:rPr>
        <w:t xml:space="preserve">NOT: </w:t>
      </w:r>
      <w:r>
        <w:rPr>
          <w:rFonts w:ascii="Times New Roman" w:hAnsi="Times New Roman" w:cs="Times New Roman"/>
          <w:sz w:val="24"/>
          <w:szCs w:val="24"/>
        </w:rPr>
        <w:t>Ayarlı direncimizde maksimum direnç 80k – 90k arası olmasına karşın tabloda ve teorik hesaplarda 100k olarak alınmıştır.</w:t>
      </w:r>
    </w:p>
    <w:p w:rsidR="00B76B17" w:rsidRDefault="00B76B17" w:rsidP="00B76B17">
      <w:pPr>
        <w:jc w:val="center"/>
        <w:rPr>
          <w:rFonts w:ascii="Times New Roman" w:hAnsi="Times New Roman" w:cs="Times New Roman"/>
          <w:sz w:val="24"/>
          <w:szCs w:val="24"/>
        </w:rPr>
      </w:pPr>
    </w:p>
    <w:p w:rsidR="00B76B17" w:rsidRDefault="00B76B17" w:rsidP="00B76B17">
      <w:pPr>
        <w:jc w:val="center"/>
        <w:rPr>
          <w:rFonts w:ascii="Times New Roman" w:hAnsi="Times New Roman" w:cs="Times New Roman"/>
          <w:sz w:val="24"/>
          <w:szCs w:val="24"/>
        </w:rPr>
      </w:pPr>
    </w:p>
    <w:p w:rsidR="00A52E15" w:rsidRDefault="00745A6B" w:rsidP="00B76B17">
      <w:pPr>
        <w:jc w:val="center"/>
        <w:rPr>
          <w:rFonts w:ascii="Times New Roman" w:hAnsi="Times New Roman" w:cs="Times New Roman"/>
          <w:sz w:val="24"/>
          <w:szCs w:val="24"/>
        </w:rPr>
      </w:pPr>
      <w:bookmarkStart w:id="0" w:name="_GoBack"/>
      <w:r>
        <w:rPr>
          <w:rFonts w:ascii="Times New Roman" w:hAnsi="Times New Roman" w:cs="Times New Roman"/>
          <w:noProof/>
          <w:sz w:val="24"/>
          <w:szCs w:val="24"/>
          <w:lang w:eastAsia="tr-TR"/>
        </w:rPr>
        <w:lastRenderedPageBreak/>
        <w:drawing>
          <wp:inline distT="0" distB="0" distL="0" distR="0">
            <wp:extent cx="4837622" cy="2682815"/>
            <wp:effectExtent l="0" t="0" r="1270" b="381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rsidR="00745A6B" w:rsidRDefault="00745A6B" w:rsidP="00A52E15">
      <w:pPr>
        <w:ind w:firstLine="708"/>
        <w:rPr>
          <w:rFonts w:ascii="Times New Roman" w:hAnsi="Times New Roman" w:cs="Times New Roman"/>
          <w:sz w:val="24"/>
          <w:szCs w:val="24"/>
        </w:rPr>
      </w:pPr>
    </w:p>
    <w:p w:rsidR="00A52E15" w:rsidRDefault="00A52E15" w:rsidP="00A52E15">
      <w:pPr>
        <w:rPr>
          <w:rFonts w:ascii="Times New Roman" w:hAnsi="Times New Roman" w:cs="Times New Roman"/>
          <w:b/>
          <w:sz w:val="24"/>
          <w:szCs w:val="24"/>
        </w:rPr>
      </w:pPr>
      <w:r>
        <w:rPr>
          <w:rFonts w:ascii="Times New Roman" w:hAnsi="Times New Roman" w:cs="Times New Roman"/>
          <w:b/>
          <w:sz w:val="24"/>
          <w:szCs w:val="24"/>
        </w:rPr>
        <w:t>Deney 2.2</w:t>
      </w:r>
    </w:p>
    <w:p w:rsidR="00A52E15" w:rsidRDefault="00A52E15" w:rsidP="00A52E1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Şekil 4.3 deki faz çevirmeyen devre kuruldu</w:t>
      </w:r>
      <w:r w:rsidR="008D475B">
        <w:rPr>
          <w:rFonts w:ascii="Times New Roman" w:hAnsi="Times New Roman" w:cs="Times New Roman"/>
          <w:sz w:val="24"/>
          <w:szCs w:val="24"/>
        </w:rPr>
        <w:t>. Deney 2.1 deki direnç ve voltaj değerleri aynen tekrarlanarak çıkış gerilimi gözlem ve aşağıdaki teorik formül hesabı ile yoluyla belirlenerek deney protokol kağıdındaki ikinci tabloya işlendi.</w:t>
      </w:r>
    </w:p>
    <w:p w:rsidR="008D475B" w:rsidRDefault="008D475B" w:rsidP="00A52E15">
      <w:pPr>
        <w:rPr>
          <w:rFonts w:ascii="Times New Roman" w:hAnsi="Times New Roman" w:cs="Times New Roman"/>
          <w:sz w:val="24"/>
          <w:szCs w:val="24"/>
        </w:rPr>
      </w:pPr>
      <w:r>
        <w:rPr>
          <w:rFonts w:ascii="Times New Roman" w:hAnsi="Times New Roman" w:cs="Times New Roman"/>
          <w:noProof/>
          <w:sz w:val="24"/>
          <w:szCs w:val="24"/>
          <w:lang w:eastAsia="tr-TR"/>
        </w:rPr>
        <w:drawing>
          <wp:anchor distT="0" distB="0" distL="114300" distR="114300" simplePos="0" relativeHeight="251661312" behindDoc="1" locked="0" layoutInCell="1" allowOverlap="1">
            <wp:simplePos x="0" y="0"/>
            <wp:positionH relativeFrom="column">
              <wp:posOffset>15875</wp:posOffset>
            </wp:positionH>
            <wp:positionV relativeFrom="paragraph">
              <wp:posOffset>275590</wp:posOffset>
            </wp:positionV>
            <wp:extent cx="2991485" cy="2569210"/>
            <wp:effectExtent l="19050" t="0" r="0" b="0"/>
            <wp:wrapTight wrapText="bothSides">
              <wp:wrapPolygon edited="0">
                <wp:start x="-138" y="0"/>
                <wp:lineTo x="-138" y="21461"/>
                <wp:lineTo x="21595" y="21461"/>
                <wp:lineTo x="21595" y="0"/>
                <wp:lineTo x="-138"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991485" cy="2569210"/>
                    </a:xfrm>
                    <a:prstGeom prst="rect">
                      <a:avLst/>
                    </a:prstGeom>
                    <a:noFill/>
                    <a:ln w="9525">
                      <a:noFill/>
                      <a:miter lim="800000"/>
                      <a:headEnd/>
                      <a:tailEnd/>
                    </a:ln>
                  </pic:spPr>
                </pic:pic>
              </a:graphicData>
            </a:graphic>
          </wp:anchor>
        </w:drawing>
      </w:r>
    </w:p>
    <w:p w:rsidR="008D475B" w:rsidRDefault="008D475B" w:rsidP="00A52E15">
      <w:pPr>
        <w:rPr>
          <w:rFonts w:ascii="Times New Roman" w:hAnsi="Times New Roman" w:cs="Times New Roman"/>
          <w:sz w:val="24"/>
          <w:szCs w:val="24"/>
        </w:rPr>
      </w:pPr>
    </w:p>
    <w:p w:rsidR="008D475B" w:rsidRDefault="008D475B" w:rsidP="008D475B">
      <w:pPr>
        <w:jc w:val="center"/>
        <w:rPr>
          <w:rFonts w:ascii="Times New Roman" w:hAnsi="Times New Roman" w:cs="Times New Roman"/>
          <w:sz w:val="24"/>
          <w:szCs w:val="24"/>
        </w:rPr>
      </w:pPr>
      <w:r>
        <w:rPr>
          <w:rFonts w:ascii="Times New Roman" w:hAnsi="Times New Roman" w:cs="Times New Roman"/>
          <w:sz w:val="24"/>
          <w:szCs w:val="24"/>
        </w:rPr>
        <w:t xml:space="preserve">               </w:t>
      </w:r>
    </w:p>
    <w:p w:rsidR="008D475B" w:rsidRDefault="008D475B" w:rsidP="008D475B">
      <w:pPr>
        <w:jc w:val="center"/>
        <w:rPr>
          <w:rFonts w:ascii="Times New Roman" w:hAnsi="Times New Roman" w:cs="Times New Roman"/>
          <w:sz w:val="24"/>
          <w:szCs w:val="24"/>
        </w:rPr>
      </w:pPr>
      <w:r>
        <w:rPr>
          <w:rFonts w:ascii="Times New Roman" w:hAnsi="Times New Roman" w:cs="Times New Roman"/>
          <w:sz w:val="24"/>
          <w:szCs w:val="24"/>
        </w:rPr>
        <w:tab/>
        <w:t xml:space="preserve">         Teorik Hesap Formülü</w:t>
      </w:r>
    </w:p>
    <w:p w:rsidR="008D475B" w:rsidRDefault="008D475B" w:rsidP="008D475B">
      <w:pPr>
        <w:tabs>
          <w:tab w:val="left" w:pos="1780"/>
        </w:tabs>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pp</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R2</m:t>
                </m:r>
              </m:num>
              <m:den>
                <m:r>
                  <w:rPr>
                    <w:rFonts w:ascii="Cambria Math" w:hAnsi="Cambria Math" w:cs="Times New Roman"/>
                    <w:sz w:val="24"/>
                    <w:szCs w:val="24"/>
                  </w:rPr>
                  <m:t>R1</m:t>
                </m:r>
              </m:den>
            </m:f>
          </m:e>
        </m:d>
      </m:oMath>
    </w:p>
    <w:p w:rsidR="008D475B" w:rsidRDefault="008D475B" w:rsidP="00A52E15">
      <w:pPr>
        <w:rPr>
          <w:rFonts w:ascii="Times New Roman" w:hAnsi="Times New Roman" w:cs="Times New Roman"/>
          <w:sz w:val="24"/>
          <w:szCs w:val="24"/>
        </w:rPr>
      </w:pPr>
    </w:p>
    <w:p w:rsidR="008D475B" w:rsidRDefault="008D475B" w:rsidP="00A52E15">
      <w:pPr>
        <w:rPr>
          <w:rFonts w:ascii="Times New Roman" w:hAnsi="Times New Roman" w:cs="Times New Roman"/>
          <w:sz w:val="24"/>
          <w:szCs w:val="24"/>
        </w:rPr>
      </w:pPr>
    </w:p>
    <w:p w:rsidR="008D475B" w:rsidRDefault="008D475B" w:rsidP="00A52E15">
      <w:pPr>
        <w:rPr>
          <w:rFonts w:ascii="Times New Roman" w:hAnsi="Times New Roman" w:cs="Times New Roman"/>
          <w:sz w:val="24"/>
          <w:szCs w:val="24"/>
        </w:rPr>
      </w:pPr>
    </w:p>
    <w:p w:rsidR="008D475B" w:rsidRDefault="001E00D9" w:rsidP="00A52E15">
      <w:pPr>
        <w:rPr>
          <w:rFonts w:ascii="Times New Roman" w:hAnsi="Times New Roman" w:cs="Times New Roman"/>
          <w:sz w:val="24"/>
          <w:szCs w:val="24"/>
        </w:rPr>
      </w:pPr>
      <w:r>
        <w:rPr>
          <w:noProof/>
        </w:rPr>
        <w:pict>
          <v:shape id="_x0000_s1027" type="#_x0000_t202" style="position:absolute;margin-left:-159.55pt;margin-top:21.9pt;width:71pt;height:14.9pt;z-index:251663360" wrapcoords="-62 0 -62 20965 21600 20965 21600 0 -62 0" stroked="f">
            <v:textbox style="mso-next-textbox:#_x0000_s1027" inset="0,0,0,0">
              <w:txbxContent>
                <w:p w:rsidR="008D475B" w:rsidRPr="003C39B5" w:rsidRDefault="008D475B" w:rsidP="008D475B">
                  <w:pPr>
                    <w:pStyle w:val="Caption"/>
                    <w:jc w:val="center"/>
                    <w:rPr>
                      <w:rFonts w:ascii="Times New Roman" w:hAnsi="Times New Roman" w:cs="Times New Roman"/>
                      <w:noProof/>
                      <w:sz w:val="24"/>
                      <w:szCs w:val="24"/>
                    </w:rPr>
                  </w:pPr>
                  <w:r>
                    <w:t>Şekil 4.3</w:t>
                  </w:r>
                </w:p>
              </w:txbxContent>
            </v:textbox>
            <w10:wrap type="tight"/>
          </v:shape>
        </w:pict>
      </w:r>
    </w:p>
    <w:p w:rsidR="00B76B17" w:rsidRDefault="00B76B17" w:rsidP="00A52E15">
      <w:pPr>
        <w:rPr>
          <w:rFonts w:ascii="Times New Roman" w:hAnsi="Times New Roman" w:cs="Times New Roman"/>
          <w:sz w:val="24"/>
          <w:szCs w:val="24"/>
        </w:rPr>
      </w:pP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696"/>
        <w:gridCol w:w="1703"/>
        <w:gridCol w:w="1903"/>
      </w:tblGrid>
      <w:tr w:rsidR="008D475B" w:rsidTr="00B76B17">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R2</w:t>
            </w:r>
          </w:p>
        </w:tc>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Gözlenen Çıkış</w:t>
            </w:r>
          </w:p>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Genliği (V)</w:t>
            </w:r>
          </w:p>
        </w:tc>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Hesaplanan Çıkış</w:t>
            </w:r>
          </w:p>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Genliği (V)</w:t>
            </w:r>
          </w:p>
        </w:tc>
      </w:tr>
      <w:tr w:rsidR="008D475B" w:rsidTr="00B76B17">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100k</w:t>
            </w:r>
          </w:p>
        </w:tc>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20,7</w:t>
            </w:r>
          </w:p>
        </w:tc>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22</w:t>
            </w:r>
          </w:p>
        </w:tc>
      </w:tr>
      <w:tr w:rsidR="008D475B" w:rsidTr="00B76B17">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75k</w:t>
            </w:r>
          </w:p>
        </w:tc>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17,4</w:t>
            </w:r>
          </w:p>
        </w:tc>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17</w:t>
            </w:r>
          </w:p>
        </w:tc>
      </w:tr>
      <w:tr w:rsidR="008D475B" w:rsidTr="00B76B17">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50k</w:t>
            </w:r>
          </w:p>
        </w:tc>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12,4</w:t>
            </w:r>
          </w:p>
        </w:tc>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12</w:t>
            </w:r>
          </w:p>
        </w:tc>
      </w:tr>
      <w:tr w:rsidR="008D475B" w:rsidTr="00B76B17">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25k</w:t>
            </w:r>
          </w:p>
        </w:tc>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7,04</w:t>
            </w:r>
          </w:p>
        </w:tc>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7</w:t>
            </w:r>
          </w:p>
        </w:tc>
      </w:tr>
      <w:tr w:rsidR="008D475B" w:rsidTr="00B76B17">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10k</w:t>
            </w:r>
          </w:p>
        </w:tc>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4,19</w:t>
            </w:r>
          </w:p>
        </w:tc>
        <w:tc>
          <w:tcPr>
            <w:tcW w:w="0" w:type="auto"/>
          </w:tcPr>
          <w:p w:rsidR="008D475B" w:rsidRDefault="008D475B" w:rsidP="00B76B17">
            <w:pPr>
              <w:jc w:val="center"/>
              <w:rPr>
                <w:rFonts w:ascii="Times New Roman" w:hAnsi="Times New Roman" w:cs="Times New Roman"/>
                <w:sz w:val="24"/>
                <w:szCs w:val="24"/>
              </w:rPr>
            </w:pPr>
            <w:r>
              <w:rPr>
                <w:rFonts w:ascii="Times New Roman" w:hAnsi="Times New Roman" w:cs="Times New Roman"/>
                <w:sz w:val="24"/>
                <w:szCs w:val="24"/>
              </w:rPr>
              <w:t>4</w:t>
            </w:r>
          </w:p>
        </w:tc>
      </w:tr>
    </w:tbl>
    <w:p w:rsidR="00B76B17" w:rsidRDefault="00B76B17" w:rsidP="00A52E15">
      <w:pPr>
        <w:rPr>
          <w:rFonts w:ascii="Times New Roman" w:hAnsi="Times New Roman" w:cs="Times New Roman"/>
          <w:noProof/>
          <w:sz w:val="24"/>
          <w:szCs w:val="24"/>
          <w:lang w:eastAsia="tr-TR"/>
        </w:rPr>
      </w:pPr>
    </w:p>
    <w:p w:rsidR="00B76B17" w:rsidRDefault="00B76B17" w:rsidP="00A52E15">
      <w:pPr>
        <w:rPr>
          <w:rFonts w:ascii="Times New Roman" w:hAnsi="Times New Roman" w:cs="Times New Roman"/>
          <w:noProof/>
          <w:sz w:val="24"/>
          <w:szCs w:val="24"/>
          <w:lang w:eastAsia="tr-TR"/>
        </w:rPr>
      </w:pPr>
    </w:p>
    <w:p w:rsidR="00B76B17" w:rsidRDefault="00B76B17" w:rsidP="00A52E15">
      <w:pPr>
        <w:rPr>
          <w:rFonts w:ascii="Times New Roman" w:hAnsi="Times New Roman" w:cs="Times New Roman"/>
          <w:sz w:val="24"/>
          <w:szCs w:val="24"/>
        </w:rPr>
      </w:pPr>
    </w:p>
    <w:p w:rsidR="00B76B17" w:rsidRDefault="00B76B17" w:rsidP="00B76B17">
      <w:pPr>
        <w:jc w:val="center"/>
        <w:rPr>
          <w:rFonts w:ascii="Times New Roman" w:hAnsi="Times New Roman" w:cs="Times New Roman"/>
          <w:sz w:val="24"/>
          <w:szCs w:val="24"/>
        </w:rPr>
      </w:pPr>
    </w:p>
    <w:p w:rsidR="00B76B17" w:rsidRDefault="008D475B" w:rsidP="00B76B17">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725478" cy="2380891"/>
            <wp:effectExtent l="19050" t="0" r="17972" b="359"/>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D475B" w:rsidRDefault="008D475B" w:rsidP="00B76B17">
      <w:pPr>
        <w:tabs>
          <w:tab w:val="left" w:pos="1671"/>
        </w:tabs>
        <w:rPr>
          <w:rFonts w:ascii="Times New Roman" w:hAnsi="Times New Roman" w:cs="Times New Roman"/>
          <w:sz w:val="24"/>
          <w:szCs w:val="24"/>
        </w:rPr>
      </w:pPr>
    </w:p>
    <w:p w:rsidR="00B76B17" w:rsidRDefault="00B76B17" w:rsidP="00B76B17">
      <w:pPr>
        <w:tabs>
          <w:tab w:val="left" w:pos="709"/>
        </w:tabs>
        <w:rPr>
          <w:rFonts w:ascii="Times New Roman" w:eastAsiaTheme="minorEastAsia" w:hAnsi="Times New Roman" w:cs="Times New Roman"/>
          <w:sz w:val="24"/>
          <w:szCs w:val="24"/>
        </w:rPr>
      </w:pPr>
      <w:r>
        <w:rPr>
          <w:rFonts w:ascii="Times New Roman" w:hAnsi="Times New Roman" w:cs="Times New Roman"/>
          <w:sz w:val="24"/>
          <w:szCs w:val="24"/>
        </w:rPr>
        <w:tab/>
        <w:t xml:space="preserve">Deney 2.1 ‘den görüldüğü üzere çıkış gerilimi negatif yani fazı  </w:t>
      </w:r>
      <m:oMath>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kadar kaymıştır. Ayrıca tablodan da görüldüğü üzere faz kaydırmalı devrenin çıkış genliği de faz kaydırmasız devreden daha düşüktür.</w:t>
      </w:r>
    </w:p>
    <w:p w:rsidR="00A83BE0" w:rsidRDefault="00A83BE0" w:rsidP="00B76B17">
      <w:pPr>
        <w:tabs>
          <w:tab w:val="left" w:pos="709"/>
        </w:tabs>
        <w:rPr>
          <w:rFonts w:ascii="Times New Roman" w:eastAsiaTheme="minorEastAsia" w:hAnsi="Times New Roman" w:cs="Times New Roman"/>
          <w:sz w:val="24"/>
          <w:szCs w:val="24"/>
        </w:rPr>
      </w:pPr>
    </w:p>
    <w:p w:rsidR="00A83BE0" w:rsidRDefault="00B76B17" w:rsidP="00B76B17">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83BE0">
        <w:rPr>
          <w:rFonts w:ascii="Times New Roman" w:eastAsiaTheme="minorEastAsia" w:hAnsi="Times New Roman" w:cs="Times New Roman"/>
          <w:sz w:val="24"/>
          <w:szCs w:val="24"/>
        </w:rPr>
        <w:tab/>
        <w:t>İdeal opamp için</w:t>
      </w:r>
    </w:p>
    <w:p w:rsidR="00A83BE0" w:rsidRDefault="00A83BE0" w:rsidP="00B76B17">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tanım bağıntısı ile hesaplanır.</w:t>
      </w:r>
    </w:p>
    <w:p w:rsidR="00A83BE0" w:rsidRDefault="00A83BE0" w:rsidP="00A83BE0">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Deney 2.1 ‘deki devrede R1 direncinin sonsuz R2 direncinin sıfır olması durumunda R1 açık devre R2 ise kısa devre olarak düşünülebilir. Bu durumda çıkıştaki gerilim negatif girişteki gerilime eşit olacaktır.</w:t>
      </w:r>
    </w:p>
    <w:p w:rsidR="00A83BE0" w:rsidRDefault="00A83BE0" w:rsidP="00A83BE0">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Pr>
          <w:rFonts w:ascii="Times New Roman" w:eastAsiaTheme="minorEastAsia" w:hAnsi="Times New Roman" w:cs="Times New Roman"/>
          <w:sz w:val="24"/>
          <w:szCs w:val="24"/>
        </w:rPr>
        <w:tab/>
        <w:t>eşitliği tanım bağıntısında yerine koyulursa;</w:t>
      </w:r>
    </w:p>
    <w:p w:rsidR="00A83BE0" w:rsidRDefault="00A83BE0" w:rsidP="00A83BE0">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oMath>
    </w:p>
    <w:p w:rsidR="00A83BE0" w:rsidRDefault="00A83BE0" w:rsidP="00B76B17">
      <w:pPr>
        <w:tabs>
          <w:tab w:val="left" w:pos="709"/>
        </w:tabs>
        <w:rPr>
          <w:rFonts w:ascii="Times New Roman" w:eastAsiaTheme="minorEastAsia" w:hAnsi="Times New Roman" w:cs="Times New Roman"/>
          <w:sz w:val="24"/>
          <w:szCs w:val="24"/>
        </w:rPr>
      </w:pPr>
      <w:r>
        <w:rPr>
          <w:rFonts w:ascii="Times New Roman"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d>
          <m:dPr>
            <m:ctrlPr>
              <w:rPr>
                <w:rFonts w:ascii="Cambria Math" w:hAnsi="Cambria Math" w:cs="Times New Roman"/>
                <w:i/>
                <w:sz w:val="24"/>
                <w:szCs w:val="24"/>
              </w:rPr>
            </m:ctrlPr>
          </m:dPr>
          <m:e>
            <m:r>
              <w:rPr>
                <w:rFonts w:ascii="Cambria Math" w:hAnsi="Cambria Math" w:cs="Times New Roman"/>
                <w:sz w:val="24"/>
                <w:szCs w:val="24"/>
              </w:rPr>
              <m:t>1+A</m:t>
            </m:r>
          </m:e>
        </m:d>
        <m:r>
          <w:rPr>
            <w:rFonts w:ascii="Cambria Math"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p>
    <w:p w:rsidR="00A83BE0" w:rsidRDefault="00A83BE0" w:rsidP="00B76B17">
      <w:pPr>
        <w:tabs>
          <w:tab w:val="left" w:pos="709"/>
        </w:tabs>
        <w:rPr>
          <w:rFonts w:ascii="Times New Roman" w:eastAsiaTheme="minorEastAsia" w:hAnsi="Times New Roman" w:cs="Times New Roman"/>
          <w:sz w:val="24"/>
          <w:szCs w:val="24"/>
        </w:rPr>
      </w:pPr>
      <w:r>
        <w:rPr>
          <w:rFonts w:ascii="Times New Roman"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num>
          <m:den>
            <m:r>
              <w:rPr>
                <w:rFonts w:ascii="Cambria Math" w:eastAsiaTheme="minorEastAsia" w:hAnsi="Cambria Math" w:cs="Times New Roman"/>
                <w:sz w:val="24"/>
                <w:szCs w:val="24"/>
              </w:rPr>
              <m:t>(A+1)</m:t>
            </m:r>
          </m:den>
        </m:f>
        <m:r>
          <w:rPr>
            <w:rFonts w:ascii="Cambria Math" w:eastAsiaTheme="minorEastAsia" w:hAnsi="Cambria Math" w:cs="Times New Roman"/>
            <w:sz w:val="24"/>
            <w:szCs w:val="24"/>
          </w:rPr>
          <m:t xml:space="preserve"> </m:t>
        </m:r>
      </m:oMath>
      <w:r w:rsidR="002E03C2">
        <w:rPr>
          <w:rFonts w:ascii="Times New Roman" w:eastAsiaTheme="minorEastAsia" w:hAnsi="Times New Roman" w:cs="Times New Roman"/>
          <w:sz w:val="24"/>
          <w:szCs w:val="24"/>
        </w:rPr>
        <w:tab/>
        <w:t xml:space="preserve">A büyük bir sayı olduğu için </w:t>
      </w:r>
      <m:oMath>
        <m:r>
          <m:rPr>
            <m:sty m:val="p"/>
          </m:rPr>
          <w:rPr>
            <w:rFonts w:ascii="Cambria Math" w:eastAsiaTheme="minorEastAsia" w:hAnsi="Cambria Math" w:cs="Times New Roman"/>
            <w:sz w:val="24"/>
            <w:szCs w:val="24"/>
          </w:rPr>
          <m:t>(A+1)</m:t>
        </m:r>
        <m:r>
          <w:rPr>
            <w:rFonts w:ascii="Cambria Math" w:eastAsiaTheme="minorEastAsia" w:hAnsi="Cambria Math" w:cs="Times New Roman"/>
            <w:sz w:val="24"/>
            <w:szCs w:val="24"/>
          </w:rPr>
          <m:t>≅A</m:t>
        </m:r>
      </m:oMath>
      <w:r w:rsidR="002E03C2">
        <w:rPr>
          <w:rFonts w:ascii="Times New Roman" w:eastAsiaTheme="minorEastAsia" w:hAnsi="Times New Roman" w:cs="Times New Roman"/>
          <w:sz w:val="24"/>
          <w:szCs w:val="24"/>
        </w:rPr>
        <w:t xml:space="preserve"> olarak kabul edilebilir. Bu durumda</w:t>
      </w:r>
    </w:p>
    <w:p w:rsidR="002E03C2" w:rsidRDefault="002E03C2" w:rsidP="00B76B17">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olarak hesaplanır. Bu durumda kazan yoktur.</w:t>
      </w:r>
    </w:p>
    <w:p w:rsidR="002E03C2" w:rsidRDefault="002E03C2" w:rsidP="00B76B17">
      <w:pPr>
        <w:tabs>
          <w:tab w:val="left" w:pos="709"/>
        </w:tabs>
        <w:rPr>
          <w:rFonts w:ascii="Times New Roman" w:eastAsiaTheme="minorEastAsia" w:hAnsi="Times New Roman" w:cs="Times New Roman"/>
          <w:sz w:val="24"/>
          <w:szCs w:val="24"/>
        </w:rPr>
      </w:pPr>
    </w:p>
    <w:p w:rsidR="002E03C2" w:rsidRDefault="002E03C2" w:rsidP="00B76B17">
      <w:pPr>
        <w:tabs>
          <w:tab w:val="left" w:pos="709"/>
        </w:tabs>
        <w:rPr>
          <w:rFonts w:ascii="Times New Roman" w:eastAsiaTheme="minorEastAsia" w:hAnsi="Times New Roman" w:cs="Times New Roman"/>
          <w:sz w:val="24"/>
          <w:szCs w:val="24"/>
        </w:rPr>
      </w:pPr>
    </w:p>
    <w:p w:rsidR="002E03C2" w:rsidRDefault="002E03C2" w:rsidP="00B76B17">
      <w:pPr>
        <w:tabs>
          <w:tab w:val="left" w:pos="709"/>
        </w:tabs>
        <w:rPr>
          <w:rFonts w:ascii="Times New Roman" w:eastAsiaTheme="minorEastAsia" w:hAnsi="Times New Roman" w:cs="Times New Roman"/>
          <w:sz w:val="24"/>
          <w:szCs w:val="24"/>
        </w:rPr>
      </w:pPr>
    </w:p>
    <w:p w:rsidR="002E03C2" w:rsidRDefault="002E03C2" w:rsidP="00B76B17">
      <w:pPr>
        <w:tabs>
          <w:tab w:val="left" w:pos="709"/>
        </w:tabs>
        <w:rPr>
          <w:rFonts w:ascii="Times New Roman" w:eastAsiaTheme="minorEastAsia" w:hAnsi="Times New Roman" w:cs="Times New Roman"/>
          <w:sz w:val="24"/>
          <w:szCs w:val="24"/>
        </w:rPr>
      </w:pPr>
    </w:p>
    <w:p w:rsidR="002E03C2" w:rsidRDefault="002E03C2" w:rsidP="00B76B17">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Deney 2.3</w:t>
      </w:r>
    </w:p>
    <w:p w:rsidR="002E03C2" w:rsidRDefault="0016757D" w:rsidP="00B76B17">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drawing>
          <wp:anchor distT="0" distB="0" distL="114300" distR="114300" simplePos="0" relativeHeight="251664384" behindDoc="1" locked="0" layoutInCell="1" allowOverlap="1">
            <wp:simplePos x="0" y="0"/>
            <wp:positionH relativeFrom="column">
              <wp:posOffset>881380</wp:posOffset>
            </wp:positionH>
            <wp:positionV relativeFrom="paragraph">
              <wp:posOffset>943610</wp:posOffset>
            </wp:positionV>
            <wp:extent cx="3714750" cy="1514475"/>
            <wp:effectExtent l="19050" t="0" r="0" b="0"/>
            <wp:wrapTight wrapText="bothSides">
              <wp:wrapPolygon edited="0">
                <wp:start x="-111" y="0"/>
                <wp:lineTo x="-111" y="21464"/>
                <wp:lineTo x="21600" y="21464"/>
                <wp:lineTo x="21600" y="0"/>
                <wp:lineTo x="-111"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714750" cy="1514475"/>
                    </a:xfrm>
                    <a:prstGeom prst="rect">
                      <a:avLst/>
                    </a:prstGeom>
                    <a:noFill/>
                    <a:ln w="9525">
                      <a:noFill/>
                      <a:miter lim="800000"/>
                      <a:headEnd/>
                      <a:tailEnd/>
                    </a:ln>
                  </pic:spPr>
                </pic:pic>
              </a:graphicData>
            </a:graphic>
          </wp:anchor>
        </w:drawing>
      </w:r>
      <w:r w:rsidR="002E03C2">
        <w:rPr>
          <w:rFonts w:ascii="Times New Roman" w:eastAsiaTheme="minorEastAsia" w:hAnsi="Times New Roman" w:cs="Times New Roman"/>
          <w:sz w:val="24"/>
          <w:szCs w:val="24"/>
        </w:rPr>
        <w:tab/>
        <w:t xml:space="preserve">Şekil 4.4 ‘deki devre kurularak V1 ucuna 5V DC, V2 ucuna peak to peak 2V sinüzoidal işaret verildi. R1 direnci 10k, 2’ direnci 3.3k, R3 direnci de 10k olarak belirlenerek </w:t>
      </w:r>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R3</m:t>
            </m:r>
          </m:num>
          <m:den>
            <m:r>
              <w:rPr>
                <w:rFonts w:ascii="Cambria Math" w:eastAsiaTheme="minorEastAsia" w:hAnsi="Cambria Math" w:cs="Times New Roman"/>
                <w:sz w:val="24"/>
                <w:szCs w:val="24"/>
              </w:rPr>
              <m:t>R1</m:t>
            </m:r>
          </m:den>
        </m:f>
        <m:r>
          <w:rPr>
            <w:rFonts w:ascii="Cambria Math" w:eastAsiaTheme="minorEastAsia" w:hAnsi="Cambria Math" w:cs="Times New Roman"/>
            <w:sz w:val="24"/>
            <w:szCs w:val="24"/>
          </w:rPr>
          <m:t>≅1 ve b=</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R3</m:t>
            </m:r>
          </m:num>
          <m:den>
            <m:r>
              <w:rPr>
                <w:rFonts w:ascii="Cambria Math" w:eastAsiaTheme="minorEastAsia" w:hAnsi="Cambria Math" w:cs="Times New Roman"/>
                <w:sz w:val="24"/>
                <w:szCs w:val="24"/>
              </w:rPr>
              <m:t>R2</m:t>
            </m:r>
          </m:den>
        </m:f>
        <m:r>
          <w:rPr>
            <w:rFonts w:ascii="Cambria Math" w:eastAsiaTheme="minorEastAsia" w:hAnsi="Cambria Math" w:cs="Times New Roman"/>
            <w:sz w:val="24"/>
            <w:szCs w:val="24"/>
          </w:rPr>
          <m:t xml:space="preserve">≅3 </m:t>
        </m:r>
      </m:oMath>
      <w:r w:rsidR="002E03C2">
        <w:rPr>
          <w:rFonts w:ascii="Times New Roman" w:eastAsiaTheme="minorEastAsia" w:hAnsi="Times New Roman" w:cs="Times New Roman"/>
          <w:sz w:val="24"/>
          <w:szCs w:val="24"/>
        </w:rPr>
        <w:t xml:space="preserve">olarak tasarlanmıştır. Bu durumda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=-(aV1+bV)</m:t>
        </m:r>
      </m:oMath>
      <w:r w:rsidR="00FD78E3">
        <w:rPr>
          <w:rFonts w:ascii="Times New Roman" w:eastAsiaTheme="minorEastAsia" w:hAnsi="Times New Roman" w:cs="Times New Roman"/>
          <w:sz w:val="24"/>
          <w:szCs w:val="24"/>
        </w:rPr>
        <w:t xml:space="preserve"> halini almış olacaktır.</w:t>
      </w:r>
    </w:p>
    <w:p w:rsidR="0016757D" w:rsidRDefault="0016757D" w:rsidP="00B76B17">
      <w:pPr>
        <w:tabs>
          <w:tab w:val="left" w:pos="709"/>
        </w:tabs>
        <w:rPr>
          <w:rFonts w:ascii="Times New Roman" w:eastAsiaTheme="minorEastAsia" w:hAnsi="Times New Roman" w:cs="Times New Roman"/>
          <w:sz w:val="24"/>
          <w:szCs w:val="24"/>
        </w:rPr>
      </w:pPr>
    </w:p>
    <w:p w:rsidR="0016757D" w:rsidRDefault="00FD78E3" w:rsidP="00B76B17">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16757D" w:rsidRDefault="0016757D" w:rsidP="00B76B17">
      <w:pPr>
        <w:tabs>
          <w:tab w:val="left" w:pos="709"/>
        </w:tabs>
        <w:rPr>
          <w:rFonts w:ascii="Times New Roman" w:eastAsiaTheme="minorEastAsia" w:hAnsi="Times New Roman" w:cs="Times New Roman"/>
          <w:sz w:val="24"/>
          <w:szCs w:val="24"/>
        </w:rPr>
      </w:pPr>
    </w:p>
    <w:p w:rsidR="0016757D" w:rsidRDefault="0016757D" w:rsidP="00B76B17">
      <w:pPr>
        <w:tabs>
          <w:tab w:val="left" w:pos="709"/>
        </w:tabs>
        <w:rPr>
          <w:rFonts w:ascii="Times New Roman" w:eastAsiaTheme="minorEastAsia" w:hAnsi="Times New Roman" w:cs="Times New Roman"/>
          <w:sz w:val="24"/>
          <w:szCs w:val="24"/>
        </w:rPr>
      </w:pPr>
    </w:p>
    <w:p w:rsidR="0016757D" w:rsidRDefault="001E00D9" w:rsidP="00B76B17">
      <w:pPr>
        <w:tabs>
          <w:tab w:val="left" w:pos="709"/>
        </w:tabs>
        <w:rPr>
          <w:rFonts w:ascii="Times New Roman" w:eastAsiaTheme="minorEastAsia" w:hAnsi="Times New Roman" w:cs="Times New Roman"/>
          <w:sz w:val="24"/>
          <w:szCs w:val="24"/>
        </w:rPr>
      </w:pPr>
      <w:r>
        <w:rPr>
          <w:noProof/>
        </w:rPr>
        <w:pict>
          <v:shape id="_x0000_s1028" type="#_x0000_t202" style="position:absolute;margin-left:181.9pt;margin-top:5.75pt;width:42.75pt;height:21pt;z-index:251666432" wrapcoords="-55 0 -55 20965 21600 20965 21600 0 -55 0" stroked="f">
            <v:textbox style="mso-fit-shape-to-text:t" inset="0,0,0,0">
              <w:txbxContent>
                <w:p w:rsidR="0016757D" w:rsidRPr="0011562C" w:rsidRDefault="0016757D" w:rsidP="0016757D">
                  <w:pPr>
                    <w:pStyle w:val="Caption"/>
                    <w:rPr>
                      <w:rFonts w:ascii="Times New Roman" w:hAnsi="Times New Roman" w:cs="Times New Roman"/>
                      <w:noProof/>
                      <w:sz w:val="24"/>
                      <w:szCs w:val="24"/>
                    </w:rPr>
                  </w:pPr>
                  <w:r>
                    <w:t>Şekil 4.4</w:t>
                  </w:r>
                </w:p>
              </w:txbxContent>
            </v:textbox>
            <w10:wrap type="tight"/>
          </v:shape>
        </w:pict>
      </w:r>
    </w:p>
    <w:p w:rsidR="0016757D" w:rsidRDefault="0016757D" w:rsidP="00B76B17">
      <w:pPr>
        <w:tabs>
          <w:tab w:val="left" w:pos="709"/>
        </w:tabs>
        <w:rPr>
          <w:rFonts w:ascii="Times New Roman" w:eastAsiaTheme="minorEastAsia" w:hAnsi="Times New Roman" w:cs="Times New Roman"/>
          <w:sz w:val="24"/>
          <w:szCs w:val="24"/>
        </w:rPr>
      </w:pPr>
    </w:p>
    <w:p w:rsidR="00FD78E3" w:rsidRDefault="0016757D" w:rsidP="00B76B17">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FD78E3">
        <w:rPr>
          <w:rFonts w:ascii="Times New Roman" w:eastAsiaTheme="minorEastAsia" w:hAnsi="Times New Roman" w:cs="Times New Roman"/>
          <w:sz w:val="24"/>
          <w:szCs w:val="24"/>
        </w:rPr>
        <w:t xml:space="preserve">Devrede gözlenen çıkış direnci de bu teorik çözümün doğruluğunu göstermektedir. Çıkış gerilimi -5V DC efrafında </w:t>
      </w:r>
      <m:oMath>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3</m:t>
        </m:r>
      </m:oMath>
      <w:r w:rsidR="00FD78E3">
        <w:rPr>
          <w:rFonts w:ascii="Times New Roman" w:eastAsiaTheme="minorEastAsia" w:hAnsi="Times New Roman" w:cs="Times New Roman"/>
          <w:sz w:val="24"/>
          <w:szCs w:val="24"/>
        </w:rPr>
        <w:t>V AC olarak dalgalanmaktadır. Protokol kağıdınına grafikler çizilmiştir.</w:t>
      </w:r>
    </w:p>
    <w:p w:rsidR="0016757D" w:rsidRDefault="0016757D" w:rsidP="00B76B17">
      <w:pPr>
        <w:tabs>
          <w:tab w:val="left" w:pos="709"/>
        </w:tabs>
        <w:rPr>
          <w:rFonts w:ascii="Times New Roman" w:eastAsiaTheme="minorEastAsia" w:hAnsi="Times New Roman" w:cs="Times New Roman"/>
          <w:sz w:val="24"/>
          <w:szCs w:val="24"/>
        </w:rPr>
      </w:pPr>
    </w:p>
    <w:p w:rsidR="00FD78E3" w:rsidRDefault="00FD78E3" w:rsidP="00B76B17">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Deney 2.4</w:t>
      </w:r>
    </w:p>
    <w:p w:rsidR="00FD78E3" w:rsidRDefault="00FD78E3" w:rsidP="00B76B17">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Sinüs ve Cosinüs işaretlerin matematikte integrali alındığında birbirlerine deönüşmekte yani her türevde fazları</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kadar değişime uğramaktadır. Bu durumda tasarlanan integral devresinin de faz değiştiren bir devre olması beklenmektedir. Deney föyünde şekil 4.7 ‘deki integral devresi kuruldu. </w:t>
      </w:r>
    </w:p>
    <w:p w:rsidR="0016757D" w:rsidRDefault="001E00D9" w:rsidP="00B76B17">
      <w:pPr>
        <w:tabs>
          <w:tab w:val="left" w:pos="709"/>
        </w:tabs>
        <w:rPr>
          <w:rFonts w:ascii="Times New Roman" w:eastAsiaTheme="minorEastAsia" w:hAnsi="Times New Roman" w:cs="Times New Roman"/>
          <w:sz w:val="24"/>
          <w:szCs w:val="24"/>
        </w:rPr>
      </w:pPr>
      <w:r>
        <w:rPr>
          <w:noProof/>
        </w:rPr>
        <w:pict>
          <v:shape id="_x0000_s1029" type="#_x0000_t202" style="position:absolute;margin-left:205.15pt;margin-top:140pt;width:39pt;height:21pt;z-index:251669504" wrapcoords="-55 0 -55 20965 21600 20965 21600 0 -55 0" stroked="f">
            <v:textbox style="mso-fit-shape-to-text:t" inset="0,0,0,0">
              <w:txbxContent>
                <w:p w:rsidR="0016757D" w:rsidRPr="0016757D" w:rsidRDefault="0016757D" w:rsidP="0016757D">
                  <w:pPr>
                    <w:pStyle w:val="Caption"/>
                  </w:pPr>
                  <w:r>
                    <w:t>Şekil 4.7</w:t>
                  </w:r>
                </w:p>
              </w:txbxContent>
            </v:textbox>
            <w10:wrap type="tight"/>
          </v:shape>
        </w:pict>
      </w:r>
      <w:r w:rsidR="0016757D">
        <w:rPr>
          <w:rFonts w:ascii="Times New Roman" w:eastAsiaTheme="minorEastAsia" w:hAnsi="Times New Roman" w:cs="Times New Roman"/>
          <w:noProof/>
          <w:sz w:val="24"/>
          <w:szCs w:val="24"/>
          <w:lang w:eastAsia="tr-TR"/>
        </w:rPr>
        <w:drawing>
          <wp:anchor distT="0" distB="0" distL="114300" distR="114300" simplePos="0" relativeHeight="251667456" behindDoc="1" locked="0" layoutInCell="1" allowOverlap="1">
            <wp:simplePos x="0" y="0"/>
            <wp:positionH relativeFrom="column">
              <wp:posOffset>929005</wp:posOffset>
            </wp:positionH>
            <wp:positionV relativeFrom="paragraph">
              <wp:posOffset>206375</wp:posOffset>
            </wp:positionV>
            <wp:extent cx="3714750" cy="1514475"/>
            <wp:effectExtent l="19050" t="0" r="0" b="0"/>
            <wp:wrapTight wrapText="bothSides">
              <wp:wrapPolygon edited="0">
                <wp:start x="-111" y="0"/>
                <wp:lineTo x="-111" y="21464"/>
                <wp:lineTo x="21600" y="21464"/>
                <wp:lineTo x="21600" y="0"/>
                <wp:lineTo x="-111" y="0"/>
              </wp:wrapPolygon>
            </wp:wrapTight>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714750" cy="1514475"/>
                    </a:xfrm>
                    <a:prstGeom prst="rect">
                      <a:avLst/>
                    </a:prstGeom>
                    <a:noFill/>
                    <a:ln w="9525">
                      <a:noFill/>
                      <a:miter lim="800000"/>
                      <a:headEnd/>
                      <a:tailEnd/>
                    </a:ln>
                  </pic:spPr>
                </pic:pic>
              </a:graphicData>
            </a:graphic>
          </wp:anchor>
        </w:drawing>
      </w:r>
    </w:p>
    <w:p w:rsidR="0016757D" w:rsidRPr="0016757D" w:rsidRDefault="0016757D" w:rsidP="0016757D">
      <w:pPr>
        <w:rPr>
          <w:rFonts w:ascii="Times New Roman" w:eastAsiaTheme="minorEastAsia" w:hAnsi="Times New Roman" w:cs="Times New Roman"/>
          <w:sz w:val="24"/>
          <w:szCs w:val="24"/>
        </w:rPr>
      </w:pPr>
    </w:p>
    <w:p w:rsidR="0016757D" w:rsidRPr="0016757D" w:rsidRDefault="0016757D" w:rsidP="0016757D">
      <w:pPr>
        <w:rPr>
          <w:rFonts w:ascii="Times New Roman" w:eastAsiaTheme="minorEastAsia" w:hAnsi="Times New Roman" w:cs="Times New Roman"/>
          <w:sz w:val="24"/>
          <w:szCs w:val="24"/>
        </w:rPr>
      </w:pPr>
    </w:p>
    <w:p w:rsidR="0016757D" w:rsidRPr="0016757D" w:rsidRDefault="0016757D" w:rsidP="0016757D">
      <w:pPr>
        <w:rPr>
          <w:rFonts w:ascii="Times New Roman" w:eastAsiaTheme="minorEastAsia" w:hAnsi="Times New Roman" w:cs="Times New Roman"/>
          <w:sz w:val="24"/>
          <w:szCs w:val="24"/>
        </w:rPr>
      </w:pPr>
    </w:p>
    <w:p w:rsidR="0016757D" w:rsidRDefault="0016757D" w:rsidP="0016757D">
      <w:pPr>
        <w:rPr>
          <w:rFonts w:ascii="Times New Roman" w:eastAsiaTheme="minorEastAsia" w:hAnsi="Times New Roman" w:cs="Times New Roman"/>
          <w:sz w:val="24"/>
          <w:szCs w:val="24"/>
        </w:rPr>
      </w:pPr>
    </w:p>
    <w:p w:rsidR="0016757D" w:rsidRDefault="0016757D" w:rsidP="0016757D">
      <w:pPr>
        <w:rPr>
          <w:rFonts w:ascii="Times New Roman" w:eastAsiaTheme="minorEastAsia" w:hAnsi="Times New Roman" w:cs="Times New Roman"/>
          <w:sz w:val="24"/>
          <w:szCs w:val="24"/>
        </w:rPr>
      </w:pPr>
    </w:p>
    <w:p w:rsidR="0016757D" w:rsidRDefault="0016757D" w:rsidP="0016757D">
      <w:pPr>
        <w:rPr>
          <w:rFonts w:ascii="Times New Roman" w:eastAsiaTheme="minorEastAsia" w:hAnsi="Times New Roman" w:cs="Times New Roman"/>
          <w:sz w:val="24"/>
          <w:szCs w:val="24"/>
        </w:rPr>
      </w:pPr>
    </w:p>
    <w:p w:rsidR="0016757D" w:rsidRDefault="0016757D" w:rsidP="0016757D">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İntegral devresinin gerilim tranfer fonksiyonu:</w:t>
      </w:r>
    </w:p>
    <w:p w:rsidR="0016757D" w:rsidRPr="0016757D" w:rsidRDefault="001E00D9" w:rsidP="0016757D">
      <w:pPr>
        <w:ind w:firstLine="708"/>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den>
          </m:f>
          <m:nary>
            <m:naryPr>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m:t>
                      </m:r>
                    </m:e>
                  </m:d>
                </m:sub>
              </m:sSub>
            </m:e>
          </m:nary>
        </m:oMath>
      </m:oMathPara>
    </w:p>
    <w:p w:rsidR="00237D6F" w:rsidRDefault="00237D6F" w:rsidP="0016757D">
      <w:pPr>
        <w:ind w:firstLine="708"/>
        <w:rPr>
          <w:rFonts w:ascii="Times New Roman" w:eastAsiaTheme="minorEastAsia" w:hAnsi="Times New Roman" w:cs="Times New Roman"/>
          <w:sz w:val="24"/>
          <w:szCs w:val="24"/>
        </w:rPr>
      </w:pPr>
      <m:oMath>
        <m:r>
          <m:rPr>
            <m:sty m:val="b"/>
          </m:rPr>
          <w:rPr>
            <w:rFonts w:ascii="Cambria Math" w:eastAsiaTheme="minorEastAsia" w:hAnsi="Cambria Math" w:cs="Times New Roman"/>
            <w:sz w:val="24"/>
            <w:szCs w:val="24"/>
          </w:rPr>
          <w:lastRenderedPageBreak/>
          <m:t>A×cos⁡</m:t>
        </m:r>
        <m:r>
          <m:rPr>
            <m:sty m:val="bi"/>
          </m:rPr>
          <w:rPr>
            <w:rFonts w:ascii="Cambria Math" w:eastAsiaTheme="minorEastAsia" w:hAnsi="Cambria Math" w:cs="Times New Roman"/>
            <w:sz w:val="24"/>
            <w:szCs w:val="24"/>
          </w:rPr>
          <m:t>(ωt)</m:t>
        </m:r>
      </m:oMath>
      <w:r w:rsidR="0016757D" w:rsidRPr="00237D6F">
        <w:rPr>
          <w:rFonts w:ascii="Times New Roman" w:eastAsiaTheme="minorEastAsia" w:hAnsi="Times New Roman" w:cs="Times New Roman"/>
          <w:b/>
          <w:sz w:val="24"/>
          <w:szCs w:val="24"/>
        </w:rPr>
        <w:t xml:space="preserve"> </w:t>
      </w:r>
      <w:r w:rsidR="0016757D">
        <w:rPr>
          <w:rFonts w:ascii="Times New Roman" w:eastAsiaTheme="minorEastAsia" w:hAnsi="Times New Roman" w:cs="Times New Roman"/>
          <w:sz w:val="24"/>
          <w:szCs w:val="24"/>
        </w:rPr>
        <w:t>gibi bir fonksiyonun matematiksel olarak integrali alındığında</w:t>
      </w:r>
      <w:r w:rsidR="0016757D" w:rsidRPr="00237D6F">
        <w:rPr>
          <w:rFonts w:ascii="Times New Roman" w:eastAsiaTheme="minorEastAsia" w:hAnsi="Times New Roman" w:cs="Times New Roman"/>
          <w:b/>
          <w:sz w:val="24"/>
          <w:szCs w:val="24"/>
        </w:rPr>
        <w:t xml:space="preserve">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A</m:t>
            </m:r>
          </m:num>
          <m:den>
            <m:r>
              <m:rPr>
                <m:sty m:val="bi"/>
              </m:rPr>
              <w:rPr>
                <w:rFonts w:ascii="Cambria Math" w:eastAsiaTheme="minorEastAsia" w:hAnsi="Cambria Math" w:cs="Times New Roman"/>
                <w:sz w:val="24"/>
                <w:szCs w:val="24"/>
              </w:rPr>
              <m:t>ω</m:t>
            </m:r>
          </m:den>
        </m:f>
        <m:func>
          <m:funcPr>
            <m:ctrlPr>
              <w:rPr>
                <w:rFonts w:ascii="Cambria Math" w:eastAsiaTheme="minorEastAsia" w:hAnsi="Cambria Math" w:cs="Times New Roman"/>
                <w:b/>
                <w:i/>
                <w:sz w:val="24"/>
                <w:szCs w:val="24"/>
              </w:rPr>
            </m:ctrlPr>
          </m:funcPr>
          <m:fName>
            <m:r>
              <m:rPr>
                <m:sty m:val="b"/>
              </m:rPr>
              <w:rPr>
                <w:rFonts w:ascii="Cambria Math" w:eastAsiaTheme="minorEastAsia" w:hAnsi="Cambria Math" w:cs="Times New Roman"/>
                <w:sz w:val="24"/>
                <w:szCs w:val="24"/>
              </w:rPr>
              <m:t>sin</m:t>
            </m:r>
          </m:fName>
          <m:e>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ωt</m:t>
                </m:r>
              </m:e>
            </m:d>
          </m:e>
        </m:func>
      </m:oMath>
      <w:r w:rsidRPr="00237D6F">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olarak gelecektir. Bu durumda A sabit iken girişe uygulanan sinüzoidal V</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gerilim işaretinin </w:t>
      </w:r>
      <m:oMath>
        <m:r>
          <w:rPr>
            <w:rFonts w:ascii="Cambria Math" w:eastAsiaTheme="minorEastAsia" w:hAnsi="Cambria Math" w:cs="Times New Roman"/>
            <w:sz w:val="24"/>
            <w:szCs w:val="24"/>
          </w:rPr>
          <m:t>ω</m:t>
        </m:r>
      </m:oMath>
      <w:r w:rsidRPr="00237D6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açısal frekansını arttırdığımızda çıkış işaretimizin genliğinin düşeceği matematiksel olarak gözükmektedir. </w:t>
      </w:r>
    </w:p>
    <w:p w:rsidR="0016757D" w:rsidRDefault="00237D6F" w:rsidP="0016757D">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Yapılan deneyde de açısal frekans arttırılıp azaltılarak çıkış değeri gözlenmiş ve matematiksel yaklaşım doğrulanmıştır.</w:t>
      </w:r>
    </w:p>
    <w:p w:rsidR="00237D6F" w:rsidRDefault="00237D6F" w:rsidP="0016757D">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Matematiksel ifadede giriş işaretinin genlik değerinin değişimi ile çıkış işaretinin değişi doğru orantılı olarak gözükmesine karşın opamp elemanın verebileceği maksimum ve minimum çıkış işareti sınırı mevcut olduğu için belirli bir genlik değeri sonrasında opamp üst sınırı sabit bir çıkış üretecektir.</w:t>
      </w:r>
    </w:p>
    <w:p w:rsidR="00237D6F" w:rsidRDefault="00237D6F" w:rsidP="0016757D">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Yapılan deneyde giriş işsarti olarak kare dalga ve üçgen dalga da verilerek çıkış gözlenmiştir. Bu dalgalar da toplamsal sinüzoidal dalgalar olduğu için yukarıda bahsettiğimiz tüm özellikler bu dalgalarda da geçerlidir. Ayrıca integral işlemi matematiksel olarak derece arttıran bir işlem ve fiziksel olarak alan hesaplayan bir işleme karşılık düştüğü için kare dalga girişi için çıkışın üçgen dalga, </w:t>
      </w:r>
      <w:r w:rsidR="00C710A9">
        <w:rPr>
          <w:rFonts w:ascii="Times New Roman" w:eastAsiaTheme="minorEastAsia" w:hAnsi="Times New Roman" w:cs="Times New Roman"/>
          <w:sz w:val="24"/>
          <w:szCs w:val="24"/>
        </w:rPr>
        <w:t>birinci dereceden bir denklemle ifade edilebilen üçgen dalganın ise ikinci dereceden üstel bir çıkış üreteceği matematiksel olarak görülebilmektedir.</w:t>
      </w:r>
    </w:p>
    <w:p w:rsidR="00C710A9" w:rsidRPr="00237D6F" w:rsidRDefault="00C710A9" w:rsidP="0016757D">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Bu öngörü fiziksel olarak da deney sırasında doğrulanmış olup ilgili grafik protokol kağıdına çizilmiştir.</w:t>
      </w:r>
    </w:p>
    <w:sectPr w:rsidR="00C710A9" w:rsidRPr="00237D6F" w:rsidSect="00342C54">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0D9" w:rsidRDefault="001E00D9" w:rsidP="00B76B17">
      <w:pPr>
        <w:spacing w:after="0" w:line="240" w:lineRule="auto"/>
      </w:pPr>
      <w:r>
        <w:separator/>
      </w:r>
    </w:p>
  </w:endnote>
  <w:endnote w:type="continuationSeparator" w:id="0">
    <w:p w:rsidR="001E00D9" w:rsidRDefault="001E00D9" w:rsidP="00B76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0D9" w:rsidRDefault="001E00D9" w:rsidP="00B76B17">
      <w:pPr>
        <w:spacing w:after="0" w:line="240" w:lineRule="auto"/>
      </w:pPr>
      <w:r>
        <w:separator/>
      </w:r>
    </w:p>
  </w:footnote>
  <w:footnote w:type="continuationSeparator" w:id="0">
    <w:p w:rsidR="001E00D9" w:rsidRDefault="001E00D9" w:rsidP="00B76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B17" w:rsidRDefault="00B76B17">
    <w:pPr>
      <w:pStyle w:val="Header"/>
    </w:pPr>
    <w:r>
      <w:t>Burak Kurt - 040080486</w:t>
    </w:r>
  </w:p>
  <w:p w:rsidR="00B76B17" w:rsidRDefault="00B76B17">
    <w:pPr>
      <w:pStyle w:val="Header"/>
    </w:pPr>
    <w:r>
      <w:t>Grup: C21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F2895"/>
    <w:rsid w:val="00000DAA"/>
    <w:rsid w:val="000213B7"/>
    <w:rsid w:val="000219E1"/>
    <w:rsid w:val="000234AF"/>
    <w:rsid w:val="000365BA"/>
    <w:rsid w:val="00043DF2"/>
    <w:rsid w:val="00050F15"/>
    <w:rsid w:val="00053DEA"/>
    <w:rsid w:val="0007429A"/>
    <w:rsid w:val="00081FDA"/>
    <w:rsid w:val="000830A8"/>
    <w:rsid w:val="0008456A"/>
    <w:rsid w:val="00085BE4"/>
    <w:rsid w:val="00086C60"/>
    <w:rsid w:val="000A1F36"/>
    <w:rsid w:val="000B741B"/>
    <w:rsid w:val="000B7505"/>
    <w:rsid w:val="000C322D"/>
    <w:rsid w:val="000C664F"/>
    <w:rsid w:val="000D46F6"/>
    <w:rsid w:val="000F0A2E"/>
    <w:rsid w:val="000F45A2"/>
    <w:rsid w:val="00100FEB"/>
    <w:rsid w:val="00103CF5"/>
    <w:rsid w:val="0011302B"/>
    <w:rsid w:val="001218A9"/>
    <w:rsid w:val="00122907"/>
    <w:rsid w:val="0012622F"/>
    <w:rsid w:val="00136EC6"/>
    <w:rsid w:val="00142D5F"/>
    <w:rsid w:val="00145704"/>
    <w:rsid w:val="001523EB"/>
    <w:rsid w:val="00162E96"/>
    <w:rsid w:val="001631B0"/>
    <w:rsid w:val="0016757D"/>
    <w:rsid w:val="00180F10"/>
    <w:rsid w:val="00187DD4"/>
    <w:rsid w:val="00191F04"/>
    <w:rsid w:val="001A4BE6"/>
    <w:rsid w:val="001A70C6"/>
    <w:rsid w:val="001B33C0"/>
    <w:rsid w:val="001B6EF6"/>
    <w:rsid w:val="001B76EF"/>
    <w:rsid w:val="001C0B4E"/>
    <w:rsid w:val="001C6F70"/>
    <w:rsid w:val="001C7CC7"/>
    <w:rsid w:val="001E00D9"/>
    <w:rsid w:val="001E10B5"/>
    <w:rsid w:val="001E544E"/>
    <w:rsid w:val="001F704D"/>
    <w:rsid w:val="00216EF7"/>
    <w:rsid w:val="00222403"/>
    <w:rsid w:val="00225B58"/>
    <w:rsid w:val="0022680F"/>
    <w:rsid w:val="00226E51"/>
    <w:rsid w:val="00232FEA"/>
    <w:rsid w:val="00236564"/>
    <w:rsid w:val="00236876"/>
    <w:rsid w:val="00237D6F"/>
    <w:rsid w:val="00257C3D"/>
    <w:rsid w:val="00257DF9"/>
    <w:rsid w:val="00262AE0"/>
    <w:rsid w:val="002645C1"/>
    <w:rsid w:val="00266E1C"/>
    <w:rsid w:val="0026766C"/>
    <w:rsid w:val="00276CDE"/>
    <w:rsid w:val="00282036"/>
    <w:rsid w:val="00282DBD"/>
    <w:rsid w:val="00286A6A"/>
    <w:rsid w:val="002A3794"/>
    <w:rsid w:val="002A70FB"/>
    <w:rsid w:val="002B1C88"/>
    <w:rsid w:val="002C7575"/>
    <w:rsid w:val="002D214C"/>
    <w:rsid w:val="002D4D44"/>
    <w:rsid w:val="002E03C2"/>
    <w:rsid w:val="002E1648"/>
    <w:rsid w:val="002F3D99"/>
    <w:rsid w:val="0030292A"/>
    <w:rsid w:val="00303E06"/>
    <w:rsid w:val="00314CD8"/>
    <w:rsid w:val="00315459"/>
    <w:rsid w:val="00321731"/>
    <w:rsid w:val="00330159"/>
    <w:rsid w:val="00330E03"/>
    <w:rsid w:val="00332366"/>
    <w:rsid w:val="00332FCA"/>
    <w:rsid w:val="0033339A"/>
    <w:rsid w:val="00341F3B"/>
    <w:rsid w:val="00342C54"/>
    <w:rsid w:val="003433F3"/>
    <w:rsid w:val="00361C9C"/>
    <w:rsid w:val="003625E1"/>
    <w:rsid w:val="003638D5"/>
    <w:rsid w:val="00364082"/>
    <w:rsid w:val="003645D7"/>
    <w:rsid w:val="00375CC8"/>
    <w:rsid w:val="00381C6E"/>
    <w:rsid w:val="00383066"/>
    <w:rsid w:val="0038492F"/>
    <w:rsid w:val="003864F0"/>
    <w:rsid w:val="003A2C0E"/>
    <w:rsid w:val="003B243F"/>
    <w:rsid w:val="003B7DD2"/>
    <w:rsid w:val="003C0B35"/>
    <w:rsid w:val="003C0D07"/>
    <w:rsid w:val="003C1B24"/>
    <w:rsid w:val="003F2895"/>
    <w:rsid w:val="003F684B"/>
    <w:rsid w:val="003F6D1F"/>
    <w:rsid w:val="00401985"/>
    <w:rsid w:val="00403023"/>
    <w:rsid w:val="004041F0"/>
    <w:rsid w:val="004121CC"/>
    <w:rsid w:val="00424722"/>
    <w:rsid w:val="0043267C"/>
    <w:rsid w:val="00435118"/>
    <w:rsid w:val="00435A47"/>
    <w:rsid w:val="004371E6"/>
    <w:rsid w:val="0044186C"/>
    <w:rsid w:val="004440DE"/>
    <w:rsid w:val="00447FF5"/>
    <w:rsid w:val="00457983"/>
    <w:rsid w:val="00463DDA"/>
    <w:rsid w:val="00467407"/>
    <w:rsid w:val="004742BF"/>
    <w:rsid w:val="00480B54"/>
    <w:rsid w:val="00491CAC"/>
    <w:rsid w:val="004B24FC"/>
    <w:rsid w:val="004B2D40"/>
    <w:rsid w:val="004B32FD"/>
    <w:rsid w:val="004E1705"/>
    <w:rsid w:val="004E1C85"/>
    <w:rsid w:val="004F3AF0"/>
    <w:rsid w:val="00526802"/>
    <w:rsid w:val="00533570"/>
    <w:rsid w:val="0054261F"/>
    <w:rsid w:val="005569D2"/>
    <w:rsid w:val="00557E4E"/>
    <w:rsid w:val="00563047"/>
    <w:rsid w:val="0057078F"/>
    <w:rsid w:val="005721BF"/>
    <w:rsid w:val="00572EF6"/>
    <w:rsid w:val="00573AEF"/>
    <w:rsid w:val="0058234A"/>
    <w:rsid w:val="00587326"/>
    <w:rsid w:val="00592D9E"/>
    <w:rsid w:val="00594438"/>
    <w:rsid w:val="005944E2"/>
    <w:rsid w:val="005A0C73"/>
    <w:rsid w:val="005B1E76"/>
    <w:rsid w:val="005B6B26"/>
    <w:rsid w:val="005B7183"/>
    <w:rsid w:val="005C5830"/>
    <w:rsid w:val="005D142F"/>
    <w:rsid w:val="005D2303"/>
    <w:rsid w:val="005D4FFD"/>
    <w:rsid w:val="005D77D9"/>
    <w:rsid w:val="005E294D"/>
    <w:rsid w:val="005F4A22"/>
    <w:rsid w:val="006033B2"/>
    <w:rsid w:val="00604C5F"/>
    <w:rsid w:val="00616B29"/>
    <w:rsid w:val="00624387"/>
    <w:rsid w:val="00625E76"/>
    <w:rsid w:val="0062606F"/>
    <w:rsid w:val="006302AB"/>
    <w:rsid w:val="00651349"/>
    <w:rsid w:val="0066144D"/>
    <w:rsid w:val="0067226D"/>
    <w:rsid w:val="00675483"/>
    <w:rsid w:val="006826A4"/>
    <w:rsid w:val="006848D9"/>
    <w:rsid w:val="00687157"/>
    <w:rsid w:val="00687E5B"/>
    <w:rsid w:val="00690697"/>
    <w:rsid w:val="0069102C"/>
    <w:rsid w:val="006A4929"/>
    <w:rsid w:val="006C00EF"/>
    <w:rsid w:val="006C04E6"/>
    <w:rsid w:val="006C4A29"/>
    <w:rsid w:val="006C7856"/>
    <w:rsid w:val="006D03A0"/>
    <w:rsid w:val="006D076D"/>
    <w:rsid w:val="006D3078"/>
    <w:rsid w:val="006D61EA"/>
    <w:rsid w:val="006E17B2"/>
    <w:rsid w:val="006E2090"/>
    <w:rsid w:val="006E3C65"/>
    <w:rsid w:val="006F09D0"/>
    <w:rsid w:val="006F11A9"/>
    <w:rsid w:val="006F428B"/>
    <w:rsid w:val="006F43D2"/>
    <w:rsid w:val="00705566"/>
    <w:rsid w:val="0071125C"/>
    <w:rsid w:val="007114BB"/>
    <w:rsid w:val="007150CF"/>
    <w:rsid w:val="00717E2C"/>
    <w:rsid w:val="00724250"/>
    <w:rsid w:val="00745A6B"/>
    <w:rsid w:val="00757DCC"/>
    <w:rsid w:val="00760929"/>
    <w:rsid w:val="00763D54"/>
    <w:rsid w:val="00770B8F"/>
    <w:rsid w:val="00771237"/>
    <w:rsid w:val="00774A20"/>
    <w:rsid w:val="0077614E"/>
    <w:rsid w:val="007804A0"/>
    <w:rsid w:val="0078093F"/>
    <w:rsid w:val="0078357D"/>
    <w:rsid w:val="00783B3B"/>
    <w:rsid w:val="007909BF"/>
    <w:rsid w:val="007975D0"/>
    <w:rsid w:val="007A12D7"/>
    <w:rsid w:val="007A6F1E"/>
    <w:rsid w:val="007A6F23"/>
    <w:rsid w:val="007A78B3"/>
    <w:rsid w:val="007A7F09"/>
    <w:rsid w:val="007B14D1"/>
    <w:rsid w:val="007B70A2"/>
    <w:rsid w:val="007C4702"/>
    <w:rsid w:val="007C4C2F"/>
    <w:rsid w:val="007D0188"/>
    <w:rsid w:val="007D3CA6"/>
    <w:rsid w:val="007E6071"/>
    <w:rsid w:val="007F2C2A"/>
    <w:rsid w:val="007F4E6D"/>
    <w:rsid w:val="0081758E"/>
    <w:rsid w:val="00824C3F"/>
    <w:rsid w:val="00832A84"/>
    <w:rsid w:val="00854FA8"/>
    <w:rsid w:val="008622E8"/>
    <w:rsid w:val="0087192B"/>
    <w:rsid w:val="0087680C"/>
    <w:rsid w:val="008847FF"/>
    <w:rsid w:val="008A3040"/>
    <w:rsid w:val="008B18D9"/>
    <w:rsid w:val="008C392C"/>
    <w:rsid w:val="008C3EE9"/>
    <w:rsid w:val="008C5260"/>
    <w:rsid w:val="008C5D16"/>
    <w:rsid w:val="008D475B"/>
    <w:rsid w:val="008D5855"/>
    <w:rsid w:val="008D7D2C"/>
    <w:rsid w:val="008E2292"/>
    <w:rsid w:val="008E2787"/>
    <w:rsid w:val="008F5622"/>
    <w:rsid w:val="008F7CA6"/>
    <w:rsid w:val="0090277B"/>
    <w:rsid w:val="00910C61"/>
    <w:rsid w:val="00922136"/>
    <w:rsid w:val="00922F72"/>
    <w:rsid w:val="00924EF6"/>
    <w:rsid w:val="009335B4"/>
    <w:rsid w:val="00937224"/>
    <w:rsid w:val="00956A3E"/>
    <w:rsid w:val="0096137A"/>
    <w:rsid w:val="009616B4"/>
    <w:rsid w:val="0096573E"/>
    <w:rsid w:val="00970920"/>
    <w:rsid w:val="00972FFF"/>
    <w:rsid w:val="0098579E"/>
    <w:rsid w:val="00990C81"/>
    <w:rsid w:val="009952F2"/>
    <w:rsid w:val="009A66C4"/>
    <w:rsid w:val="009A7AB8"/>
    <w:rsid w:val="009B0553"/>
    <w:rsid w:val="009B6F4D"/>
    <w:rsid w:val="009C129D"/>
    <w:rsid w:val="009C1FE6"/>
    <w:rsid w:val="009D0BEB"/>
    <w:rsid w:val="009D2362"/>
    <w:rsid w:val="009D3CDF"/>
    <w:rsid w:val="009D59EF"/>
    <w:rsid w:val="009D7164"/>
    <w:rsid w:val="009E206C"/>
    <w:rsid w:val="009E5050"/>
    <w:rsid w:val="009E69F6"/>
    <w:rsid w:val="009E71F3"/>
    <w:rsid w:val="009F5AFD"/>
    <w:rsid w:val="00A0046B"/>
    <w:rsid w:val="00A10205"/>
    <w:rsid w:val="00A1245E"/>
    <w:rsid w:val="00A135BB"/>
    <w:rsid w:val="00A1374D"/>
    <w:rsid w:val="00A21CF9"/>
    <w:rsid w:val="00A2655A"/>
    <w:rsid w:val="00A346E7"/>
    <w:rsid w:val="00A40419"/>
    <w:rsid w:val="00A43F7E"/>
    <w:rsid w:val="00A45556"/>
    <w:rsid w:val="00A46F28"/>
    <w:rsid w:val="00A47419"/>
    <w:rsid w:val="00A47B9E"/>
    <w:rsid w:val="00A47BB3"/>
    <w:rsid w:val="00A52E15"/>
    <w:rsid w:val="00A54C4C"/>
    <w:rsid w:val="00A54F0E"/>
    <w:rsid w:val="00A6582B"/>
    <w:rsid w:val="00A666FF"/>
    <w:rsid w:val="00A83BE0"/>
    <w:rsid w:val="00A858EB"/>
    <w:rsid w:val="00AA2929"/>
    <w:rsid w:val="00AA5F48"/>
    <w:rsid w:val="00AB0018"/>
    <w:rsid w:val="00AB15D7"/>
    <w:rsid w:val="00AB2A07"/>
    <w:rsid w:val="00AB4FB2"/>
    <w:rsid w:val="00AC1FF4"/>
    <w:rsid w:val="00AC65B6"/>
    <w:rsid w:val="00AC6FC4"/>
    <w:rsid w:val="00AD5E44"/>
    <w:rsid w:val="00AE2863"/>
    <w:rsid w:val="00AE32F5"/>
    <w:rsid w:val="00AE4369"/>
    <w:rsid w:val="00AF14A7"/>
    <w:rsid w:val="00AF2EA3"/>
    <w:rsid w:val="00AF353B"/>
    <w:rsid w:val="00AF3792"/>
    <w:rsid w:val="00AF4615"/>
    <w:rsid w:val="00AF7C66"/>
    <w:rsid w:val="00B0186D"/>
    <w:rsid w:val="00B022E5"/>
    <w:rsid w:val="00B02553"/>
    <w:rsid w:val="00B044EF"/>
    <w:rsid w:val="00B04C94"/>
    <w:rsid w:val="00B05D25"/>
    <w:rsid w:val="00B14AAA"/>
    <w:rsid w:val="00B20051"/>
    <w:rsid w:val="00B20B08"/>
    <w:rsid w:val="00B21615"/>
    <w:rsid w:val="00B43BAC"/>
    <w:rsid w:val="00B55B4A"/>
    <w:rsid w:val="00B56C8F"/>
    <w:rsid w:val="00B67567"/>
    <w:rsid w:val="00B72086"/>
    <w:rsid w:val="00B74876"/>
    <w:rsid w:val="00B76B17"/>
    <w:rsid w:val="00B8224A"/>
    <w:rsid w:val="00B843DB"/>
    <w:rsid w:val="00BA4F8A"/>
    <w:rsid w:val="00BA6B07"/>
    <w:rsid w:val="00BB609D"/>
    <w:rsid w:val="00BC5223"/>
    <w:rsid w:val="00BC76FB"/>
    <w:rsid w:val="00BD0E03"/>
    <w:rsid w:val="00BD12E7"/>
    <w:rsid w:val="00BD3820"/>
    <w:rsid w:val="00BD3A8B"/>
    <w:rsid w:val="00BD4DBD"/>
    <w:rsid w:val="00BE029B"/>
    <w:rsid w:val="00BE255C"/>
    <w:rsid w:val="00BE2C2D"/>
    <w:rsid w:val="00BF06CE"/>
    <w:rsid w:val="00C00811"/>
    <w:rsid w:val="00C010D9"/>
    <w:rsid w:val="00C030B4"/>
    <w:rsid w:val="00C05A9B"/>
    <w:rsid w:val="00C11F0E"/>
    <w:rsid w:val="00C159B7"/>
    <w:rsid w:val="00C176FC"/>
    <w:rsid w:val="00C20EDF"/>
    <w:rsid w:val="00C23599"/>
    <w:rsid w:val="00C276A3"/>
    <w:rsid w:val="00C30683"/>
    <w:rsid w:val="00C43AFF"/>
    <w:rsid w:val="00C444BE"/>
    <w:rsid w:val="00C46A89"/>
    <w:rsid w:val="00C475EB"/>
    <w:rsid w:val="00C47F82"/>
    <w:rsid w:val="00C626C4"/>
    <w:rsid w:val="00C64964"/>
    <w:rsid w:val="00C710A9"/>
    <w:rsid w:val="00C71EA2"/>
    <w:rsid w:val="00C72FFC"/>
    <w:rsid w:val="00C76924"/>
    <w:rsid w:val="00C9413B"/>
    <w:rsid w:val="00CA51D8"/>
    <w:rsid w:val="00CB0CF7"/>
    <w:rsid w:val="00CB0E61"/>
    <w:rsid w:val="00CB2839"/>
    <w:rsid w:val="00CC7E0A"/>
    <w:rsid w:val="00CD1AC3"/>
    <w:rsid w:val="00CD1FA7"/>
    <w:rsid w:val="00CD352A"/>
    <w:rsid w:val="00CD6481"/>
    <w:rsid w:val="00CE1B84"/>
    <w:rsid w:val="00CE608E"/>
    <w:rsid w:val="00CF1BAF"/>
    <w:rsid w:val="00CF3175"/>
    <w:rsid w:val="00CF5630"/>
    <w:rsid w:val="00D029A3"/>
    <w:rsid w:val="00D02B06"/>
    <w:rsid w:val="00D03D31"/>
    <w:rsid w:val="00D07993"/>
    <w:rsid w:val="00D07E70"/>
    <w:rsid w:val="00D32EB2"/>
    <w:rsid w:val="00D37E65"/>
    <w:rsid w:val="00D37F68"/>
    <w:rsid w:val="00D531C0"/>
    <w:rsid w:val="00D579D6"/>
    <w:rsid w:val="00D676FB"/>
    <w:rsid w:val="00D72CE7"/>
    <w:rsid w:val="00D752BA"/>
    <w:rsid w:val="00D756BE"/>
    <w:rsid w:val="00D861D2"/>
    <w:rsid w:val="00D927CD"/>
    <w:rsid w:val="00D93356"/>
    <w:rsid w:val="00D93473"/>
    <w:rsid w:val="00D973C3"/>
    <w:rsid w:val="00DA7D06"/>
    <w:rsid w:val="00DB32E9"/>
    <w:rsid w:val="00DC285B"/>
    <w:rsid w:val="00DC5D1E"/>
    <w:rsid w:val="00DE1627"/>
    <w:rsid w:val="00DF0491"/>
    <w:rsid w:val="00DF20A2"/>
    <w:rsid w:val="00DF2873"/>
    <w:rsid w:val="00DF3A44"/>
    <w:rsid w:val="00DF6B83"/>
    <w:rsid w:val="00E11C17"/>
    <w:rsid w:val="00E23898"/>
    <w:rsid w:val="00E23B6C"/>
    <w:rsid w:val="00E2653A"/>
    <w:rsid w:val="00E3077C"/>
    <w:rsid w:val="00E36C9C"/>
    <w:rsid w:val="00E46057"/>
    <w:rsid w:val="00E463CA"/>
    <w:rsid w:val="00E527F4"/>
    <w:rsid w:val="00E53A09"/>
    <w:rsid w:val="00E550AB"/>
    <w:rsid w:val="00E557A6"/>
    <w:rsid w:val="00E57D9F"/>
    <w:rsid w:val="00E64568"/>
    <w:rsid w:val="00E64F9D"/>
    <w:rsid w:val="00E67688"/>
    <w:rsid w:val="00E67EF9"/>
    <w:rsid w:val="00E76B51"/>
    <w:rsid w:val="00E92A4C"/>
    <w:rsid w:val="00EA1075"/>
    <w:rsid w:val="00EA3713"/>
    <w:rsid w:val="00EA4FF6"/>
    <w:rsid w:val="00EA5C51"/>
    <w:rsid w:val="00EB5461"/>
    <w:rsid w:val="00EC073B"/>
    <w:rsid w:val="00EC28C6"/>
    <w:rsid w:val="00EC4BEC"/>
    <w:rsid w:val="00ED1D05"/>
    <w:rsid w:val="00EE1F06"/>
    <w:rsid w:val="00EE465F"/>
    <w:rsid w:val="00EF7E05"/>
    <w:rsid w:val="00F03761"/>
    <w:rsid w:val="00F06EA0"/>
    <w:rsid w:val="00F07793"/>
    <w:rsid w:val="00F12F98"/>
    <w:rsid w:val="00F13919"/>
    <w:rsid w:val="00F21BD1"/>
    <w:rsid w:val="00F247B0"/>
    <w:rsid w:val="00F33063"/>
    <w:rsid w:val="00F415CC"/>
    <w:rsid w:val="00F41A5B"/>
    <w:rsid w:val="00F420B4"/>
    <w:rsid w:val="00F46777"/>
    <w:rsid w:val="00F50C12"/>
    <w:rsid w:val="00F549F9"/>
    <w:rsid w:val="00F57C94"/>
    <w:rsid w:val="00F61414"/>
    <w:rsid w:val="00F64B28"/>
    <w:rsid w:val="00F72205"/>
    <w:rsid w:val="00F94837"/>
    <w:rsid w:val="00FB3BED"/>
    <w:rsid w:val="00FB42EE"/>
    <w:rsid w:val="00FC077A"/>
    <w:rsid w:val="00FC27BE"/>
    <w:rsid w:val="00FD78E3"/>
    <w:rsid w:val="00FE5184"/>
    <w:rsid w:val="00FF3F97"/>
    <w:rsid w:val="00FF7E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0B4"/>
    <w:rPr>
      <w:rFonts w:ascii="Tahoma" w:hAnsi="Tahoma" w:cs="Tahoma"/>
      <w:sz w:val="16"/>
      <w:szCs w:val="16"/>
    </w:rPr>
  </w:style>
  <w:style w:type="paragraph" w:styleId="Caption">
    <w:name w:val="caption"/>
    <w:basedOn w:val="Normal"/>
    <w:next w:val="Normal"/>
    <w:uiPriority w:val="35"/>
    <w:unhideWhenUsed/>
    <w:qFormat/>
    <w:rsid w:val="00E92A4C"/>
    <w:pPr>
      <w:spacing w:line="240" w:lineRule="auto"/>
    </w:pPr>
    <w:rPr>
      <w:b/>
      <w:bCs/>
      <w:color w:val="4F81BD" w:themeColor="accent1"/>
      <w:sz w:val="18"/>
      <w:szCs w:val="18"/>
    </w:rPr>
  </w:style>
  <w:style w:type="table" w:styleId="TableGrid">
    <w:name w:val="Table Grid"/>
    <w:basedOn w:val="TableNormal"/>
    <w:uiPriority w:val="59"/>
    <w:rsid w:val="00E92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5A6B"/>
    <w:rPr>
      <w:color w:val="808080"/>
    </w:rPr>
  </w:style>
  <w:style w:type="paragraph" w:styleId="Header">
    <w:name w:val="header"/>
    <w:basedOn w:val="Normal"/>
    <w:link w:val="HeaderChar"/>
    <w:uiPriority w:val="99"/>
    <w:semiHidden/>
    <w:unhideWhenUsed/>
    <w:rsid w:val="00B76B1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76B17"/>
  </w:style>
  <w:style w:type="paragraph" w:styleId="Footer">
    <w:name w:val="footer"/>
    <w:basedOn w:val="Normal"/>
    <w:link w:val="FooterChar"/>
    <w:uiPriority w:val="99"/>
    <w:semiHidden/>
    <w:unhideWhenUsed/>
    <w:rsid w:val="00B76B17"/>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B76B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Sayfa1!$B$1</c:f>
              <c:strCache>
                <c:ptCount val="1"/>
                <c:pt idx="0">
                  <c:v>|Vout| (V)</c:v>
                </c:pt>
              </c:strCache>
            </c:strRef>
          </c:tx>
          <c:dLbls>
            <c:dLbl>
              <c:idx val="0"/>
              <c:layout>
                <c:manualLayout>
                  <c:x val="-7.874015748031496E-3"/>
                  <c:y val="-2.3640661938534365E-2"/>
                </c:manualLayout>
              </c:layout>
              <c:showLegendKey val="0"/>
              <c:showVal val="1"/>
              <c:showCatName val="1"/>
              <c:showSerName val="0"/>
              <c:showPercent val="0"/>
              <c:showBubbleSize val="0"/>
            </c:dLbl>
            <c:dLbl>
              <c:idx val="1"/>
              <c:layout>
                <c:manualLayout>
                  <c:x val="2.6246719160104889E-2"/>
                  <c:y val="-4.7281323877068557E-3"/>
                </c:manualLayout>
              </c:layout>
              <c:showLegendKey val="0"/>
              <c:showVal val="1"/>
              <c:showCatName val="1"/>
              <c:showSerName val="0"/>
              <c:showPercent val="0"/>
              <c:showBubbleSize val="0"/>
            </c:dLbl>
            <c:showLegendKey val="0"/>
            <c:showVal val="1"/>
            <c:showCatName val="1"/>
            <c:showSerName val="0"/>
            <c:showPercent val="0"/>
            <c:showBubbleSize val="0"/>
            <c:showLeaderLines val="0"/>
          </c:dLbls>
          <c:xVal>
            <c:numRef>
              <c:f>Sayfa1!$A$2:$A$4</c:f>
              <c:numCache>
                <c:formatCode>General</c:formatCode>
                <c:ptCount val="3"/>
                <c:pt idx="0">
                  <c:v>100</c:v>
                </c:pt>
                <c:pt idx="1">
                  <c:v>75</c:v>
                </c:pt>
                <c:pt idx="2">
                  <c:v>25</c:v>
                </c:pt>
              </c:numCache>
            </c:numRef>
          </c:xVal>
          <c:yVal>
            <c:numRef>
              <c:f>Sayfa1!$B$2:$B$4</c:f>
              <c:numCache>
                <c:formatCode>General</c:formatCode>
                <c:ptCount val="3"/>
                <c:pt idx="0">
                  <c:v>-17.7</c:v>
                </c:pt>
                <c:pt idx="1">
                  <c:v>-13.3</c:v>
                </c:pt>
                <c:pt idx="2">
                  <c:v>-4.66</c:v>
                </c:pt>
              </c:numCache>
            </c:numRef>
          </c:yVal>
          <c:smooth val="1"/>
        </c:ser>
        <c:dLbls>
          <c:showLegendKey val="0"/>
          <c:showVal val="0"/>
          <c:showCatName val="0"/>
          <c:showSerName val="0"/>
          <c:showPercent val="0"/>
          <c:showBubbleSize val="0"/>
        </c:dLbls>
        <c:axId val="43373632"/>
        <c:axId val="43374208"/>
      </c:scatterChart>
      <c:valAx>
        <c:axId val="43373632"/>
        <c:scaling>
          <c:orientation val="minMax"/>
        </c:scaling>
        <c:delete val="0"/>
        <c:axPos val="b"/>
        <c:majorGridlines/>
        <c:minorGridlines>
          <c:spPr>
            <a:ln>
              <a:noFill/>
            </a:ln>
          </c:spPr>
        </c:minorGridlines>
        <c:title>
          <c:tx>
            <c:rich>
              <a:bodyPr/>
              <a:lstStyle/>
              <a:p>
                <a:pPr>
                  <a:defRPr/>
                </a:pPr>
                <a:r>
                  <a:rPr lang="tr-TR"/>
                  <a:t>R2 (K Ohm)</a:t>
                </a:r>
              </a:p>
            </c:rich>
          </c:tx>
          <c:overlay val="0"/>
        </c:title>
        <c:numFmt formatCode="General" sourceLinked="1"/>
        <c:majorTickMark val="out"/>
        <c:minorTickMark val="none"/>
        <c:tickLblPos val="nextTo"/>
        <c:crossAx val="43374208"/>
        <c:crosses val="autoZero"/>
        <c:crossBetween val="midCat"/>
      </c:valAx>
      <c:valAx>
        <c:axId val="43374208"/>
        <c:scaling>
          <c:orientation val="minMax"/>
        </c:scaling>
        <c:delete val="0"/>
        <c:axPos val="l"/>
        <c:majorGridlines/>
        <c:minorGridlines>
          <c:spPr>
            <a:ln>
              <a:noFill/>
            </a:ln>
          </c:spPr>
        </c:minorGridlines>
        <c:title>
          <c:tx>
            <c:rich>
              <a:bodyPr/>
              <a:lstStyle/>
              <a:p>
                <a:pPr>
                  <a:defRPr/>
                </a:pPr>
                <a:r>
                  <a:rPr lang="tr-TR"/>
                  <a:t>Vout</a:t>
                </a:r>
                <a:r>
                  <a:rPr lang="tr-TR" baseline="0"/>
                  <a:t> (V)</a:t>
                </a:r>
              </a:p>
            </c:rich>
          </c:tx>
          <c:overlay val="0"/>
        </c:title>
        <c:numFmt formatCode="General" sourceLinked="1"/>
        <c:majorTickMark val="out"/>
        <c:minorTickMark val="none"/>
        <c:tickLblPos val="nextTo"/>
        <c:crossAx val="4337363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Sayfa1!$B$1</c:f>
              <c:strCache>
                <c:ptCount val="1"/>
                <c:pt idx="0">
                  <c:v>Vout (V)</c:v>
                </c:pt>
              </c:strCache>
            </c:strRef>
          </c:tx>
          <c:xVal>
            <c:numRef>
              <c:f>Sayfa1!$A$2:$A$6</c:f>
              <c:numCache>
                <c:formatCode>General</c:formatCode>
                <c:ptCount val="5"/>
                <c:pt idx="0">
                  <c:v>100</c:v>
                </c:pt>
                <c:pt idx="1">
                  <c:v>75</c:v>
                </c:pt>
                <c:pt idx="2">
                  <c:v>50</c:v>
                </c:pt>
                <c:pt idx="3">
                  <c:v>25</c:v>
                </c:pt>
                <c:pt idx="4">
                  <c:v>10</c:v>
                </c:pt>
              </c:numCache>
            </c:numRef>
          </c:xVal>
          <c:yVal>
            <c:numRef>
              <c:f>Sayfa1!$B$2:$B$6</c:f>
              <c:numCache>
                <c:formatCode>General</c:formatCode>
                <c:ptCount val="5"/>
                <c:pt idx="0">
                  <c:v>20.7</c:v>
                </c:pt>
                <c:pt idx="1">
                  <c:v>17.399999999999999</c:v>
                </c:pt>
                <c:pt idx="2">
                  <c:v>12.4</c:v>
                </c:pt>
                <c:pt idx="3">
                  <c:v>7.04</c:v>
                </c:pt>
                <c:pt idx="4">
                  <c:v>4.1899999999999995</c:v>
                </c:pt>
              </c:numCache>
            </c:numRef>
          </c:yVal>
          <c:smooth val="1"/>
        </c:ser>
        <c:dLbls>
          <c:showLegendKey val="0"/>
          <c:showVal val="0"/>
          <c:showCatName val="0"/>
          <c:showSerName val="0"/>
          <c:showPercent val="0"/>
          <c:showBubbleSize val="0"/>
        </c:dLbls>
        <c:axId val="35545088"/>
        <c:axId val="35547392"/>
      </c:scatterChart>
      <c:valAx>
        <c:axId val="35545088"/>
        <c:scaling>
          <c:orientation val="minMax"/>
        </c:scaling>
        <c:delete val="0"/>
        <c:axPos val="b"/>
        <c:majorGridlines/>
        <c:minorGridlines/>
        <c:title>
          <c:tx>
            <c:rich>
              <a:bodyPr/>
              <a:lstStyle/>
              <a:p>
                <a:pPr>
                  <a:defRPr/>
                </a:pPr>
                <a:r>
                  <a:rPr lang="tr-TR"/>
                  <a:t>R2 (K ohm)</a:t>
                </a:r>
              </a:p>
            </c:rich>
          </c:tx>
          <c:overlay val="0"/>
        </c:title>
        <c:numFmt formatCode="General" sourceLinked="1"/>
        <c:majorTickMark val="out"/>
        <c:minorTickMark val="none"/>
        <c:tickLblPos val="nextTo"/>
        <c:crossAx val="35547392"/>
        <c:crosses val="autoZero"/>
        <c:crossBetween val="midCat"/>
      </c:valAx>
      <c:valAx>
        <c:axId val="35547392"/>
        <c:scaling>
          <c:orientation val="minMax"/>
        </c:scaling>
        <c:delete val="0"/>
        <c:axPos val="l"/>
        <c:majorGridlines/>
        <c:minorGridlines/>
        <c:title>
          <c:tx>
            <c:rich>
              <a:bodyPr/>
              <a:lstStyle/>
              <a:p>
                <a:pPr>
                  <a:defRPr/>
                </a:pPr>
                <a:r>
                  <a:rPr lang="tr-TR"/>
                  <a:t>Vout (V)</a:t>
                </a:r>
              </a:p>
            </c:rich>
          </c:tx>
          <c:overlay val="0"/>
        </c:title>
        <c:numFmt formatCode="General" sourceLinked="1"/>
        <c:majorTickMark val="out"/>
        <c:minorTickMark val="none"/>
        <c:tickLblPos val="nextTo"/>
        <c:crossAx val="3554508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175C3-8671-4783-BB79-4047537E0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665</Words>
  <Characters>3791</Characters>
  <Application>Microsoft Office Word</Application>
  <DocSecurity>0</DocSecurity>
  <Lines>31</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cya</cp:lastModifiedBy>
  <cp:revision>7</cp:revision>
  <dcterms:created xsi:type="dcterms:W3CDTF">2011-12-08T20:50:00Z</dcterms:created>
  <dcterms:modified xsi:type="dcterms:W3CDTF">2014-10-14T23:54:00Z</dcterms:modified>
</cp:coreProperties>
</file>