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54" w:rsidRDefault="00B43E87" w:rsidP="00B43E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İŞLEMSEL KUVVETLENDİRİCİLERİN LİNEER OLMAYAN UYGULAMALARI</w:t>
      </w:r>
    </w:p>
    <w:p w:rsidR="00B43E87" w:rsidRDefault="007255CB" w:rsidP="00B43E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Deney 5.1 : Gerilim Karşılaştırıcı Devre</w:t>
      </w:r>
    </w:p>
    <w:p w:rsidR="007255CB" w:rsidRDefault="007255CB" w:rsidP="00B43E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Gerilim karşılaştırıcı devrelerde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opampın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girişi referans gerilimi olmak üzere diğer bacağının girişine uygulanan işarete göre çıkışına </w:t>
      </w:r>
      <w:proofErr w:type="spellStart"/>
      <w:r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çıkışı vermektedir. Giriş işaretinin, referans işaretinden büyük olması durumunda (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opampın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çıkışında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+ 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 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tanım bağıntısı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besleme gerilimini, yani bizim devremize göre +15V çıkışı,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durumunda ise -15V genlikli işaret beklenmektedir. Bu durumda devremiz bir bitlik karşılaştırıcı olarak görev yapmaktadır.</w:t>
      </w:r>
    </w:p>
    <w:p w:rsidR="007255CB" w:rsidRDefault="00C15433" w:rsidP="00B43E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1576070</wp:posOffset>
            </wp:positionH>
            <wp:positionV relativeFrom="paragraph">
              <wp:posOffset>631190</wp:posOffset>
            </wp:positionV>
            <wp:extent cx="2962275" cy="2419350"/>
            <wp:effectExtent l="76200" t="76200" r="47625" b="57150"/>
            <wp:wrapTight wrapText="bothSides">
              <wp:wrapPolygon edited="0">
                <wp:start x="-288" y="-57"/>
                <wp:lineTo x="-156" y="21560"/>
                <wp:lineTo x="-11" y="21722"/>
                <wp:lineTo x="1932" y="21610"/>
                <wp:lineTo x="1938" y="21780"/>
                <wp:lineTo x="18205" y="21698"/>
                <wp:lineTo x="19731" y="21610"/>
                <wp:lineTo x="21813" y="21491"/>
                <wp:lineTo x="21773" y="20471"/>
                <wp:lineTo x="21815" y="17915"/>
                <wp:lineTo x="21808" y="17745"/>
                <wp:lineTo x="21849" y="15189"/>
                <wp:lineTo x="21739" y="12301"/>
                <wp:lineTo x="21780" y="9744"/>
                <wp:lineTo x="21774" y="9574"/>
                <wp:lineTo x="21815" y="7018"/>
                <wp:lineTo x="21516" y="-797"/>
                <wp:lineTo x="1099" y="-136"/>
                <wp:lineTo x="-288" y="-57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1016">
                      <a:off x="0" y="0"/>
                      <a:ext cx="2962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5CB">
        <w:rPr>
          <w:rFonts w:ascii="Times New Roman" w:eastAsiaTheme="minorEastAsia" w:hAnsi="Times New Roman" w:cs="Times New Roman"/>
          <w:sz w:val="24"/>
          <w:szCs w:val="24"/>
        </w:rPr>
        <w:tab/>
        <w:t xml:space="preserve">Şekil 5.1 deki devre kurularak girişe 100 Hz frekanslı tepeden tepeye 20V olan üçgen biçimli işaret </w:t>
      </w:r>
      <w:r>
        <w:rPr>
          <w:rFonts w:ascii="Times New Roman" w:eastAsiaTheme="minorEastAsia" w:hAnsi="Times New Roman" w:cs="Times New Roman"/>
          <w:sz w:val="24"/>
          <w:szCs w:val="24"/>
        </w:rPr>
        <w:t>uyguladık. Çıkışta gözlenen işaret deney protokol kağıdına Deney 5.1 olarak çizildi.</w:t>
      </w:r>
    </w:p>
    <w:p w:rsidR="00C15433" w:rsidRDefault="00C15433" w:rsidP="00C15433">
      <w:pPr>
        <w:tabs>
          <w:tab w:val="left" w:pos="402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15433" w:rsidRPr="00C15433" w:rsidRDefault="00C15433" w:rsidP="00C154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Pr="00C15433" w:rsidRDefault="00C15433" w:rsidP="00C154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Pr="00C15433" w:rsidRDefault="00C15433" w:rsidP="00C154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Pr="00C15433" w:rsidRDefault="00C15433" w:rsidP="00C154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Pr="00C15433" w:rsidRDefault="00C15433" w:rsidP="00C1543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Default="00C15433" w:rsidP="00C1543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Default="00C15433" w:rsidP="00C15433">
      <w:pPr>
        <w:tabs>
          <w:tab w:val="left" w:pos="46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15433" w:rsidRDefault="00C15433" w:rsidP="00C15433">
      <w:pPr>
        <w:tabs>
          <w:tab w:val="left" w:pos="46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Fakat çıkış genliği, ideal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opampta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beklediğimiz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∓15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 yerine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∓1</m:t>
        </m:r>
        <m:r>
          <w:rPr>
            <w:rFonts w:ascii="Cambria Math" w:eastAsiaTheme="minorEastAsia" w:hAnsi="Cambria Math" w:cs="Times New Roman"/>
            <w:sz w:val="24"/>
            <w:szCs w:val="24"/>
          </w:rPr>
          <m:t>3,9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olarak gözlenmiştir. Bunun sebebi ise besleme voltajının bir kısmının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opampın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içinde bulunan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transistörlerdeki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DSsat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CEsat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geriliminden dolayıdır.</w:t>
      </w:r>
    </w:p>
    <w:p w:rsidR="00C15433" w:rsidRDefault="00A86A00" w:rsidP="00C15433">
      <w:pPr>
        <w:tabs>
          <w:tab w:val="left" w:pos="46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Deney 5.2</w:t>
      </w:r>
    </w:p>
    <w:p w:rsidR="00AC3711" w:rsidRDefault="00AC3711" w:rsidP="00AC37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Şekil 5.6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devre kurularak girişe 100 Hz frekanslı tepeden tepeye 20V olan üçgen biçimli işaret uyguladık. Çıkışta gözlenen işaret deney protokol kağıdına Deney 5.2 olarak çizildi.</w:t>
      </w:r>
    </w:p>
    <w:p w:rsidR="00AC3711" w:rsidRDefault="00AC3711" w:rsidP="00AC37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Bu defa çıkış işaretinin genliğini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∓5,84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 olarak gözlemledik.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diyotların ters kutuplamada gerilim sabitleme özelliğinden yararlanılır. Giriş işaretimiz hem negatif hem de pozitif olduğundan çıkışa sırt sırta 2 adet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diyot eklenmiştir. Bu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zener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diyotlar çıkış geriliminin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∓5,84 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olması sağlamaktadır.</w:t>
      </w:r>
    </w:p>
    <w:p w:rsidR="00AC3711" w:rsidRDefault="00AC3711" w:rsidP="00AC371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3711" w:rsidRDefault="00AC3711" w:rsidP="00AC371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3711" w:rsidRDefault="00AC3711" w:rsidP="00C15433">
      <w:pPr>
        <w:tabs>
          <w:tab w:val="left" w:pos="46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Deney 5.3: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Schmit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Tetikleme Devresi</w:t>
      </w:r>
    </w:p>
    <w:p w:rsidR="00AC3711" w:rsidRDefault="00FA3513" w:rsidP="00C15433">
      <w:pPr>
        <w:tabs>
          <w:tab w:val="left" w:pos="46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1038860</wp:posOffset>
            </wp:positionH>
            <wp:positionV relativeFrom="paragraph">
              <wp:posOffset>48260</wp:posOffset>
            </wp:positionV>
            <wp:extent cx="3324225" cy="2771775"/>
            <wp:effectExtent l="19050" t="0" r="9525" b="0"/>
            <wp:wrapTight wrapText="bothSides">
              <wp:wrapPolygon edited="0">
                <wp:start x="-124" y="0"/>
                <wp:lineTo x="-124" y="21526"/>
                <wp:lineTo x="21662" y="21526"/>
                <wp:lineTo x="21662" y="0"/>
                <wp:lineTo x="-124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371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FA3513" w:rsidRDefault="00FA3513" w:rsidP="00C15433">
      <w:pPr>
        <w:tabs>
          <w:tab w:val="left" w:pos="46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Default="00FA3513" w:rsidP="00C15433">
      <w:pPr>
        <w:tabs>
          <w:tab w:val="left" w:pos="46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Pr="00FA3513" w:rsidRDefault="00FA3513" w:rsidP="00FA35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Pr="00FA3513" w:rsidRDefault="00FA3513" w:rsidP="00FA35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Pr="00FA3513" w:rsidRDefault="00FA3513" w:rsidP="00FA35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Pr="00FA3513" w:rsidRDefault="00FA3513" w:rsidP="00FA35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Pr="00FA3513" w:rsidRDefault="00FA3513" w:rsidP="00FA351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Default="00FA3513" w:rsidP="00FA351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Default="00FA3513" w:rsidP="00FA351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FA3513" w:rsidRDefault="00E61CDF" w:rsidP="00FA351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Şekil 5.11 ‘deki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Schmit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tetikleme devresi kuruldu. Girişe uygulanan işaretin genliği</w:t>
      </w:r>
      <w:r w:rsidR="002C37A1">
        <w:rPr>
          <w:rFonts w:ascii="Times New Roman" w:eastAsiaTheme="minorEastAsia" w:hAnsi="Times New Roman" w:cs="Times New Roman"/>
          <w:sz w:val="24"/>
          <w:szCs w:val="24"/>
        </w:rPr>
        <w:t>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37A1">
        <w:rPr>
          <w:rFonts w:ascii="Times New Roman" w:eastAsiaTheme="minorEastAsia" w:hAnsi="Times New Roman" w:cs="Times New Roman"/>
          <w:sz w:val="24"/>
          <w:szCs w:val="24"/>
        </w:rPr>
        <w:t xml:space="preserve">arttırıp azaltarak </w:t>
      </w:r>
      <w:proofErr w:type="spellStart"/>
      <w:r w:rsidR="002C37A1"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 w:rsidR="002C37A1">
        <w:rPr>
          <w:rFonts w:ascii="Times New Roman" w:eastAsiaTheme="minorEastAsia" w:hAnsi="Times New Roman" w:cs="Times New Roman"/>
          <w:sz w:val="24"/>
          <w:szCs w:val="24"/>
        </w:rPr>
        <w:t xml:space="preserve"> çıkış işaretini gözlemledik. </w:t>
      </w:r>
      <w:proofErr w:type="spellStart"/>
      <w:r w:rsidR="002C37A1"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 w:rsidR="002C37A1">
        <w:rPr>
          <w:rFonts w:ascii="Times New Roman" w:eastAsiaTheme="minorEastAsia" w:hAnsi="Times New Roman" w:cs="Times New Roman"/>
          <w:sz w:val="24"/>
          <w:szCs w:val="24"/>
        </w:rPr>
        <w:t xml:space="preserve"> çıkış işareti,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1,1V ve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1,2V </m:t>
        </m:r>
      </m:oMath>
      <w:r w:rsidR="002C37A1">
        <w:rPr>
          <w:rFonts w:ascii="Times New Roman" w:eastAsiaTheme="minorEastAsia" w:hAnsi="Times New Roman" w:cs="Times New Roman"/>
          <w:sz w:val="24"/>
          <w:szCs w:val="24"/>
        </w:rPr>
        <w:t xml:space="preserve"> değerlerinde atlama yapmaktadır. Bu atlama protokol kağıdında grafik üzerinde gösterilmiştir.</w:t>
      </w:r>
    </w:p>
    <w:p w:rsidR="002C37A1" w:rsidRDefault="002C37A1" w:rsidP="00FA351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Giriş işaretinin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1,1V ve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1,2V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değerleri arasında çıkış voltajının değişmemesi devrenin değişen iki referans değerine sahip olmasından kaynaklanmaktadır. Bu iki referans değeri;</w:t>
      </w:r>
    </w:p>
    <w:p w:rsidR="002C37A1" w:rsidRDefault="002C37A1" w:rsidP="004A7B4D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omaks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omin</m:t>
            </m:r>
          </m:sub>
        </m:sSub>
      </m:oMath>
    </w:p>
    <w:p w:rsidR="004A7B4D" w:rsidRDefault="004A7B4D" w:rsidP="004A7B4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formülleri ile hesaplanır.</w:t>
      </w:r>
    </w:p>
    <w:p w:rsidR="004A7B4D" w:rsidRDefault="004A7B4D" w:rsidP="004A7B4D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omaks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4A7B4D" w:rsidRDefault="004A7B4D" w:rsidP="004A7B4D">
      <w:pPr>
        <w:ind w:firstLine="708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∆V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aralığında çıkış işaretinin değişmemesi çok işe yarar bir özellik sağlar. Gürültü gibi etmenlerden dolayı hafif bozulmaya uğrayan işaretimizin sistemimizin çıkışında sürekli olarak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Vmin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oluşturmasını engelleyerek gürültü için tampon bir geçiş bölgesi oluşturur.</w:t>
      </w:r>
    </w:p>
    <w:p w:rsidR="004A7B4D" w:rsidRDefault="004A7B4D" w:rsidP="004A7B4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Deney 5.4</w:t>
      </w:r>
    </w:p>
    <w:p w:rsidR="004A7B4D" w:rsidRDefault="004A7B4D" w:rsidP="004A7B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Dirençli gerilim bölücü </w:t>
      </w:r>
      <w:r w:rsidRPr="004A7B4D">
        <w:rPr>
          <w:rFonts w:ascii="Times New Roman" w:eastAsiaTheme="minorEastAsia" w:hAnsi="Times New Roman" w:cs="Times New Roman"/>
          <w:sz w:val="24"/>
          <w:szCs w:val="24"/>
        </w:rPr>
        <w:t>devreden çıkartı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ldı. 100Hz frekanslı, tepeden tepeye 10V genlikli üçgen dalga </w:t>
      </w:r>
      <w:r w:rsidR="006F493D">
        <w:rPr>
          <w:rFonts w:ascii="Times New Roman" w:eastAsiaTheme="minorEastAsia" w:hAnsi="Times New Roman" w:cs="Times New Roman"/>
          <w:sz w:val="24"/>
          <w:szCs w:val="24"/>
        </w:rPr>
        <w:t xml:space="preserve">V1 girişinden uygulandığında ise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-1.1V&lt;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&lt;1.2V</m:t>
        </m:r>
      </m:oMath>
      <w:r w:rsidR="006F493D">
        <w:rPr>
          <w:rFonts w:ascii="Times New Roman" w:eastAsiaTheme="minorEastAsia" w:hAnsi="Times New Roman" w:cs="Times New Roman"/>
          <w:sz w:val="24"/>
          <w:szCs w:val="24"/>
        </w:rPr>
        <w:t xml:space="preserve"> için </w:t>
      </w:r>
      <w:proofErr w:type="spellStart"/>
      <w:r w:rsidR="006F493D"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 w:rsidR="006F493D">
        <w:rPr>
          <w:rFonts w:ascii="Times New Roman" w:eastAsiaTheme="minorEastAsia" w:hAnsi="Times New Roman" w:cs="Times New Roman"/>
          <w:sz w:val="24"/>
          <w:szCs w:val="24"/>
        </w:rPr>
        <w:t xml:space="preserve"> çıkışı sabit kalmakta, bu değerlerin dışına çıkıldığında atlama yapmaktad</w:t>
      </w:r>
      <w:r w:rsidR="00D73245">
        <w:rPr>
          <w:rFonts w:ascii="Times New Roman" w:eastAsiaTheme="minorEastAsia" w:hAnsi="Times New Roman" w:cs="Times New Roman"/>
          <w:sz w:val="24"/>
          <w:szCs w:val="24"/>
        </w:rPr>
        <w:t>ır.Gözlemlenen grafik protokol kağıdına çizilmiştir.</w:t>
      </w:r>
    </w:p>
    <w:p w:rsidR="00D73245" w:rsidRDefault="00D73245" w:rsidP="004A7B4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73245" w:rsidRDefault="00D73245" w:rsidP="004A7B4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Deney 5.5: Yüksek Doğrulukta Doğrultucu Devreleri</w:t>
      </w:r>
    </w:p>
    <w:p w:rsidR="00E87288" w:rsidRDefault="00D73245" w:rsidP="004A7B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5753100" cy="2476500"/>
            <wp:effectExtent l="19050" t="0" r="0" b="0"/>
            <wp:wrapTight wrapText="bothSides">
              <wp:wrapPolygon edited="0">
                <wp:start x="-72" y="0"/>
                <wp:lineTo x="-72" y="21434"/>
                <wp:lineTo x="21600" y="21434"/>
                <wp:lineTo x="21600" y="0"/>
                <wp:lineTo x="-72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02FE">
        <w:rPr>
          <w:rFonts w:ascii="Times New Roman" w:eastAsiaTheme="minorEastAsia" w:hAnsi="Times New Roman" w:cs="Times New Roman"/>
          <w:sz w:val="24"/>
          <w:szCs w:val="24"/>
        </w:rPr>
        <w:tab/>
        <w:t>Şekil 5.15 ‘deki devre düzeneği kurularak 1kHz frekanslı sinüs işareti girişe uygulandı.</w:t>
      </w:r>
      <w:r w:rsidR="00E87288">
        <w:rPr>
          <w:rFonts w:ascii="Times New Roman" w:eastAsiaTheme="minorEastAsia" w:hAnsi="Times New Roman" w:cs="Times New Roman"/>
          <w:sz w:val="24"/>
          <w:szCs w:val="24"/>
        </w:rPr>
        <w:t xml:space="preserve"> Uygulan giriş işareti ilk kısımdaki tel yollu doğrultucu için incelenirse;</w:t>
      </w:r>
    </w:p>
    <w:p w:rsidR="00E87288" w:rsidRDefault="00E87288" w:rsidP="004A7B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pozitif değere sahip olduğunda birinci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opampın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eksi ucunda sanal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toprakdan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dolayı D1 iletimde D2 kesimde olur ve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` negatif değere sahip olur.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negatif değere sahip iken bu defa D1 kesimde D2 iletimde olacağında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` sıfır volt olacaktır.</w:t>
      </w:r>
    </w:p>
    <w:p w:rsidR="00E87288" w:rsidRDefault="00E87288" w:rsidP="004A7B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Devrenin üst kısımdaki sadece dirençlerden oluşan kısım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işaretinin hem pozitif hem de negatif kısmını iletir. Bu durumda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pozitif olduğunda ikinci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opampın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girişine birinci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opampta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evrilmiş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işaret ile yukarıdan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evrilmemiş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işaret gelirken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negatif olduğu zaman sadece yukarıdan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evrilmemiş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işaret gelecektir.</w:t>
      </w:r>
      <w:r w:rsidR="003C6B9D">
        <w:rPr>
          <w:rFonts w:ascii="Times New Roman" w:eastAsiaTheme="minorEastAsia" w:hAnsi="Times New Roman" w:cs="Times New Roman"/>
          <w:sz w:val="24"/>
          <w:szCs w:val="24"/>
        </w:rPr>
        <w:t xml:space="preserve"> İkinci </w:t>
      </w:r>
      <w:proofErr w:type="spellStart"/>
      <w:r w:rsidR="003C6B9D">
        <w:rPr>
          <w:rFonts w:ascii="Times New Roman" w:eastAsiaTheme="minorEastAsia" w:hAnsi="Times New Roman" w:cs="Times New Roman"/>
          <w:sz w:val="24"/>
          <w:szCs w:val="24"/>
        </w:rPr>
        <w:t>opamp</w:t>
      </w:r>
      <w:proofErr w:type="spellEnd"/>
      <w:r w:rsidR="003C6B9D">
        <w:rPr>
          <w:rFonts w:ascii="Times New Roman" w:eastAsiaTheme="minorEastAsia" w:hAnsi="Times New Roman" w:cs="Times New Roman"/>
          <w:sz w:val="24"/>
          <w:szCs w:val="24"/>
        </w:rPr>
        <w:t xml:space="preserve"> ise negatif geri belseli faz çeviren bir devre olduğu için girişine gelen işareti tekrar evirerek </w:t>
      </w:r>
      <w:proofErr w:type="spellStart"/>
      <w:r w:rsidR="003C6B9D"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 w:rsidR="003C6B9D">
        <w:rPr>
          <w:rFonts w:ascii="Times New Roman" w:eastAsiaTheme="minorEastAsia" w:hAnsi="Times New Roman" w:cs="Times New Roman"/>
          <w:sz w:val="24"/>
          <w:szCs w:val="24"/>
        </w:rPr>
        <w:t xml:space="preserve"> çıkış işaretinde çift yollu doğrultulmuş işaret görmemizi sağlar.</w:t>
      </w:r>
    </w:p>
    <w:p w:rsidR="003C6B9D" w:rsidRPr="00D73245" w:rsidRDefault="003C6B9D" w:rsidP="004A7B4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Potansiyometrenin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değeriyle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oynarak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çıkışında tam bir çift yollu doğrultulmuş işaret gördüğümüz anda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=12.2 V gözlenmiş olup grafik protokol kağıdına çizilmiştir.</w:t>
      </w:r>
    </w:p>
    <w:sectPr w:rsidR="003C6B9D" w:rsidRPr="00D73245" w:rsidSect="00342C5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481" w:rsidRDefault="00046481" w:rsidP="00B43E87">
      <w:pPr>
        <w:spacing w:after="0" w:line="240" w:lineRule="auto"/>
      </w:pPr>
      <w:r>
        <w:separator/>
      </w:r>
    </w:p>
  </w:endnote>
  <w:endnote w:type="continuationSeparator" w:id="0">
    <w:p w:rsidR="00046481" w:rsidRDefault="00046481" w:rsidP="00B4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481" w:rsidRDefault="00046481" w:rsidP="00B43E87">
      <w:pPr>
        <w:spacing w:after="0" w:line="240" w:lineRule="auto"/>
      </w:pPr>
      <w:r>
        <w:separator/>
      </w:r>
    </w:p>
  </w:footnote>
  <w:footnote w:type="continuationSeparator" w:id="0">
    <w:p w:rsidR="00046481" w:rsidRDefault="00046481" w:rsidP="00B4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E87" w:rsidRDefault="00B43E87">
    <w:pPr>
      <w:pStyle w:val="stbilgi"/>
    </w:pPr>
    <w:r>
      <w:t>Burak Kurt – 040080486</w:t>
    </w:r>
  </w:p>
  <w:p w:rsidR="00B43E87" w:rsidRDefault="00B43E87">
    <w:pPr>
      <w:pStyle w:val="stbilgi"/>
    </w:pPr>
    <w:r>
      <w:t>C21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E87"/>
    <w:rsid w:val="00000DAA"/>
    <w:rsid w:val="000213B7"/>
    <w:rsid w:val="000219E1"/>
    <w:rsid w:val="000234AF"/>
    <w:rsid w:val="000365BA"/>
    <w:rsid w:val="00043DF2"/>
    <w:rsid w:val="00046481"/>
    <w:rsid w:val="00050F15"/>
    <w:rsid w:val="00053DEA"/>
    <w:rsid w:val="0007429A"/>
    <w:rsid w:val="00081FDA"/>
    <w:rsid w:val="000830A8"/>
    <w:rsid w:val="0008456A"/>
    <w:rsid w:val="00085BE4"/>
    <w:rsid w:val="00086C60"/>
    <w:rsid w:val="000A1F36"/>
    <w:rsid w:val="000B741B"/>
    <w:rsid w:val="000B7505"/>
    <w:rsid w:val="000C322D"/>
    <w:rsid w:val="000C664F"/>
    <w:rsid w:val="000D46F6"/>
    <w:rsid w:val="000F0A2E"/>
    <w:rsid w:val="000F45A2"/>
    <w:rsid w:val="00100FEB"/>
    <w:rsid w:val="00103CF5"/>
    <w:rsid w:val="0011302B"/>
    <w:rsid w:val="001218A9"/>
    <w:rsid w:val="00122907"/>
    <w:rsid w:val="0012622F"/>
    <w:rsid w:val="00136EC6"/>
    <w:rsid w:val="00142D5F"/>
    <w:rsid w:val="00145704"/>
    <w:rsid w:val="001523EB"/>
    <w:rsid w:val="00162E96"/>
    <w:rsid w:val="001631B0"/>
    <w:rsid w:val="001773E4"/>
    <w:rsid w:val="00180F10"/>
    <w:rsid w:val="00187DD4"/>
    <w:rsid w:val="00190F03"/>
    <w:rsid w:val="00191F04"/>
    <w:rsid w:val="001A4BE6"/>
    <w:rsid w:val="001A70C6"/>
    <w:rsid w:val="001B33C0"/>
    <w:rsid w:val="001B6EF6"/>
    <w:rsid w:val="001C0B4E"/>
    <w:rsid w:val="001C6F70"/>
    <w:rsid w:val="001C7CC7"/>
    <w:rsid w:val="001E10B5"/>
    <w:rsid w:val="001E544E"/>
    <w:rsid w:val="001F704D"/>
    <w:rsid w:val="00216EF7"/>
    <w:rsid w:val="00222403"/>
    <w:rsid w:val="00225B58"/>
    <w:rsid w:val="0022680F"/>
    <w:rsid w:val="00226E51"/>
    <w:rsid w:val="00232FEA"/>
    <w:rsid w:val="00236564"/>
    <w:rsid w:val="00236876"/>
    <w:rsid w:val="00257C3D"/>
    <w:rsid w:val="00257DF9"/>
    <w:rsid w:val="00262AE0"/>
    <w:rsid w:val="002645C1"/>
    <w:rsid w:val="00266E1C"/>
    <w:rsid w:val="0026766C"/>
    <w:rsid w:val="00276CDE"/>
    <w:rsid w:val="00282036"/>
    <w:rsid w:val="00282DBD"/>
    <w:rsid w:val="00286A6A"/>
    <w:rsid w:val="00294B91"/>
    <w:rsid w:val="002A3794"/>
    <w:rsid w:val="002A70FB"/>
    <w:rsid w:val="002B1C88"/>
    <w:rsid w:val="002C37A1"/>
    <w:rsid w:val="002C7575"/>
    <w:rsid w:val="002D214C"/>
    <w:rsid w:val="002D4D44"/>
    <w:rsid w:val="002E1648"/>
    <w:rsid w:val="002F3D99"/>
    <w:rsid w:val="0030292A"/>
    <w:rsid w:val="00303E06"/>
    <w:rsid w:val="003116A0"/>
    <w:rsid w:val="00314CD8"/>
    <w:rsid w:val="00315459"/>
    <w:rsid w:val="00321731"/>
    <w:rsid w:val="00330159"/>
    <w:rsid w:val="00330E03"/>
    <w:rsid w:val="00332366"/>
    <w:rsid w:val="00332FCA"/>
    <w:rsid w:val="0033339A"/>
    <w:rsid w:val="00341F3B"/>
    <w:rsid w:val="00342C54"/>
    <w:rsid w:val="003433F3"/>
    <w:rsid w:val="00361C9C"/>
    <w:rsid w:val="003625E1"/>
    <w:rsid w:val="003638D5"/>
    <w:rsid w:val="00364082"/>
    <w:rsid w:val="003645D7"/>
    <w:rsid w:val="00375CC8"/>
    <w:rsid w:val="00381C6E"/>
    <w:rsid w:val="00383066"/>
    <w:rsid w:val="0038492F"/>
    <w:rsid w:val="003864F0"/>
    <w:rsid w:val="003A2C0E"/>
    <w:rsid w:val="003B243F"/>
    <w:rsid w:val="003B7DD2"/>
    <w:rsid w:val="003C0B35"/>
    <w:rsid w:val="003C0D07"/>
    <w:rsid w:val="003C1B24"/>
    <w:rsid w:val="003C6B9D"/>
    <w:rsid w:val="003F684B"/>
    <w:rsid w:val="003F6D1F"/>
    <w:rsid w:val="00401985"/>
    <w:rsid w:val="00403023"/>
    <w:rsid w:val="004041F0"/>
    <w:rsid w:val="004121CC"/>
    <w:rsid w:val="00424722"/>
    <w:rsid w:val="0043267C"/>
    <w:rsid w:val="00435118"/>
    <w:rsid w:val="00435A47"/>
    <w:rsid w:val="00435FFD"/>
    <w:rsid w:val="004371E6"/>
    <w:rsid w:val="0044186C"/>
    <w:rsid w:val="004440DE"/>
    <w:rsid w:val="00447FF5"/>
    <w:rsid w:val="00457983"/>
    <w:rsid w:val="00462BF8"/>
    <w:rsid w:val="00463DDA"/>
    <w:rsid w:val="00467407"/>
    <w:rsid w:val="004742BF"/>
    <w:rsid w:val="00480B54"/>
    <w:rsid w:val="00491CAC"/>
    <w:rsid w:val="004A7B4D"/>
    <w:rsid w:val="004B24FC"/>
    <w:rsid w:val="004B2D40"/>
    <w:rsid w:val="004B32FD"/>
    <w:rsid w:val="004E1705"/>
    <w:rsid w:val="004E1C85"/>
    <w:rsid w:val="004E362D"/>
    <w:rsid w:val="004F3AF0"/>
    <w:rsid w:val="00526802"/>
    <w:rsid w:val="00533570"/>
    <w:rsid w:val="0054261F"/>
    <w:rsid w:val="005569D2"/>
    <w:rsid w:val="00557E4E"/>
    <w:rsid w:val="00563047"/>
    <w:rsid w:val="0057078F"/>
    <w:rsid w:val="005721BF"/>
    <w:rsid w:val="00572EF6"/>
    <w:rsid w:val="00573AEF"/>
    <w:rsid w:val="0058234A"/>
    <w:rsid w:val="00587326"/>
    <w:rsid w:val="00592D9E"/>
    <w:rsid w:val="00594438"/>
    <w:rsid w:val="005944E2"/>
    <w:rsid w:val="005A0C73"/>
    <w:rsid w:val="005B1E76"/>
    <w:rsid w:val="005B6B26"/>
    <w:rsid w:val="005B7183"/>
    <w:rsid w:val="005C5830"/>
    <w:rsid w:val="005D142F"/>
    <w:rsid w:val="005D2303"/>
    <w:rsid w:val="005D4FFD"/>
    <w:rsid w:val="005D77D9"/>
    <w:rsid w:val="005E294D"/>
    <w:rsid w:val="005F4A22"/>
    <w:rsid w:val="006033B2"/>
    <w:rsid w:val="00604C5F"/>
    <w:rsid w:val="00616B29"/>
    <w:rsid w:val="00624387"/>
    <w:rsid w:val="00625E76"/>
    <w:rsid w:val="0062606F"/>
    <w:rsid w:val="006302AB"/>
    <w:rsid w:val="00651349"/>
    <w:rsid w:val="0066144D"/>
    <w:rsid w:val="0067226D"/>
    <w:rsid w:val="00675483"/>
    <w:rsid w:val="006826A4"/>
    <w:rsid w:val="006848D9"/>
    <w:rsid w:val="00687157"/>
    <w:rsid w:val="00687E5B"/>
    <w:rsid w:val="00690697"/>
    <w:rsid w:val="0069102C"/>
    <w:rsid w:val="006A4929"/>
    <w:rsid w:val="006C00EF"/>
    <w:rsid w:val="006C04E6"/>
    <w:rsid w:val="006C4A29"/>
    <w:rsid w:val="006C7856"/>
    <w:rsid w:val="006D03A0"/>
    <w:rsid w:val="006D076D"/>
    <w:rsid w:val="006D3078"/>
    <w:rsid w:val="006D61EA"/>
    <w:rsid w:val="006E17B2"/>
    <w:rsid w:val="006E2090"/>
    <w:rsid w:val="006E3C65"/>
    <w:rsid w:val="006F09D0"/>
    <w:rsid w:val="006F11A9"/>
    <w:rsid w:val="006F428B"/>
    <w:rsid w:val="006F43D2"/>
    <w:rsid w:val="006F493D"/>
    <w:rsid w:val="00705566"/>
    <w:rsid w:val="0071125C"/>
    <w:rsid w:val="007114BB"/>
    <w:rsid w:val="007150CF"/>
    <w:rsid w:val="00717E2C"/>
    <w:rsid w:val="00724250"/>
    <w:rsid w:val="007255CB"/>
    <w:rsid w:val="00757DCC"/>
    <w:rsid w:val="00760929"/>
    <w:rsid w:val="00763D54"/>
    <w:rsid w:val="00770B8F"/>
    <w:rsid w:val="00771237"/>
    <w:rsid w:val="00774A20"/>
    <w:rsid w:val="0077614E"/>
    <w:rsid w:val="007804A0"/>
    <w:rsid w:val="0078093F"/>
    <w:rsid w:val="0078357D"/>
    <w:rsid w:val="00783B3B"/>
    <w:rsid w:val="007909BF"/>
    <w:rsid w:val="007975D0"/>
    <w:rsid w:val="007A12D7"/>
    <w:rsid w:val="007A6F1E"/>
    <w:rsid w:val="007A6F23"/>
    <w:rsid w:val="007A78B3"/>
    <w:rsid w:val="007A7F09"/>
    <w:rsid w:val="007B14D1"/>
    <w:rsid w:val="007B70A2"/>
    <w:rsid w:val="007C4702"/>
    <w:rsid w:val="007C4C2F"/>
    <w:rsid w:val="007D0188"/>
    <w:rsid w:val="007D3CA6"/>
    <w:rsid w:val="007E6071"/>
    <w:rsid w:val="007F2C2A"/>
    <w:rsid w:val="007F4E6D"/>
    <w:rsid w:val="0081758E"/>
    <w:rsid w:val="00824C3F"/>
    <w:rsid w:val="00832A84"/>
    <w:rsid w:val="00854FA8"/>
    <w:rsid w:val="008622E8"/>
    <w:rsid w:val="0087192B"/>
    <w:rsid w:val="0087680C"/>
    <w:rsid w:val="008847FF"/>
    <w:rsid w:val="008A3040"/>
    <w:rsid w:val="008B18D9"/>
    <w:rsid w:val="008C392C"/>
    <w:rsid w:val="008C3EE9"/>
    <w:rsid w:val="008C5260"/>
    <w:rsid w:val="008C5D16"/>
    <w:rsid w:val="008D5855"/>
    <w:rsid w:val="008D7D2C"/>
    <w:rsid w:val="008E2292"/>
    <w:rsid w:val="008E2787"/>
    <w:rsid w:val="008F5622"/>
    <w:rsid w:val="008F7CA6"/>
    <w:rsid w:val="00910C61"/>
    <w:rsid w:val="00922136"/>
    <w:rsid w:val="00922F72"/>
    <w:rsid w:val="00924EF6"/>
    <w:rsid w:val="009335B4"/>
    <w:rsid w:val="00937224"/>
    <w:rsid w:val="00956A3E"/>
    <w:rsid w:val="0096137A"/>
    <w:rsid w:val="009616B4"/>
    <w:rsid w:val="0096573E"/>
    <w:rsid w:val="00970920"/>
    <w:rsid w:val="00972FFF"/>
    <w:rsid w:val="00990C81"/>
    <w:rsid w:val="009952F2"/>
    <w:rsid w:val="009A66C4"/>
    <w:rsid w:val="009A7AB8"/>
    <w:rsid w:val="009B0553"/>
    <w:rsid w:val="009B6F4D"/>
    <w:rsid w:val="009C129D"/>
    <w:rsid w:val="009C1FE6"/>
    <w:rsid w:val="009D0BEB"/>
    <w:rsid w:val="009D2362"/>
    <w:rsid w:val="009D3CDF"/>
    <w:rsid w:val="009D59EF"/>
    <w:rsid w:val="009D7164"/>
    <w:rsid w:val="009E206C"/>
    <w:rsid w:val="009E5050"/>
    <w:rsid w:val="009E69F6"/>
    <w:rsid w:val="009E71F3"/>
    <w:rsid w:val="009F5AFD"/>
    <w:rsid w:val="00A0046B"/>
    <w:rsid w:val="00A10205"/>
    <w:rsid w:val="00A1245E"/>
    <w:rsid w:val="00A135BB"/>
    <w:rsid w:val="00A1374D"/>
    <w:rsid w:val="00A21CF9"/>
    <w:rsid w:val="00A346E7"/>
    <w:rsid w:val="00A40419"/>
    <w:rsid w:val="00A43F7E"/>
    <w:rsid w:val="00A45556"/>
    <w:rsid w:val="00A46F28"/>
    <w:rsid w:val="00A47419"/>
    <w:rsid w:val="00A47B9E"/>
    <w:rsid w:val="00A47BB3"/>
    <w:rsid w:val="00A54C4C"/>
    <w:rsid w:val="00A54F0E"/>
    <w:rsid w:val="00A6582B"/>
    <w:rsid w:val="00A666FF"/>
    <w:rsid w:val="00A858EB"/>
    <w:rsid w:val="00A86A00"/>
    <w:rsid w:val="00AA2929"/>
    <w:rsid w:val="00AA5F48"/>
    <w:rsid w:val="00AB0018"/>
    <w:rsid w:val="00AB15D7"/>
    <w:rsid w:val="00AB2A07"/>
    <w:rsid w:val="00AB4FB2"/>
    <w:rsid w:val="00AB6F66"/>
    <w:rsid w:val="00AC1FF4"/>
    <w:rsid w:val="00AC3711"/>
    <w:rsid w:val="00AC65B6"/>
    <w:rsid w:val="00AC6FC4"/>
    <w:rsid w:val="00AD5E44"/>
    <w:rsid w:val="00AE2863"/>
    <w:rsid w:val="00AE32F5"/>
    <w:rsid w:val="00AE4369"/>
    <w:rsid w:val="00AF14A7"/>
    <w:rsid w:val="00AF2EA3"/>
    <w:rsid w:val="00AF353B"/>
    <w:rsid w:val="00AF3792"/>
    <w:rsid w:val="00AF4615"/>
    <w:rsid w:val="00AF7C66"/>
    <w:rsid w:val="00B0186D"/>
    <w:rsid w:val="00B022E5"/>
    <w:rsid w:val="00B02553"/>
    <w:rsid w:val="00B044EF"/>
    <w:rsid w:val="00B04C94"/>
    <w:rsid w:val="00B05D25"/>
    <w:rsid w:val="00B14AAA"/>
    <w:rsid w:val="00B20051"/>
    <w:rsid w:val="00B20B08"/>
    <w:rsid w:val="00B21615"/>
    <w:rsid w:val="00B43BAC"/>
    <w:rsid w:val="00B43E87"/>
    <w:rsid w:val="00B55B4A"/>
    <w:rsid w:val="00B56C8F"/>
    <w:rsid w:val="00B67567"/>
    <w:rsid w:val="00B72086"/>
    <w:rsid w:val="00B74876"/>
    <w:rsid w:val="00B8224A"/>
    <w:rsid w:val="00B843DB"/>
    <w:rsid w:val="00BA4F8A"/>
    <w:rsid w:val="00BA5C01"/>
    <w:rsid w:val="00BA6B07"/>
    <w:rsid w:val="00BB609D"/>
    <w:rsid w:val="00BC5223"/>
    <w:rsid w:val="00BC76FB"/>
    <w:rsid w:val="00BD0E03"/>
    <w:rsid w:val="00BD12E7"/>
    <w:rsid w:val="00BD3820"/>
    <w:rsid w:val="00BD3A8B"/>
    <w:rsid w:val="00BD4DBD"/>
    <w:rsid w:val="00BE029B"/>
    <w:rsid w:val="00BE255C"/>
    <w:rsid w:val="00BE2C2D"/>
    <w:rsid w:val="00BF06CE"/>
    <w:rsid w:val="00C00811"/>
    <w:rsid w:val="00C010D9"/>
    <w:rsid w:val="00C05A9B"/>
    <w:rsid w:val="00C11F0E"/>
    <w:rsid w:val="00C15433"/>
    <w:rsid w:val="00C159B7"/>
    <w:rsid w:val="00C176FC"/>
    <w:rsid w:val="00C20EDF"/>
    <w:rsid w:val="00C23599"/>
    <w:rsid w:val="00C276A3"/>
    <w:rsid w:val="00C30683"/>
    <w:rsid w:val="00C43AFF"/>
    <w:rsid w:val="00C444BE"/>
    <w:rsid w:val="00C46596"/>
    <w:rsid w:val="00C46A89"/>
    <w:rsid w:val="00C475EB"/>
    <w:rsid w:val="00C47F82"/>
    <w:rsid w:val="00C626C4"/>
    <w:rsid w:val="00C64964"/>
    <w:rsid w:val="00C71EA2"/>
    <w:rsid w:val="00C72FFC"/>
    <w:rsid w:val="00C76924"/>
    <w:rsid w:val="00C9413B"/>
    <w:rsid w:val="00CA51D8"/>
    <w:rsid w:val="00CB0CF7"/>
    <w:rsid w:val="00CB0E61"/>
    <w:rsid w:val="00CB2839"/>
    <w:rsid w:val="00CC7E0A"/>
    <w:rsid w:val="00CD1AC3"/>
    <w:rsid w:val="00CD352A"/>
    <w:rsid w:val="00CD6481"/>
    <w:rsid w:val="00CE1B84"/>
    <w:rsid w:val="00CE608E"/>
    <w:rsid w:val="00CF1BAF"/>
    <w:rsid w:val="00CF3175"/>
    <w:rsid w:val="00CF5630"/>
    <w:rsid w:val="00D029A3"/>
    <w:rsid w:val="00D02B06"/>
    <w:rsid w:val="00D03D31"/>
    <w:rsid w:val="00D07993"/>
    <w:rsid w:val="00D07E70"/>
    <w:rsid w:val="00D32EB2"/>
    <w:rsid w:val="00D37E65"/>
    <w:rsid w:val="00D37F68"/>
    <w:rsid w:val="00D531C0"/>
    <w:rsid w:val="00D579D6"/>
    <w:rsid w:val="00D676FB"/>
    <w:rsid w:val="00D72CE7"/>
    <w:rsid w:val="00D73245"/>
    <w:rsid w:val="00D752BA"/>
    <w:rsid w:val="00D756BE"/>
    <w:rsid w:val="00D861D2"/>
    <w:rsid w:val="00D927CD"/>
    <w:rsid w:val="00D93356"/>
    <w:rsid w:val="00D93473"/>
    <w:rsid w:val="00D973C3"/>
    <w:rsid w:val="00DA7D06"/>
    <w:rsid w:val="00DB32E9"/>
    <w:rsid w:val="00DC285B"/>
    <w:rsid w:val="00DC5D1E"/>
    <w:rsid w:val="00DE1627"/>
    <w:rsid w:val="00DF0491"/>
    <w:rsid w:val="00DF20A2"/>
    <w:rsid w:val="00DF2873"/>
    <w:rsid w:val="00DF3A44"/>
    <w:rsid w:val="00DF6B83"/>
    <w:rsid w:val="00E11C17"/>
    <w:rsid w:val="00E23898"/>
    <w:rsid w:val="00E23B6C"/>
    <w:rsid w:val="00E2653A"/>
    <w:rsid w:val="00E3077C"/>
    <w:rsid w:val="00E36C9C"/>
    <w:rsid w:val="00E46057"/>
    <w:rsid w:val="00E463CA"/>
    <w:rsid w:val="00E527F4"/>
    <w:rsid w:val="00E53A09"/>
    <w:rsid w:val="00E550AB"/>
    <w:rsid w:val="00E557A6"/>
    <w:rsid w:val="00E57D9F"/>
    <w:rsid w:val="00E61CDF"/>
    <w:rsid w:val="00E64568"/>
    <w:rsid w:val="00E64F9D"/>
    <w:rsid w:val="00E67688"/>
    <w:rsid w:val="00E67EF9"/>
    <w:rsid w:val="00E76B51"/>
    <w:rsid w:val="00E802FE"/>
    <w:rsid w:val="00E87288"/>
    <w:rsid w:val="00EA1075"/>
    <w:rsid w:val="00EA3713"/>
    <w:rsid w:val="00EA4FF6"/>
    <w:rsid w:val="00EA5C51"/>
    <w:rsid w:val="00EB5461"/>
    <w:rsid w:val="00EC073B"/>
    <w:rsid w:val="00EC28C6"/>
    <w:rsid w:val="00EC4BEC"/>
    <w:rsid w:val="00ED1D05"/>
    <w:rsid w:val="00EE1F06"/>
    <w:rsid w:val="00EE465F"/>
    <w:rsid w:val="00EF7E05"/>
    <w:rsid w:val="00F03761"/>
    <w:rsid w:val="00F06EA0"/>
    <w:rsid w:val="00F07793"/>
    <w:rsid w:val="00F12F98"/>
    <w:rsid w:val="00F13919"/>
    <w:rsid w:val="00F21BD1"/>
    <w:rsid w:val="00F247B0"/>
    <w:rsid w:val="00F33063"/>
    <w:rsid w:val="00F40E07"/>
    <w:rsid w:val="00F415CC"/>
    <w:rsid w:val="00F41A5B"/>
    <w:rsid w:val="00F420B4"/>
    <w:rsid w:val="00F46777"/>
    <w:rsid w:val="00F50C12"/>
    <w:rsid w:val="00F549F9"/>
    <w:rsid w:val="00F57C94"/>
    <w:rsid w:val="00F57D13"/>
    <w:rsid w:val="00F61414"/>
    <w:rsid w:val="00F64B28"/>
    <w:rsid w:val="00F72205"/>
    <w:rsid w:val="00F94837"/>
    <w:rsid w:val="00FA3513"/>
    <w:rsid w:val="00FB3BED"/>
    <w:rsid w:val="00FB42EE"/>
    <w:rsid w:val="00FC077A"/>
    <w:rsid w:val="00FC27BE"/>
    <w:rsid w:val="00FC5F51"/>
    <w:rsid w:val="00FE5184"/>
    <w:rsid w:val="00FF3F97"/>
    <w:rsid w:val="00FF7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C5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B43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43E87"/>
  </w:style>
  <w:style w:type="paragraph" w:styleId="Altbilgi">
    <w:name w:val="footer"/>
    <w:basedOn w:val="Normal"/>
    <w:link w:val="AltbilgiChar"/>
    <w:uiPriority w:val="99"/>
    <w:semiHidden/>
    <w:unhideWhenUsed/>
    <w:rsid w:val="00B43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B43E87"/>
  </w:style>
  <w:style w:type="character" w:styleId="YerTutucuMetni">
    <w:name w:val="Placeholder Text"/>
    <w:basedOn w:val="VarsaylanParagrafYazTipi"/>
    <w:uiPriority w:val="99"/>
    <w:semiHidden/>
    <w:rsid w:val="007255C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2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5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</cp:revision>
  <dcterms:created xsi:type="dcterms:W3CDTF">2011-12-22T19:29:00Z</dcterms:created>
  <dcterms:modified xsi:type="dcterms:W3CDTF">2011-12-22T23:31:00Z</dcterms:modified>
</cp:coreProperties>
</file>