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0D0D0D"/>
          <w:sz w:val="84"/>
        </w:rPr>
        <w:t>CENCORI</w:t>
      </w:r>
    </w:p>
    <w:p>
      <w:pPr>
        <w:jc w:val="center"/>
      </w:pPr>
      <w:r>
        <w:rPr>
          <w:rFonts w:ascii="Arial" w:hAnsi="Arial"/>
          <w:color w:val="555555"/>
          <w:sz w:val="48"/>
        </w:rPr>
        <w:t>Organizational Structure</w:t>
        <w:br/>
        <w:t>&amp; Team Charters</w:t>
      </w:r>
    </w:p>
    <w:p/>
    <w:p>
      <w:pPr>
        <w:jc w:val="center"/>
      </w:pPr>
      <w:r>
        <w:rPr>
          <w:rFonts w:ascii="Arial" w:hAnsi="Arial"/>
          <w:i/>
          <w:color w:val="3B82F6"/>
          <w:sz w:val="28"/>
        </w:rPr>
        <w:t>The Intelligence Grid</w:t>
      </w:r>
    </w:p>
    <w:p/>
    <w:p/>
    <w:p/>
    <w:p/>
    <w:p/>
    <w:p/>
    <w:p>
      <w:pPr>
        <w:jc w:val="center"/>
      </w:pPr>
      <w:r>
        <w:rPr>
          <w:rFonts w:ascii="Arial" w:hAnsi="Arial"/>
          <w:b/>
          <w:color w:val="666666"/>
          <w:sz w:val="20"/>
        </w:rPr>
        <w:t xml:space="preserve">Version: </w:t>
      </w:r>
      <w:r>
        <w:rPr>
          <w:rFonts w:ascii="Arial" w:hAnsi="Arial"/>
          <w:color w:val="666666"/>
          <w:sz w:val="20"/>
        </w:rPr>
        <w:t>1.0</w:t>
      </w:r>
    </w:p>
    <w:p>
      <w:pPr>
        <w:jc w:val="center"/>
      </w:pPr>
      <w:r>
        <w:rPr>
          <w:rFonts w:ascii="Arial" w:hAnsi="Arial"/>
          <w:b/>
          <w:color w:val="666666"/>
          <w:sz w:val="20"/>
        </w:rPr>
        <w:t xml:space="preserve">Classification: </w:t>
      </w:r>
      <w:r>
        <w:rPr>
          <w:rFonts w:ascii="Arial" w:hAnsi="Arial"/>
          <w:color w:val="666666"/>
          <w:sz w:val="20"/>
        </w:rPr>
        <w:t>Internal — Confidential</w:t>
      </w:r>
    </w:p>
    <w:p>
      <w:pPr>
        <w:jc w:val="center"/>
      </w:pPr>
      <w:r>
        <w:rPr>
          <w:rFonts w:ascii="Arial" w:hAnsi="Arial"/>
          <w:b/>
          <w:color w:val="666666"/>
          <w:sz w:val="20"/>
        </w:rPr>
        <w:t xml:space="preserve">Effective Date: </w:t>
      </w:r>
      <w:r>
        <w:rPr>
          <w:rFonts w:ascii="Arial" w:hAnsi="Arial"/>
          <w:color w:val="666666"/>
          <w:sz w:val="20"/>
        </w:rPr>
        <w:t>March 27, 2026</w:t>
      </w:r>
    </w:p>
    <w:p>
      <w:pPr>
        <w:jc w:val="center"/>
      </w:pPr>
      <w:r>
        <w:rPr>
          <w:rFonts w:ascii="Arial" w:hAnsi="Arial"/>
          <w:b/>
          <w:color w:val="666666"/>
          <w:sz w:val="20"/>
        </w:rPr>
        <w:t xml:space="preserve">Owner: </w:t>
      </w:r>
      <w:r>
        <w:rPr>
          <w:rFonts w:ascii="Arial" w:hAnsi="Arial"/>
          <w:color w:val="666666"/>
          <w:sz w:val="20"/>
        </w:rPr>
        <w:t>Bola Roy Banjo, CEO</w:t>
      </w:r>
    </w:p>
    <w:p>
      <w:pPr>
        <w:jc w:val="center"/>
      </w:pPr>
      <w:r>
        <w:rPr>
          <w:rFonts w:ascii="Arial" w:hAnsi="Arial"/>
          <w:b/>
          <w:color w:val="666666"/>
          <w:sz w:val="20"/>
        </w:rPr>
        <w:t xml:space="preserve">Approved By: </w:t>
      </w:r>
      <w:r>
        <w:rPr>
          <w:rFonts w:ascii="Arial" w:hAnsi="Arial"/>
          <w:color w:val="666666"/>
          <w:sz w:val="20"/>
        </w:rPr>
        <w:t>Executive Leadership (CEO, COO, CTO)</w:t>
      </w:r>
    </w:p>
    <w:p>
      <w:r>
        <w:br w:type="page"/>
      </w:r>
    </w:p>
    <w:p>
      <w:pPr>
        <w:pStyle w:val="Heading1"/>
      </w:pPr>
      <w:r>
        <w:t>Table of Contents</w:t>
      </w:r>
    </w:p>
    <w:p>
      <w:pPr>
        <w:spacing w:after="40"/>
      </w:pPr>
      <w:r>
        <w:rPr>
          <w:rFonts w:ascii="Arial" w:hAnsi="Arial"/>
          <w:sz w:val="22"/>
        </w:rPr>
        <w:t>1.  Document Purpose &amp; Scope</w:t>
      </w:r>
    </w:p>
    <w:p>
      <w:pPr>
        <w:spacing w:after="40"/>
      </w:pPr>
      <w:r>
        <w:rPr>
          <w:rFonts w:ascii="Arial" w:hAnsi="Arial"/>
          <w:sz w:val="22"/>
        </w:rPr>
        <w:t>2.  Organizational Overview</w:t>
      </w:r>
    </w:p>
    <w:p>
      <w:pPr>
        <w:spacing w:after="40"/>
      </w:pPr>
      <w:r>
        <w:rPr>
          <w:rFonts w:ascii="Arial" w:hAnsi="Arial"/>
          <w:sz w:val="22"/>
        </w:rPr>
        <w:t>3.  Reporting Structure</w:t>
      </w:r>
    </w:p>
    <w:p>
      <w:pPr>
        <w:spacing w:after="40"/>
      </w:pPr>
      <w:r>
        <w:rPr>
          <w:rFonts w:ascii="Arial" w:hAnsi="Arial"/>
          <w:sz w:val="22"/>
        </w:rPr>
        <w:t>4.  Executive Leadership</w:t>
      </w:r>
    </w:p>
    <w:p>
      <w:pPr>
        <w:spacing w:after="40"/>
      </w:pPr>
      <w:r>
        <w:rPr>
          <w:rFonts w:ascii="Arial" w:hAnsi="Arial"/>
          <w:sz w:val="22"/>
        </w:rPr>
        <w:t>5.  Department Charter: Product &amp; Engineering</w:t>
      </w:r>
    </w:p>
    <w:p>
      <w:pPr>
        <w:spacing w:after="40"/>
      </w:pPr>
      <w:r>
        <w:rPr>
          <w:rFonts w:ascii="Arial" w:hAnsi="Arial"/>
          <w:sz w:val="22"/>
        </w:rPr>
        <w:t>6.  Department Charter: Design</w:t>
      </w:r>
    </w:p>
    <w:p>
      <w:pPr>
        <w:spacing w:after="40"/>
      </w:pPr>
      <w:r>
        <w:rPr>
          <w:rFonts w:ascii="Arial" w:hAnsi="Arial"/>
          <w:sz w:val="22"/>
        </w:rPr>
        <w:t>7.  Department Charter: Growth (Marketing &amp; Sales)</w:t>
      </w:r>
    </w:p>
    <w:p>
      <w:pPr>
        <w:spacing w:after="40"/>
      </w:pPr>
      <w:r>
        <w:rPr>
          <w:rFonts w:ascii="Arial" w:hAnsi="Arial"/>
          <w:sz w:val="22"/>
        </w:rPr>
        <w:t>8.  Department Charter: Finance &amp; Legal</w:t>
      </w:r>
    </w:p>
    <w:p>
      <w:pPr>
        <w:spacing w:after="40"/>
      </w:pPr>
      <w:r>
        <w:rPr>
          <w:rFonts w:ascii="Arial" w:hAnsi="Arial"/>
          <w:sz w:val="22"/>
        </w:rPr>
        <w:t>9.  Department Charter: Operations</w:t>
      </w:r>
    </w:p>
    <w:p>
      <w:pPr>
        <w:spacing w:after="40"/>
      </w:pPr>
      <w:r>
        <w:rPr>
          <w:rFonts w:ascii="Arial" w:hAnsi="Arial"/>
          <w:sz w:val="22"/>
        </w:rPr>
        <w:t>10.  Cross-Functional Collaboration Model</w:t>
      </w:r>
    </w:p>
    <w:p>
      <w:pPr>
        <w:spacing w:after="40"/>
      </w:pPr>
      <w:r>
        <w:rPr>
          <w:rFonts w:ascii="Arial" w:hAnsi="Arial"/>
          <w:sz w:val="22"/>
        </w:rPr>
        <w:t>11.  Decision-Making Framework</w:t>
      </w:r>
    </w:p>
    <w:p>
      <w:pPr>
        <w:spacing w:after="40"/>
      </w:pPr>
      <w:r>
        <w:rPr>
          <w:rFonts w:ascii="Arial" w:hAnsi="Arial"/>
          <w:sz w:val="22"/>
        </w:rPr>
        <w:t>12.  Document Control &amp; Revisions</w:t>
      </w:r>
    </w:p>
    <w:p>
      <w:r>
        <w:br w:type="page"/>
      </w:r>
    </w:p>
    <w:p>
      <w:pPr>
        <w:pStyle w:val="Heading1"/>
      </w:pPr>
      <w:r>
        <w:t>1. Document Purpose &amp; Scope</w:t>
      </w:r>
    </w:p>
    <w:p>
      <w:r>
        <w:rPr>
          <w:rFonts w:ascii="Arial" w:hAnsi="Arial"/>
          <w:sz w:val="22"/>
        </w:rPr>
        <w:t>This document defines the organizational structure, reporting lines, and departmental charters for Cencori. It serves as the authoritative reference for how the company is organized, who owns what, and how departments interact to deliver on the company’s mission: building the intelligence grid.</w:t>
      </w:r>
    </w:p>
    <w:p>
      <w:r>
        <w:rPr>
          <w:rFonts w:ascii="Arial" w:hAnsi="Arial"/>
          <w:sz w:val="22"/>
        </w:rPr>
        <w:t>This document is intended for all Cencori team members, advisors, and investors. It should be reviewed quarterly and updated as the organization evolves.</w:t>
      </w:r>
    </w:p>
    <w:p>
      <w:pPr>
        <w:pStyle w:val="Heading3"/>
      </w:pPr>
      <w:r>
        <w:t>Scope</w:t>
      </w:r>
    </w:p>
    <w:p>
      <w:r>
        <w:rPr>
          <w:rFonts w:ascii="Arial" w:hAnsi="Arial"/>
          <w:sz w:val="22"/>
        </w:rPr>
        <w:t>This document covers the organizational hierarchy from CEO through department leads, team charters defining each department’s mandate, responsibilities, KPIs, and interfaces, cross-functional collaboration protocols, and the decision-making framework used across the organization.</w:t>
      </w:r>
    </w:p>
    <w:p>
      <w:pPr>
        <w:spacing w:before="80" w:after="80"/>
        <w:pBdr>
          <w:bottom w:val="single" w:sz="6" w:space="1" w:color="DDDDDD"/>
        </w:pBdr>
      </w:pPr>
    </w:p>
    <w:p>
      <w:pPr>
        <w:pStyle w:val="Heading1"/>
      </w:pPr>
      <w:r>
        <w:t>2. Organizational Overview</w:t>
      </w:r>
    </w:p>
    <w:p>
      <w:r>
        <w:rPr>
          <w:rFonts w:ascii="Arial" w:hAnsi="Arial"/>
          <w:sz w:val="22"/>
        </w:rPr>
        <w:t>Cencori operates as a lean, high-velocity startup organized into five departments. Each department has a clear mandate aligned to a specific dimension of company success. The structure is designed for a team of 3–10 people, where individuals often wear multiple hats and cross-functional collaboration is the norm, not the exception.</w:t>
      </w:r>
    </w:p>
    <w:p>
      <w:pPr>
        <w:pStyle w:val="Heading2"/>
      </w:pPr>
      <w:r>
        <w:t>The Five Departments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A1A2E"/>
          </w:tcPr>
          <w:p>
            <w:pPr>
              <w:jc w:val="left"/>
            </w:pPr>
            <w:r/>
            <w:r>
              <w:rPr>
                <w:rFonts w:ascii="Arial" w:hAnsi="Arial"/>
                <w:b/>
                <w:color w:val="FFFFFF"/>
                <w:sz w:val="20"/>
              </w:rPr>
              <w:t>Department</w:t>
            </w:r>
          </w:p>
        </w:tc>
        <w:tc>
          <w:tcPr>
            <w:tcW w:type="dxa" w:w="1728"/>
            <w:shd w:fill="1A1A2E"/>
          </w:tcPr>
          <w:p>
            <w:pPr>
              <w:jc w:val="left"/>
            </w:pPr>
            <w:r/>
            <w:r>
              <w:rPr>
                <w:rFonts w:ascii="Arial" w:hAnsi="Arial"/>
                <w:b/>
                <w:color w:val="FFFFFF"/>
                <w:sz w:val="20"/>
              </w:rPr>
              <w:t>Focus Area</w:t>
            </w:r>
          </w:p>
        </w:tc>
        <w:tc>
          <w:tcPr>
            <w:tcW w:type="dxa" w:w="5040"/>
            <w:shd w:fill="1A1A2E"/>
          </w:tcPr>
          <w:p>
            <w:pPr>
              <w:jc w:val="left"/>
            </w:pPr>
            <w:r/>
            <w:r>
              <w:rPr>
                <w:rFonts w:ascii="Arial" w:hAnsi="Arial"/>
                <w:b/>
                <w:color w:val="FFFFFF"/>
                <w:sz w:val="20"/>
              </w:rPr>
              <w:t>Core Mandate</w:t>
            </w:r>
          </w:p>
        </w:tc>
      </w:tr>
      <w:tr>
        <w:tc>
          <w:tcPr>
            <w:tcW w:type="dxa" w:w="2592"/>
          </w:tcPr>
          <w:p>
            <w:r/>
            <w:r>
              <w:rPr>
                <w:rFonts w:ascii="Arial" w:hAnsi="Arial"/>
                <w:sz w:val="20"/>
              </w:rPr>
              <w:t>Product &amp; Engineering</w:t>
            </w:r>
          </w:p>
        </w:tc>
        <w:tc>
          <w:tcPr>
            <w:tcW w:type="dxa" w:w="1728"/>
          </w:tcPr>
          <w:p>
            <w:r/>
            <w:r>
              <w:rPr>
                <w:rFonts w:ascii="Arial" w:hAnsi="Arial"/>
                <w:sz w:val="20"/>
              </w:rPr>
              <w:t>Build</w:t>
            </w:r>
          </w:p>
        </w:tc>
        <w:tc>
          <w:tcPr>
            <w:tcW w:type="dxa" w:w="5040"/>
          </w:tcPr>
          <w:p>
            <w:r/>
            <w:r>
              <w:rPr>
                <w:rFonts w:ascii="Arial" w:hAnsi="Arial"/>
                <w:sz w:val="20"/>
              </w:rPr>
              <w:t>Build, ship, and maintain the intelligence grid — Gateway, Compute, Workflow, Storage, Integration</w:t>
            </w:r>
          </w:p>
        </w:tc>
      </w:tr>
      <w:tr>
        <w:tc>
          <w:tcPr>
            <w:tcW w:type="dxa" w:w="2592"/>
            <w:shd w:fill="F5F5F5"/>
          </w:tcPr>
          <w:p>
            <w:r/>
            <w:r>
              <w:rPr>
                <w:rFonts w:ascii="Arial" w:hAnsi="Arial"/>
                <w:sz w:val="20"/>
              </w:rPr>
              <w:t>Design</w:t>
            </w:r>
          </w:p>
        </w:tc>
        <w:tc>
          <w:tcPr>
            <w:tcW w:type="dxa" w:w="1728"/>
            <w:shd w:fill="F5F5F5"/>
          </w:tcPr>
          <w:p>
            <w:r/>
            <w:r>
              <w:rPr>
                <w:rFonts w:ascii="Arial" w:hAnsi="Arial"/>
                <w:sz w:val="20"/>
              </w:rPr>
              <w:t>Experience</w:t>
            </w:r>
          </w:p>
        </w:tc>
        <w:tc>
          <w:tcPr>
            <w:tcW w:type="dxa" w:w="5040"/>
            <w:shd w:fill="F5F5F5"/>
          </w:tcPr>
          <w:p>
            <w:r/>
            <w:r>
              <w:rPr>
                <w:rFonts w:ascii="Arial" w:hAnsi="Arial"/>
                <w:sz w:val="20"/>
              </w:rPr>
              <w:t>Define the visual identity, UX patterns, and design system that make Cencori intuitive and trusted</w:t>
            </w:r>
          </w:p>
        </w:tc>
      </w:tr>
      <w:tr>
        <w:tc>
          <w:tcPr>
            <w:tcW w:type="dxa" w:w="2592"/>
          </w:tcPr>
          <w:p>
            <w:r/>
            <w:r>
              <w:rPr>
                <w:rFonts w:ascii="Arial" w:hAnsi="Arial"/>
                <w:sz w:val="20"/>
              </w:rPr>
              <w:t>Growth (Marketing &amp; Sales)</w:t>
            </w:r>
          </w:p>
        </w:tc>
        <w:tc>
          <w:tcPr>
            <w:tcW w:type="dxa" w:w="1728"/>
          </w:tcPr>
          <w:p>
            <w:r/>
            <w:r>
              <w:rPr>
                <w:rFonts w:ascii="Arial" w:hAnsi="Arial"/>
                <w:sz w:val="20"/>
              </w:rPr>
              <w:t>Distribute</w:t>
            </w:r>
          </w:p>
        </w:tc>
        <w:tc>
          <w:tcPr>
            <w:tcW w:type="dxa" w:w="5040"/>
          </w:tcPr>
          <w:p>
            <w:r/>
            <w:r>
              <w:rPr>
                <w:rFonts w:ascii="Arial" w:hAnsi="Arial"/>
                <w:sz w:val="20"/>
              </w:rPr>
              <w:t>Acquire builders, drive adoption, build brand awareness, and generate revenue</w:t>
            </w:r>
          </w:p>
        </w:tc>
      </w:tr>
      <w:tr>
        <w:tc>
          <w:tcPr>
            <w:tcW w:type="dxa" w:w="2592"/>
            <w:shd w:fill="F5F5F5"/>
          </w:tcPr>
          <w:p>
            <w:r/>
            <w:r>
              <w:rPr>
                <w:rFonts w:ascii="Arial" w:hAnsi="Arial"/>
                <w:sz w:val="20"/>
              </w:rPr>
              <w:t>Finance &amp; Legal</w:t>
            </w:r>
          </w:p>
        </w:tc>
        <w:tc>
          <w:tcPr>
            <w:tcW w:type="dxa" w:w="1728"/>
            <w:shd w:fill="F5F5F5"/>
          </w:tcPr>
          <w:p>
            <w:r/>
            <w:r>
              <w:rPr>
                <w:rFonts w:ascii="Arial" w:hAnsi="Arial"/>
                <w:sz w:val="20"/>
              </w:rPr>
              <w:t>Govern</w:t>
            </w:r>
          </w:p>
        </w:tc>
        <w:tc>
          <w:tcPr>
            <w:tcW w:type="dxa" w:w="5040"/>
            <w:shd w:fill="F5F5F5"/>
          </w:tcPr>
          <w:p>
            <w:r/>
            <w:r>
              <w:rPr>
                <w:rFonts w:ascii="Arial" w:hAnsi="Arial"/>
                <w:sz w:val="20"/>
              </w:rPr>
              <w:t>Financial planning, fundraising, compliance, contracts, and legal protection</w:t>
            </w:r>
          </w:p>
        </w:tc>
      </w:tr>
      <w:tr>
        <w:tc>
          <w:tcPr>
            <w:tcW w:type="dxa" w:w="2592"/>
          </w:tcPr>
          <w:p>
            <w:r/>
            <w:r>
              <w:rPr>
                <w:rFonts w:ascii="Arial" w:hAnsi="Arial"/>
                <w:sz w:val="20"/>
              </w:rPr>
              <w:t>Operations</w:t>
            </w:r>
          </w:p>
        </w:tc>
        <w:tc>
          <w:tcPr>
            <w:tcW w:type="dxa" w:w="1728"/>
          </w:tcPr>
          <w:p>
            <w:r/>
            <w:r>
              <w:rPr>
                <w:rFonts w:ascii="Arial" w:hAnsi="Arial"/>
                <w:sz w:val="20"/>
              </w:rPr>
              <w:t>Enable</w:t>
            </w:r>
          </w:p>
        </w:tc>
        <w:tc>
          <w:tcPr>
            <w:tcW w:type="dxa" w:w="5040"/>
          </w:tcPr>
          <w:p>
            <w:r/>
            <w:r>
              <w:rPr>
                <w:rFonts w:ascii="Arial" w:hAnsi="Arial"/>
                <w:sz w:val="20"/>
              </w:rPr>
              <w:t>Internal processes, hiring, culture, tooling, and organizational efficiency</w:t>
            </w:r>
          </w:p>
        </w:tc>
      </w:tr>
    </w:tbl>
    <w:p/>
    <w:p>
      <w:r>
        <w:rPr>
          <w:rFonts w:ascii="Arial" w:hAnsi="Arial"/>
          <w:b/>
          <w:sz w:val="22"/>
        </w:rPr>
        <w:t xml:space="preserve">Guiding Principle: </w:t>
      </w:r>
      <w:r>
        <w:t>Every department exists to serve the builder. The builder’s success is our success. Departments are not silos — they are specialized lenses through which we deliver a unified product and experience.</w:t>
      </w:r>
    </w:p>
    <w:p>
      <w:pPr>
        <w:spacing w:before="80" w:after="80"/>
        <w:pBdr>
          <w:bottom w:val="single" w:sz="6" w:space="1" w:color="DDDDDD"/>
        </w:pBdr>
      </w:pPr>
    </w:p>
    <w:p>
      <w:pPr>
        <w:pStyle w:val="Heading1"/>
      </w:pPr>
      <w:r>
        <w:t>3. Reporting Structure</w:t>
      </w:r>
    </w:p>
    <w:p>
      <w:r>
        <w:rPr>
          <w:rFonts w:ascii="Arial" w:hAnsi="Arial"/>
          <w:sz w:val="22"/>
        </w:rPr>
        <w:t>Cencori uses a flat hierarchy optimized for speed and accountability. Every department lead reports directly to the CEO. Cross-functional decisions are resolved through the collaboration model defined in Section 10.</w:t>
      </w:r>
    </w:p>
    <w:p>
      <w:pPr>
        <w:pStyle w:val="Heading2"/>
      </w:pPr>
      <w:r>
        <w:t>Organizational Hierarchy</w:t>
      </w:r>
    </w:p>
    <w:tbl>
      <w:tblPr>
        <w:tblW w:type="auto" w:w="0"/>
        <w:jc w:val="center"/>
        <w:tblLayout w:type="fixed"/>
        <w:tblLook w:firstColumn="1" w:firstRow="1" w:lastColumn="0" w:lastRow="0" w:noHBand="0" w:noVBand="1" w:val="04A0"/>
      </w:tblPr>
      <w:tblGrid>
        <w:gridCol w:w="3120"/>
        <w:gridCol w:w="3120"/>
        <w:gridCol w:w="3120"/>
      </w:tblGrid>
      <w:tr>
        <w:tc>
          <w:tcPr>
            <w:tcW w:type="dxa" w:w="3120"/>
          </w:tcPr>
          <w:p/>
        </w:tc>
        <w:tc>
          <w:tcPr>
            <w:tcW w:type="dxa" w:w="3600"/>
            <w:shd w:fill="1A1A2E"/>
          </w:tcPr>
          <w:p>
            <w:pPr>
              <w:jc w:val="center"/>
            </w:pPr>
            <w:r/>
            <w:r>
              <w:rPr>
                <w:rFonts w:ascii="Arial" w:hAnsi="Arial"/>
                <w:b/>
                <w:color w:val="FFFFFF"/>
                <w:sz w:val="22"/>
              </w:rPr>
              <w:t>Bola Roy Banjo</w:t>
              <w:br/>
              <w:t>CEO &amp; Co-Founder</w:t>
            </w:r>
          </w:p>
        </w:tc>
        <w:tc>
          <w:tcPr>
            <w:tcW w:type="dxa" w:w="3120"/>
          </w:tcPr>
          <w:p/>
        </w:tc>
      </w:tr>
      <w:tr>
        <w:tc>
          <w:tcPr>
            <w:tcW w:type="dxa" w:w="3120"/>
            <w:shd w:fill="2D2D4A"/>
          </w:tcPr>
          <w:p>
            <w:pPr>
              <w:jc w:val="center"/>
            </w:pPr>
            <w:r/>
            <w:r>
              <w:rPr>
                <w:rFonts w:ascii="Arial" w:hAnsi="Arial"/>
                <w:b/>
                <w:color w:val="FFFFFF"/>
                <w:sz w:val="20"/>
              </w:rPr>
              <w:t>Ladipo Samuel</w:t>
              <w:br/>
              <w:t>CTO &amp; Co-Founder</w:t>
            </w:r>
          </w:p>
        </w:tc>
        <w:tc>
          <w:tcPr>
            <w:tcW w:type="dxa" w:w="3120"/>
          </w:tcPr>
          <w:p/>
        </w:tc>
        <w:tc>
          <w:tcPr>
            <w:tcW w:type="dxa" w:w="3120"/>
            <w:shd w:fill="2D2D4A"/>
          </w:tcPr>
          <w:p>
            <w:pPr>
              <w:jc w:val="center"/>
            </w:pPr>
            <w:r/>
            <w:r>
              <w:rPr>
                <w:rFonts w:ascii="Arial" w:hAnsi="Arial"/>
                <w:b/>
                <w:color w:val="FFFFFF"/>
                <w:sz w:val="20"/>
              </w:rPr>
              <w:t>Oreofe Daniel</w:t>
              <w:br/>
              <w:t>COO &amp; Co-Founder</w:t>
            </w:r>
          </w:p>
        </w:tc>
      </w:tr>
      <w:tr>
        <w:tc>
          <w:tcPr>
            <w:tcW w:type="dxa" w:w="3120"/>
          </w:tcPr>
          <w:p/>
        </w:tc>
        <w:tc>
          <w:tcPr>
            <w:tcW w:type="dxa" w:w="3120"/>
          </w:tcPr>
          <w:p>
            <w:pPr>
              <w:jc w:val="center"/>
            </w:pPr>
            <w:r/>
            <w:r>
              <w:rPr>
                <w:sz w:val="28"/>
              </w:rPr>
              <w:t>│</w:t>
            </w:r>
          </w:p>
        </w:tc>
        <w:tc>
          <w:tcPr>
            <w:tcW w:type="dxa" w:w="3120"/>
          </w:tcPr>
          <w:p/>
        </w:tc>
      </w:tr>
      <w:tr>
        <w:tc>
          <w:tcPr>
            <w:tcW w:type="dxa" w:w="3120"/>
            <w:shd w:fill="E8F0FE"/>
          </w:tcPr>
          <w:p>
            <w:pPr>
              <w:jc w:val="center"/>
            </w:pPr>
            <w:r/>
            <w:r>
              <w:rPr>
                <w:rFonts w:ascii="Arial" w:hAnsi="Arial"/>
                <w:b/>
                <w:sz w:val="20"/>
              </w:rPr>
              <w:t>Product &amp; Eng</w:t>
            </w:r>
          </w:p>
        </w:tc>
        <w:tc>
          <w:tcPr>
            <w:tcW w:type="dxa" w:w="3120"/>
            <w:shd w:fill="E8F0FE"/>
          </w:tcPr>
          <w:p>
            <w:pPr>
              <w:jc w:val="center"/>
            </w:pPr>
            <w:r/>
            <w:r>
              <w:rPr>
                <w:rFonts w:ascii="Arial" w:hAnsi="Arial"/>
                <w:b/>
                <w:sz w:val="20"/>
              </w:rPr>
              <w:t>Design</w:t>
            </w:r>
          </w:p>
        </w:tc>
        <w:tc>
          <w:tcPr>
            <w:tcW w:type="dxa" w:w="3120"/>
            <w:shd w:fill="E8F0FE"/>
          </w:tcPr>
          <w:p>
            <w:pPr>
              <w:jc w:val="center"/>
            </w:pPr>
            <w:r/>
            <w:r>
              <w:rPr>
                <w:rFonts w:ascii="Arial" w:hAnsi="Arial"/>
                <w:b/>
                <w:sz w:val="20"/>
              </w:rPr>
              <w:t>Growth</w:t>
            </w:r>
          </w:p>
        </w:tc>
      </w:tr>
      <w:tr>
        <w:tc>
          <w:tcPr>
            <w:tcW w:type="dxa" w:w="3120"/>
            <w:shd w:fill="E8F0FE"/>
          </w:tcPr>
          <w:p>
            <w:pPr>
              <w:jc w:val="center"/>
            </w:pPr>
            <w:r/>
            <w:r>
              <w:rPr>
                <w:rFonts w:ascii="Arial" w:hAnsi="Arial"/>
                <w:b/>
                <w:sz w:val="20"/>
              </w:rPr>
              <w:t>Finance &amp; Legal</w:t>
            </w:r>
          </w:p>
        </w:tc>
        <w:tc>
          <w:tcPr>
            <w:tcW w:type="dxa" w:w="3120"/>
            <w:shd w:fill="E8F0FE"/>
          </w:tcPr>
          <w:p>
            <w:pPr>
              <w:jc w:val="center"/>
            </w:pPr>
            <w:r/>
            <w:r>
              <w:rPr>
                <w:rFonts w:ascii="Arial" w:hAnsi="Arial"/>
                <w:b/>
                <w:sz w:val="20"/>
              </w:rPr>
              <w:t>Operations</w:t>
            </w:r>
          </w:p>
        </w:tc>
        <w:tc>
          <w:tcPr>
            <w:tcW w:type="dxa" w:w="3120"/>
          </w:tcPr>
          <w:p/>
        </w:tc>
      </w:tr>
    </w:tbl>
    <w:p/>
    <w:p>
      <w:pPr>
        <w:pStyle w:val="Heading2"/>
      </w:pPr>
      <w:r>
        <w:t>Reporting Lines</w:t>
      </w:r>
    </w:p>
    <w:tbl>
      <w:tblPr>
        <w:tblW w:type="auto" w:w="0"/>
        <w:jc w:val="center"/>
        <w:tblLayout w:type="fixed"/>
        <w:tblLook w:firstColumn="1" w:firstRow="1" w:lastColumn="0" w:lastRow="0" w:noHBand="0" w:noVBand="1" w:val="04A0"/>
      </w:tblPr>
      <w:tblGrid>
        <w:gridCol w:w="3120"/>
        <w:gridCol w:w="3120"/>
        <w:gridCol w:w="3120"/>
      </w:tblGrid>
      <w:tr>
        <w:tc>
          <w:tcPr>
            <w:tcW w:type="dxa" w:w="3168"/>
            <w:shd w:fill="1A1A2E"/>
          </w:tcPr>
          <w:p>
            <w:pPr>
              <w:jc w:val="left"/>
            </w:pPr>
            <w:r/>
            <w:r>
              <w:rPr>
                <w:rFonts w:ascii="Arial" w:hAnsi="Arial"/>
                <w:b/>
                <w:color w:val="FFFFFF"/>
                <w:sz w:val="20"/>
              </w:rPr>
              <w:t>Role</w:t>
            </w:r>
          </w:p>
        </w:tc>
        <w:tc>
          <w:tcPr>
            <w:tcW w:type="dxa" w:w="2880"/>
            <w:shd w:fill="1A1A2E"/>
          </w:tcPr>
          <w:p>
            <w:pPr>
              <w:jc w:val="left"/>
            </w:pPr>
            <w:r/>
            <w:r>
              <w:rPr>
                <w:rFonts w:ascii="Arial" w:hAnsi="Arial"/>
                <w:b/>
                <w:color w:val="FFFFFF"/>
                <w:sz w:val="20"/>
              </w:rPr>
              <w:t>Reports To</w:t>
            </w:r>
          </w:p>
        </w:tc>
        <w:tc>
          <w:tcPr>
            <w:tcW w:type="dxa" w:w="3312"/>
            <w:shd w:fill="1A1A2E"/>
          </w:tcPr>
          <w:p>
            <w:pPr>
              <w:jc w:val="left"/>
            </w:pPr>
            <w:r/>
            <w:r>
              <w:rPr>
                <w:rFonts w:ascii="Arial" w:hAnsi="Arial"/>
                <w:b/>
                <w:color w:val="FFFFFF"/>
                <w:sz w:val="20"/>
              </w:rPr>
              <w:t>Direct Reports</w:t>
            </w:r>
          </w:p>
        </w:tc>
      </w:tr>
      <w:tr>
        <w:tc>
          <w:tcPr>
            <w:tcW w:type="dxa" w:w="3168"/>
          </w:tcPr>
          <w:p>
            <w:r/>
            <w:r>
              <w:rPr>
                <w:rFonts w:ascii="Arial" w:hAnsi="Arial"/>
                <w:sz w:val="20"/>
              </w:rPr>
              <w:t>CEO (Bola Roy Banjo)</w:t>
            </w:r>
          </w:p>
        </w:tc>
        <w:tc>
          <w:tcPr>
            <w:tcW w:type="dxa" w:w="2880"/>
          </w:tcPr>
          <w:p>
            <w:r/>
            <w:r>
              <w:rPr>
                <w:rFonts w:ascii="Arial" w:hAnsi="Arial"/>
                <w:sz w:val="20"/>
              </w:rPr>
              <w:t>— (Board / Investors)</w:t>
            </w:r>
          </w:p>
        </w:tc>
        <w:tc>
          <w:tcPr>
            <w:tcW w:type="dxa" w:w="3312"/>
          </w:tcPr>
          <w:p>
            <w:r/>
            <w:r>
              <w:rPr>
                <w:rFonts w:ascii="Arial" w:hAnsi="Arial"/>
                <w:sz w:val="20"/>
              </w:rPr>
              <w:t>CTO, COO, all Dept Leads</w:t>
            </w:r>
          </w:p>
        </w:tc>
      </w:tr>
      <w:tr>
        <w:tc>
          <w:tcPr>
            <w:tcW w:type="dxa" w:w="3168"/>
            <w:shd w:fill="F5F5F5"/>
          </w:tcPr>
          <w:p>
            <w:r/>
            <w:r>
              <w:rPr>
                <w:rFonts w:ascii="Arial" w:hAnsi="Arial"/>
                <w:sz w:val="20"/>
              </w:rPr>
              <w:t>CTO (Ladipo Samuel)</w:t>
            </w:r>
          </w:p>
        </w:tc>
        <w:tc>
          <w:tcPr>
            <w:tcW w:type="dxa" w:w="2880"/>
            <w:shd w:fill="F5F5F5"/>
          </w:tcPr>
          <w:p>
            <w:r/>
            <w:r>
              <w:rPr>
                <w:rFonts w:ascii="Arial" w:hAnsi="Arial"/>
                <w:sz w:val="20"/>
              </w:rPr>
              <w:t>CEO</w:t>
            </w:r>
          </w:p>
        </w:tc>
        <w:tc>
          <w:tcPr>
            <w:tcW w:type="dxa" w:w="3312"/>
            <w:shd w:fill="F5F5F5"/>
          </w:tcPr>
          <w:p>
            <w:r/>
            <w:r>
              <w:rPr>
                <w:rFonts w:ascii="Arial" w:hAnsi="Arial"/>
                <w:sz w:val="20"/>
              </w:rPr>
              <w:t>Product &amp; Engineering, technical architecture</w:t>
            </w:r>
          </w:p>
        </w:tc>
      </w:tr>
      <w:tr>
        <w:tc>
          <w:tcPr>
            <w:tcW w:type="dxa" w:w="3168"/>
          </w:tcPr>
          <w:p>
            <w:r/>
            <w:r>
              <w:rPr>
                <w:rFonts w:ascii="Arial" w:hAnsi="Arial"/>
                <w:sz w:val="20"/>
              </w:rPr>
              <w:t>COO (Oreofe Daniel)</w:t>
            </w:r>
          </w:p>
        </w:tc>
        <w:tc>
          <w:tcPr>
            <w:tcW w:type="dxa" w:w="2880"/>
          </w:tcPr>
          <w:p>
            <w:r/>
            <w:r>
              <w:rPr>
                <w:rFonts w:ascii="Arial" w:hAnsi="Arial"/>
                <w:sz w:val="20"/>
              </w:rPr>
              <w:t>CEO</w:t>
            </w:r>
          </w:p>
        </w:tc>
        <w:tc>
          <w:tcPr>
            <w:tcW w:type="dxa" w:w="3312"/>
          </w:tcPr>
          <w:p>
            <w:r/>
            <w:r>
              <w:rPr>
                <w:rFonts w:ascii="Arial" w:hAnsi="Arial"/>
                <w:sz w:val="20"/>
              </w:rPr>
              <w:t>Operations, cross-functional coordination</w:t>
            </w:r>
          </w:p>
        </w:tc>
      </w:tr>
      <w:tr>
        <w:tc>
          <w:tcPr>
            <w:tcW w:type="dxa" w:w="3168"/>
            <w:shd w:fill="F5F5F5"/>
          </w:tcPr>
          <w:p>
            <w:r/>
            <w:r>
              <w:rPr>
                <w:rFonts w:ascii="Arial" w:hAnsi="Arial"/>
                <w:sz w:val="20"/>
              </w:rPr>
              <w:t>Product &amp; Engineering Lead</w:t>
            </w:r>
          </w:p>
        </w:tc>
        <w:tc>
          <w:tcPr>
            <w:tcW w:type="dxa" w:w="2880"/>
            <w:shd w:fill="F5F5F5"/>
          </w:tcPr>
          <w:p>
            <w:r/>
            <w:r>
              <w:rPr>
                <w:rFonts w:ascii="Arial" w:hAnsi="Arial"/>
                <w:sz w:val="20"/>
              </w:rPr>
              <w:t>CTO</w:t>
            </w:r>
          </w:p>
        </w:tc>
        <w:tc>
          <w:tcPr>
            <w:tcW w:type="dxa" w:w="3312"/>
            <w:shd w:fill="F5F5F5"/>
          </w:tcPr>
          <w:p>
            <w:r/>
            <w:r>
              <w:rPr>
                <w:rFonts w:ascii="Arial" w:hAnsi="Arial"/>
                <w:sz w:val="20"/>
              </w:rPr>
              <w:t>Engineers, technical contributors</w:t>
            </w:r>
          </w:p>
        </w:tc>
      </w:tr>
      <w:tr>
        <w:tc>
          <w:tcPr>
            <w:tcW w:type="dxa" w:w="3168"/>
          </w:tcPr>
          <w:p>
            <w:r/>
            <w:r>
              <w:rPr>
                <w:rFonts w:ascii="Arial" w:hAnsi="Arial"/>
                <w:sz w:val="20"/>
              </w:rPr>
              <w:t>Design Lead</w:t>
            </w:r>
          </w:p>
        </w:tc>
        <w:tc>
          <w:tcPr>
            <w:tcW w:type="dxa" w:w="2880"/>
          </w:tcPr>
          <w:p>
            <w:r/>
            <w:r>
              <w:rPr>
                <w:rFonts w:ascii="Arial" w:hAnsi="Arial"/>
                <w:sz w:val="20"/>
              </w:rPr>
              <w:t>CEO</w:t>
            </w:r>
          </w:p>
        </w:tc>
        <w:tc>
          <w:tcPr>
            <w:tcW w:type="dxa" w:w="3312"/>
          </w:tcPr>
          <w:p>
            <w:r/>
            <w:r>
              <w:rPr>
                <w:rFonts w:ascii="Arial" w:hAnsi="Arial"/>
                <w:sz w:val="20"/>
              </w:rPr>
              <w:t>Designers, brand contributors</w:t>
            </w:r>
          </w:p>
        </w:tc>
      </w:tr>
      <w:tr>
        <w:tc>
          <w:tcPr>
            <w:tcW w:type="dxa" w:w="3168"/>
            <w:shd w:fill="F5F5F5"/>
          </w:tcPr>
          <w:p>
            <w:r/>
            <w:r>
              <w:rPr>
                <w:rFonts w:ascii="Arial" w:hAnsi="Arial"/>
                <w:sz w:val="20"/>
              </w:rPr>
              <w:t>Growth Lead</w:t>
            </w:r>
          </w:p>
        </w:tc>
        <w:tc>
          <w:tcPr>
            <w:tcW w:type="dxa" w:w="2880"/>
            <w:shd w:fill="F5F5F5"/>
          </w:tcPr>
          <w:p>
            <w:r/>
            <w:r>
              <w:rPr>
                <w:rFonts w:ascii="Arial" w:hAnsi="Arial"/>
                <w:sz w:val="20"/>
              </w:rPr>
              <w:t>CEO</w:t>
            </w:r>
          </w:p>
        </w:tc>
        <w:tc>
          <w:tcPr>
            <w:tcW w:type="dxa" w:w="3312"/>
            <w:shd w:fill="F5F5F5"/>
          </w:tcPr>
          <w:p>
            <w:r/>
            <w:r>
              <w:rPr>
                <w:rFonts w:ascii="Arial" w:hAnsi="Arial"/>
                <w:sz w:val="20"/>
              </w:rPr>
              <w:t>Marketing, sales, community</w:t>
            </w:r>
          </w:p>
        </w:tc>
      </w:tr>
      <w:tr>
        <w:tc>
          <w:tcPr>
            <w:tcW w:type="dxa" w:w="3168"/>
          </w:tcPr>
          <w:p>
            <w:r/>
            <w:r>
              <w:rPr>
                <w:rFonts w:ascii="Arial" w:hAnsi="Arial"/>
                <w:sz w:val="20"/>
              </w:rPr>
              <w:t>Finance &amp; Legal Lead</w:t>
            </w:r>
          </w:p>
        </w:tc>
        <w:tc>
          <w:tcPr>
            <w:tcW w:type="dxa" w:w="2880"/>
          </w:tcPr>
          <w:p>
            <w:r/>
            <w:r>
              <w:rPr>
                <w:rFonts w:ascii="Arial" w:hAnsi="Arial"/>
                <w:sz w:val="20"/>
              </w:rPr>
              <w:t>CEO</w:t>
            </w:r>
          </w:p>
        </w:tc>
        <w:tc>
          <w:tcPr>
            <w:tcW w:type="dxa" w:w="3312"/>
          </w:tcPr>
          <w:p>
            <w:r/>
            <w:r>
              <w:rPr>
                <w:rFonts w:ascii="Arial" w:hAnsi="Arial"/>
                <w:sz w:val="20"/>
              </w:rPr>
              <w:t>Finance ops, legal counsel</w:t>
            </w:r>
          </w:p>
        </w:tc>
      </w:tr>
      <w:tr>
        <w:tc>
          <w:tcPr>
            <w:tcW w:type="dxa" w:w="3168"/>
            <w:shd w:fill="F5F5F5"/>
          </w:tcPr>
          <w:p>
            <w:r/>
            <w:r>
              <w:rPr>
                <w:rFonts w:ascii="Arial" w:hAnsi="Arial"/>
                <w:sz w:val="20"/>
              </w:rPr>
              <w:t>Operations Lead</w:t>
            </w:r>
          </w:p>
        </w:tc>
        <w:tc>
          <w:tcPr>
            <w:tcW w:type="dxa" w:w="2880"/>
            <w:shd w:fill="F5F5F5"/>
          </w:tcPr>
          <w:p>
            <w:r/>
            <w:r>
              <w:rPr>
                <w:rFonts w:ascii="Arial" w:hAnsi="Arial"/>
                <w:sz w:val="20"/>
              </w:rPr>
              <w:t>COO</w:t>
            </w:r>
          </w:p>
        </w:tc>
        <w:tc>
          <w:tcPr>
            <w:tcW w:type="dxa" w:w="3312"/>
            <w:shd w:fill="F5F5F5"/>
          </w:tcPr>
          <w:p>
            <w:r/>
            <w:r>
              <w:rPr>
                <w:rFonts w:ascii="Arial" w:hAnsi="Arial"/>
                <w:sz w:val="20"/>
              </w:rPr>
              <w:t>HR, internal tooling, processes</w:t>
            </w:r>
          </w:p>
        </w:tc>
      </w:tr>
    </w:tbl>
    <w:p>
      <w:pPr>
        <w:spacing w:before="80" w:after="80"/>
        <w:pBdr>
          <w:bottom w:val="single" w:sz="6" w:space="1" w:color="DDDDDD"/>
        </w:pBdr>
      </w:pPr>
    </w:p>
    <w:p>
      <w:pPr>
        <w:pStyle w:val="Heading1"/>
      </w:pPr>
      <w:r>
        <w:t>4. Executive Leadership</w:t>
      </w:r>
    </w:p>
    <w:p>
      <w:pPr>
        <w:pStyle w:val="Heading2"/>
      </w:pPr>
      <w:r>
        <w:t>CEO — Bola Roy Banjo</w:t>
      </w:r>
    </w:p>
    <w:p>
      <w:r>
        <w:rPr>
          <w:rFonts w:ascii="Arial" w:hAnsi="Arial"/>
          <w:sz w:val="22"/>
        </w:rPr>
        <w:t>As CEO and Co-Founder, Bola owns the technical vision, product direction, and company strategy. He is the final decision-maker on product architecture, fundraising, and strategic partnerships. Bola’s background at FohnAI (AI R&amp;D and digital security) directly informs Cencori’s security-first approach to AI infrastructure.</w:t>
      </w:r>
    </w:p>
    <w:p>
      <w:r>
        <w:rPr>
          <w:rFonts w:ascii="Arial" w:hAnsi="Arial"/>
          <w:b/>
        </w:rPr>
        <w:t xml:space="preserve">Key Responsibilities: </w:t>
      </w:r>
      <w:r>
        <w:rPr>
          <w:rFonts w:ascii="Arial" w:hAnsi="Arial"/>
        </w:rPr>
        <w:t>Company vision and strategy, product and technical direction, fundraising and investor relations, key hiring decisions, public representation and thought leadership.</w:t>
      </w:r>
    </w:p>
    <w:p>
      <w:pPr>
        <w:pStyle w:val="Heading2"/>
      </w:pPr>
      <w:r>
        <w:t>CTO — Ladipo Samuel</w:t>
      </w:r>
    </w:p>
    <w:p>
      <w:r>
        <w:rPr>
          <w:rFonts w:ascii="Arial" w:hAnsi="Arial"/>
          <w:sz w:val="22"/>
        </w:rPr>
        <w:t>As CTO and Co-Founder, Ladipo owns the technical architecture, engineering execution, and infrastructure reliability of the intelligence grid. He is responsible for ensuring that every primitive is built to production standards and that the platform scales reliably as adoption grows.</w:t>
      </w:r>
    </w:p>
    <w:p>
      <w:r>
        <w:rPr>
          <w:rFonts w:ascii="Arial" w:hAnsi="Arial"/>
          <w:b/>
        </w:rPr>
        <w:t xml:space="preserve">Key Responsibilities: </w:t>
      </w:r>
      <w:r>
        <w:rPr>
          <w:rFonts w:ascii="Arial" w:hAnsi="Arial"/>
        </w:rPr>
        <w:t>Technical architecture and engineering standards, platform reliability and scalability, engineering team leadership and mentorship, security architecture oversight, build/deploy pipeline and developer tooling.</w:t>
      </w:r>
    </w:p>
    <w:p>
      <w:pPr>
        <w:pStyle w:val="Heading2"/>
      </w:pPr>
      <w:r>
        <w:t>COO — Oreofe Ojurereoluwa Daniel</w:t>
      </w:r>
    </w:p>
    <w:p>
      <w:r>
        <w:rPr>
          <w:rFonts w:ascii="Arial" w:hAnsi="Arial"/>
          <w:sz w:val="22"/>
        </w:rPr>
        <w:t>As COO and Co-Founder, Oreofe owns the operational framing, go-to-market positioning, and organizational efficiency. He ensures that the company’s internal operations match the ambition of its external mission.</w:t>
      </w:r>
    </w:p>
    <w:p>
      <w:r>
        <w:rPr>
          <w:rFonts w:ascii="Arial" w:hAnsi="Arial"/>
          <w:b/>
        </w:rPr>
        <w:t xml:space="preserve">Key Responsibilities: </w:t>
      </w:r>
      <w:r>
        <w:rPr>
          <w:rFonts w:ascii="Arial" w:hAnsi="Arial"/>
        </w:rPr>
        <w:t>Operational strategy and execution, go-to-market framing, cross-departmental alignment, hiring and culture, process design and optimization.</w:t>
      </w:r>
    </w:p>
    <w:p>
      <w:pPr>
        <w:spacing w:before="80" w:after="80"/>
        <w:pBdr>
          <w:bottom w:val="single" w:sz="6" w:space="1" w:color="DDDDDD"/>
        </w:pBdr>
      </w:pPr>
    </w:p>
    <w:p>
      <w:r>
        <w:br w:type="page"/>
      </w:r>
    </w:p>
    <w:p>
      <w:pPr>
        <w:pStyle w:val="Heading1"/>
      </w:pPr>
      <w:r>
        <w:t>5. Department Charter: Product &amp; Engineering</w:t>
      </w:r>
    </w:p>
    <w:p>
      <w:r>
        <w:rPr>
          <w:rFonts w:ascii="Arial" w:hAnsi="Arial"/>
          <w:i/>
          <w:color w:val="3B82F6"/>
          <w:sz w:val="26"/>
        </w:rPr>
        <w:t>Build the intelligence grid.</w:t>
      </w:r>
    </w:p>
    <w:p>
      <w:pPr>
        <w:pStyle w:val="Heading2"/>
      </w:pPr>
      <w:r>
        <w:t>Mission</w:t>
      </w:r>
    </w:p>
    <w:p>
      <w:r>
        <w:rPr>
          <w:rFonts w:ascii="Arial" w:hAnsi="Arial"/>
          <w:sz w:val="22"/>
        </w:rPr>
        <w:t>Design, build, ship, and maintain the five primitives (Gateway, Compute, Workflow, Storage, Integration) that form the complete infrastructure for production AI. Every line of code serves the builder.</w:t>
      </w:r>
    </w:p>
    <w:p>
      <w:pPr>
        <w:pStyle w:val="Heading2"/>
      </w:pPr>
      <w:r>
        <w:t>Core Responsibilities</w:t>
      </w:r>
    </w:p>
    <w:p>
      <w:pPr>
        <w:pStyle w:val="ListBullet"/>
      </w:pPr>
      <w:r>
        <w:rPr>
          <w:rFonts w:ascii="Arial" w:hAnsi="Arial"/>
          <w:sz w:val="22"/>
        </w:rPr>
        <w:t>Own the full product lifecycle from ideation to production for all five primitives</w:t>
      </w:r>
    </w:p>
    <w:p>
      <w:pPr>
        <w:pStyle w:val="ListBullet"/>
      </w:pPr>
      <w:r>
        <w:rPr>
          <w:rFonts w:ascii="Arial" w:hAnsi="Arial"/>
          <w:sz w:val="22"/>
        </w:rPr>
        <w:t>Maintain and evolve the AI Gateway (14 providers, 100+ models, security layers)</w:t>
      </w:r>
    </w:p>
    <w:p>
      <w:pPr>
        <w:pStyle w:val="ListBullet"/>
      </w:pPr>
      <w:r>
        <w:rPr>
          <w:rFonts w:ascii="Arial" w:hAnsi="Arial"/>
          <w:sz w:val="22"/>
        </w:rPr>
        <w:t>Build and ship Compute, Workflow, Storage, and Integration primitives</w:t>
      </w:r>
    </w:p>
    <w:p>
      <w:pPr>
        <w:pStyle w:val="ListBullet"/>
      </w:pPr>
      <w:r>
        <w:rPr>
          <w:rFonts w:ascii="Arial" w:hAnsi="Arial"/>
          <w:sz w:val="22"/>
        </w:rPr>
        <w:t>Develop and maintain TypeScript, Python, and Go SDKs</w:t>
      </w:r>
    </w:p>
    <w:p>
      <w:pPr>
        <w:pStyle w:val="ListBullet"/>
      </w:pPr>
      <w:r>
        <w:rPr>
          <w:rFonts w:ascii="Arial" w:hAnsi="Arial"/>
          <w:sz w:val="22"/>
        </w:rPr>
        <w:t>Own the API design, versioning, and backwards compatibility</w:t>
      </w:r>
    </w:p>
    <w:p>
      <w:pPr>
        <w:pStyle w:val="ListBullet"/>
      </w:pPr>
      <w:r>
        <w:rPr>
          <w:rFonts w:ascii="Arial" w:hAnsi="Arial"/>
          <w:sz w:val="22"/>
        </w:rPr>
        <w:t>Manage the multi-layer security architecture (content filtering, jailbreak detection, output scanning)</w:t>
      </w:r>
    </w:p>
    <w:p>
      <w:pPr>
        <w:pStyle w:val="ListBullet"/>
      </w:pPr>
      <w:r>
        <w:rPr>
          <w:rFonts w:ascii="Arial" w:hAnsi="Arial"/>
          <w:sz w:val="22"/>
        </w:rPr>
        <w:t>Run CI/CD pipelines, testing infrastructure (Vitest + Playwright), and deployment via Vercel</w:t>
      </w:r>
    </w:p>
    <w:p>
      <w:pPr>
        <w:pStyle w:val="ListBullet"/>
      </w:pPr>
      <w:r>
        <w:rPr>
          <w:rFonts w:ascii="Arial" w:hAnsi="Arial"/>
          <w:sz w:val="22"/>
        </w:rPr>
        <w:t>Monitor system reliability, uptime, and performance across all live services</w:t>
      </w:r>
    </w:p>
    <w:p>
      <w:pPr>
        <w:pStyle w:val="ListBullet"/>
      </w:pPr>
      <w:r>
        <w:rPr>
          <w:rFonts w:ascii="Arial" w:hAnsi="Arial"/>
          <w:sz w:val="22"/>
        </w:rPr>
        <w:t>Maintain the database schema, migrations, and Supabase infrastructure</w:t>
      </w:r>
    </w:p>
    <w:p>
      <w:pPr>
        <w:pStyle w:val="Heading2"/>
      </w:pPr>
      <w:r>
        <w:t>Key Performance Indicators</w:t>
      </w:r>
    </w:p>
    <w:tbl>
      <w:tblPr>
        <w:tblW w:type="auto" w:w="0"/>
        <w:jc w:val="center"/>
        <w:tblLayout w:type="fixed"/>
        <w:tblLook w:firstColumn="1" w:firstRow="1" w:lastColumn="0" w:lastRow="0" w:noHBand="0" w:noVBand="1" w:val="04A0"/>
      </w:tblPr>
      <w:tblGrid>
        <w:gridCol w:w="4680"/>
        <w:gridCol w:w="4680"/>
      </w:tblGrid>
      <w:tr>
        <w:tc>
          <w:tcPr>
            <w:tcW w:type="dxa" w:w="5040"/>
            <w:shd w:fill="1A1A2E"/>
          </w:tcPr>
          <w:p>
            <w:pPr>
              <w:jc w:val="left"/>
            </w:pPr>
            <w:r/>
            <w:r>
              <w:rPr>
                <w:rFonts w:ascii="Arial" w:hAnsi="Arial"/>
                <w:b/>
                <w:color w:val="FFFFFF"/>
                <w:sz w:val="20"/>
              </w:rPr>
              <w:t>Metric</w:t>
            </w:r>
          </w:p>
        </w:tc>
        <w:tc>
          <w:tcPr>
            <w:tcW w:type="dxa" w:w="4320"/>
            <w:shd w:fill="1A1A2E"/>
          </w:tcPr>
          <w:p>
            <w:pPr>
              <w:jc w:val="left"/>
            </w:pPr>
            <w:r/>
            <w:r>
              <w:rPr>
                <w:rFonts w:ascii="Arial" w:hAnsi="Arial"/>
                <w:b/>
                <w:color w:val="FFFFFF"/>
                <w:sz w:val="20"/>
              </w:rPr>
              <w:t>Target</w:t>
            </w:r>
          </w:p>
        </w:tc>
      </w:tr>
      <w:tr>
        <w:tc>
          <w:tcPr>
            <w:tcW w:type="dxa" w:w="5040"/>
          </w:tcPr>
          <w:p>
            <w:r/>
            <w:r>
              <w:rPr>
                <w:rFonts w:ascii="Arial" w:hAnsi="Arial"/>
                <w:sz w:val="20"/>
              </w:rPr>
              <w:t>API Uptime</w:t>
            </w:r>
          </w:p>
        </w:tc>
        <w:tc>
          <w:tcPr>
            <w:tcW w:type="dxa" w:w="4320"/>
          </w:tcPr>
          <w:p>
            <w:r/>
            <w:r>
              <w:rPr>
                <w:rFonts w:ascii="Arial" w:hAnsi="Arial"/>
                <w:sz w:val="20"/>
              </w:rPr>
              <w:t>≥ 99.9%</w:t>
            </w:r>
          </w:p>
        </w:tc>
      </w:tr>
      <w:tr>
        <w:tc>
          <w:tcPr>
            <w:tcW w:type="dxa" w:w="5040"/>
            <w:shd w:fill="F5F5F5"/>
          </w:tcPr>
          <w:p>
            <w:r/>
            <w:r>
              <w:rPr>
                <w:rFonts w:ascii="Arial" w:hAnsi="Arial"/>
                <w:sz w:val="20"/>
              </w:rPr>
              <w:t>P95 Latency (Gateway)</w:t>
            </w:r>
          </w:p>
        </w:tc>
        <w:tc>
          <w:tcPr>
            <w:tcW w:type="dxa" w:w="4320"/>
            <w:shd w:fill="F5F5F5"/>
          </w:tcPr>
          <w:p>
            <w:r/>
            <w:r>
              <w:rPr>
                <w:rFonts w:ascii="Arial" w:hAnsi="Arial"/>
                <w:sz w:val="20"/>
              </w:rPr>
              <w:t>&lt; 200ms overhead</w:t>
            </w:r>
          </w:p>
        </w:tc>
      </w:tr>
      <w:tr>
        <w:tc>
          <w:tcPr>
            <w:tcW w:type="dxa" w:w="5040"/>
          </w:tcPr>
          <w:p>
            <w:r/>
            <w:r>
              <w:rPr>
                <w:rFonts w:ascii="Arial" w:hAnsi="Arial"/>
                <w:sz w:val="20"/>
              </w:rPr>
              <w:t>Deploy Frequency</w:t>
            </w:r>
          </w:p>
        </w:tc>
        <w:tc>
          <w:tcPr>
            <w:tcW w:type="dxa" w:w="4320"/>
          </w:tcPr>
          <w:p>
            <w:r/>
            <w:r>
              <w:rPr>
                <w:rFonts w:ascii="Arial" w:hAnsi="Arial"/>
                <w:sz w:val="20"/>
              </w:rPr>
              <w:t>≥ 3x per week</w:t>
            </w:r>
          </w:p>
        </w:tc>
      </w:tr>
      <w:tr>
        <w:tc>
          <w:tcPr>
            <w:tcW w:type="dxa" w:w="5040"/>
            <w:shd w:fill="F5F5F5"/>
          </w:tcPr>
          <w:p>
            <w:r/>
            <w:r>
              <w:rPr>
                <w:rFonts w:ascii="Arial" w:hAnsi="Arial"/>
                <w:sz w:val="20"/>
              </w:rPr>
              <w:t>Test Coverage</w:t>
            </w:r>
          </w:p>
        </w:tc>
        <w:tc>
          <w:tcPr>
            <w:tcW w:type="dxa" w:w="4320"/>
            <w:shd w:fill="F5F5F5"/>
          </w:tcPr>
          <w:p>
            <w:r/>
            <w:r>
              <w:rPr>
                <w:rFonts w:ascii="Arial" w:hAnsi="Arial"/>
                <w:sz w:val="20"/>
              </w:rPr>
              <w:t>≥ 80%</w:t>
            </w:r>
          </w:p>
        </w:tc>
      </w:tr>
      <w:tr>
        <w:tc>
          <w:tcPr>
            <w:tcW w:type="dxa" w:w="5040"/>
          </w:tcPr>
          <w:p>
            <w:r/>
            <w:r>
              <w:rPr>
                <w:rFonts w:ascii="Arial" w:hAnsi="Arial"/>
                <w:sz w:val="20"/>
              </w:rPr>
              <w:t>Open Bug Count (P0/P1)</w:t>
            </w:r>
          </w:p>
        </w:tc>
        <w:tc>
          <w:tcPr>
            <w:tcW w:type="dxa" w:w="4320"/>
          </w:tcPr>
          <w:p>
            <w:r/>
            <w:r>
              <w:rPr>
                <w:rFonts w:ascii="Arial" w:hAnsi="Arial"/>
                <w:sz w:val="20"/>
              </w:rPr>
              <w:t>&lt; 5 at any time</w:t>
            </w:r>
          </w:p>
        </w:tc>
      </w:tr>
      <w:tr>
        <w:tc>
          <w:tcPr>
            <w:tcW w:type="dxa" w:w="5040"/>
            <w:shd w:fill="F5F5F5"/>
          </w:tcPr>
          <w:p>
            <w:r/>
            <w:r>
              <w:rPr>
                <w:rFonts w:ascii="Arial" w:hAnsi="Arial"/>
                <w:sz w:val="20"/>
              </w:rPr>
              <w:t>SDK Adoption</w:t>
            </w:r>
          </w:p>
        </w:tc>
        <w:tc>
          <w:tcPr>
            <w:tcW w:type="dxa" w:w="4320"/>
            <w:shd w:fill="F5F5F5"/>
          </w:tcPr>
          <w:p>
            <w:r/>
            <w:r>
              <w:rPr>
                <w:rFonts w:ascii="Arial" w:hAnsi="Arial"/>
                <w:sz w:val="20"/>
              </w:rPr>
              <w:t>Month-over-month install growth</w:t>
            </w:r>
          </w:p>
        </w:tc>
      </w:tr>
    </w:tbl>
    <w:p/>
    <w:p>
      <w:pPr>
        <w:pStyle w:val="Heading2"/>
      </w:pPr>
      <w:r>
        <w:t>Cross-Functional Interfaces</w:t>
      </w:r>
    </w:p>
    <w:p>
      <w:r>
        <w:rPr>
          <w:rFonts w:ascii="Arial" w:hAnsi="Arial"/>
          <w:sz w:val="22"/>
        </w:rPr>
        <w:t>Reports to CTO (Ladipo Samuel) on technical architecture and engineering execution. Works closely with Design on UX/UI for dashboard and developer experience. Collaborates with Growth on developer onboarding, documentation, and feedback loops. Provides technical input to Finance &amp; Legal on compliance requirements. Coordinates with Operations on infrastructure costs and tooling.</w:t>
      </w:r>
    </w:p>
    <w:p>
      <w:pPr>
        <w:pStyle w:val="Heading2"/>
      </w:pPr>
      <w:r>
        <w:t>Current Focus (Phase 5)</w:t>
      </w:r>
    </w:p>
    <w:p>
      <w:r>
        <w:rPr>
          <w:rFonts w:ascii="Arial" w:hAnsi="Arial"/>
          <w:sz w:val="22"/>
        </w:rPr>
        <w:t>Phase 5 — Scan web UI, unified five-primitive architecture, payment system, expanding provider support.</w:t>
      </w:r>
    </w:p>
    <w:p>
      <w:r>
        <w:br w:type="page"/>
      </w:r>
    </w:p>
    <w:p>
      <w:pPr>
        <w:pStyle w:val="Heading1"/>
      </w:pPr>
      <w:r>
        <w:t>6. Department Charter: Design</w:t>
      </w:r>
    </w:p>
    <w:p>
      <w:r>
        <w:rPr>
          <w:rFonts w:ascii="Arial" w:hAnsi="Arial"/>
          <w:i/>
          <w:color w:val="3B82F6"/>
          <w:sz w:val="26"/>
        </w:rPr>
        <w:t>Make intelligence feel intuitive.</w:t>
      </w:r>
    </w:p>
    <w:p>
      <w:pPr>
        <w:pStyle w:val="Heading2"/>
      </w:pPr>
      <w:r>
        <w:t>Mission</w:t>
      </w:r>
    </w:p>
    <w:p>
      <w:r>
        <w:rPr>
          <w:rFonts w:ascii="Arial" w:hAnsi="Arial"/>
          <w:sz w:val="22"/>
        </w:rPr>
        <w:t>Define and maintain the visual identity, user experience, and design system that make Cencori the most intuitive and trusted AI infrastructure platform in the market. Design is not decoration — it is how builders experience trust.</w:t>
      </w:r>
    </w:p>
    <w:p>
      <w:pPr>
        <w:pStyle w:val="Heading2"/>
      </w:pPr>
      <w:r>
        <w:t>Core Responsibilities</w:t>
      </w:r>
    </w:p>
    <w:p>
      <w:pPr>
        <w:pStyle w:val="ListBullet"/>
      </w:pPr>
      <w:r>
        <w:rPr>
          <w:rFonts w:ascii="Arial" w:hAnsi="Arial"/>
          <w:sz w:val="22"/>
        </w:rPr>
        <w:t>Own the Cencori design system (design.cencori.com) including colors, typography, spacing, components, and animation</w:t>
      </w:r>
    </w:p>
    <w:p>
      <w:pPr>
        <w:pStyle w:val="ListBullet"/>
      </w:pPr>
      <w:r>
        <w:rPr>
          <w:rFonts w:ascii="Arial" w:hAnsi="Arial"/>
          <w:sz w:val="22"/>
        </w:rPr>
        <w:t>Design all product interfaces: dashboard, playground, logs, analytics, security settings</w:t>
      </w:r>
    </w:p>
    <w:p>
      <w:pPr>
        <w:pStyle w:val="ListBullet"/>
      </w:pPr>
      <w:r>
        <w:rPr>
          <w:rFonts w:ascii="Arial" w:hAnsi="Arial"/>
          <w:sz w:val="22"/>
        </w:rPr>
        <w:t>Create and maintain marketing page designs (landing, pricing, blog, about, etc.)</w:t>
      </w:r>
    </w:p>
    <w:p>
      <w:pPr>
        <w:pStyle w:val="ListBullet"/>
      </w:pPr>
      <w:r>
        <w:rPr>
          <w:rFonts w:ascii="Arial" w:hAnsi="Arial"/>
          <w:sz w:val="22"/>
        </w:rPr>
        <w:t>Design the Cencori Scan web UI and report visualizations</w:t>
      </w:r>
    </w:p>
    <w:p>
      <w:pPr>
        <w:pStyle w:val="ListBullet"/>
      </w:pPr>
      <w:r>
        <w:rPr>
          <w:rFonts w:ascii="Arial" w:hAnsi="Arial"/>
          <w:sz w:val="22"/>
        </w:rPr>
        <w:t>Establish and enforce brand guidelines across all touchpoints</w:t>
      </w:r>
    </w:p>
    <w:p>
      <w:pPr>
        <w:pStyle w:val="ListBullet"/>
      </w:pPr>
      <w:r>
        <w:rPr>
          <w:rFonts w:ascii="Arial" w:hAnsi="Arial"/>
          <w:sz w:val="22"/>
        </w:rPr>
        <w:t>Produce visual assets for pitch decks, social media, and investor materials</w:t>
      </w:r>
    </w:p>
    <w:p>
      <w:pPr>
        <w:pStyle w:val="ListBullet"/>
      </w:pPr>
      <w:r>
        <w:rPr>
          <w:rFonts w:ascii="Arial" w:hAnsi="Arial"/>
          <w:sz w:val="22"/>
        </w:rPr>
        <w:t>Conduct UX research and usability testing with builders</w:t>
      </w:r>
    </w:p>
    <w:p>
      <w:pPr>
        <w:pStyle w:val="ListBullet"/>
      </w:pPr>
      <w:r>
        <w:rPr>
          <w:rFonts w:ascii="Arial" w:hAnsi="Arial"/>
          <w:sz w:val="22"/>
        </w:rPr>
        <w:t>Ensure accessibility compliance (WCAG 2.1 AA minimum)</w:t>
      </w:r>
    </w:p>
    <w:p>
      <w:pPr>
        <w:pStyle w:val="Heading2"/>
      </w:pPr>
      <w:r>
        <w:t>Key Performance Indicators</w:t>
      </w:r>
    </w:p>
    <w:tbl>
      <w:tblPr>
        <w:tblW w:type="auto" w:w="0"/>
        <w:jc w:val="center"/>
        <w:tblLayout w:type="fixed"/>
        <w:tblLook w:firstColumn="1" w:firstRow="1" w:lastColumn="0" w:lastRow="0" w:noHBand="0" w:noVBand="1" w:val="04A0"/>
      </w:tblPr>
      <w:tblGrid>
        <w:gridCol w:w="4680"/>
        <w:gridCol w:w="4680"/>
      </w:tblGrid>
      <w:tr>
        <w:tc>
          <w:tcPr>
            <w:tcW w:type="dxa" w:w="5040"/>
            <w:shd w:fill="1A1A2E"/>
          </w:tcPr>
          <w:p>
            <w:pPr>
              <w:jc w:val="left"/>
            </w:pPr>
            <w:r/>
            <w:r>
              <w:rPr>
                <w:rFonts w:ascii="Arial" w:hAnsi="Arial"/>
                <w:b/>
                <w:color w:val="FFFFFF"/>
                <w:sz w:val="20"/>
              </w:rPr>
              <w:t>Metric</w:t>
            </w:r>
          </w:p>
        </w:tc>
        <w:tc>
          <w:tcPr>
            <w:tcW w:type="dxa" w:w="4320"/>
            <w:shd w:fill="1A1A2E"/>
          </w:tcPr>
          <w:p>
            <w:pPr>
              <w:jc w:val="left"/>
            </w:pPr>
            <w:r/>
            <w:r>
              <w:rPr>
                <w:rFonts w:ascii="Arial" w:hAnsi="Arial"/>
                <w:b/>
                <w:color w:val="FFFFFF"/>
                <w:sz w:val="20"/>
              </w:rPr>
              <w:t>Target</w:t>
            </w:r>
          </w:p>
        </w:tc>
      </w:tr>
      <w:tr>
        <w:tc>
          <w:tcPr>
            <w:tcW w:type="dxa" w:w="5040"/>
          </w:tcPr>
          <w:p>
            <w:r/>
            <w:r>
              <w:rPr>
                <w:rFonts w:ascii="Arial" w:hAnsi="Arial"/>
                <w:sz w:val="20"/>
              </w:rPr>
              <w:t>Design System Coverage</w:t>
            </w:r>
          </w:p>
        </w:tc>
        <w:tc>
          <w:tcPr>
            <w:tcW w:type="dxa" w:w="4320"/>
          </w:tcPr>
          <w:p>
            <w:r/>
            <w:r>
              <w:rPr>
                <w:rFonts w:ascii="Arial" w:hAnsi="Arial"/>
                <w:sz w:val="20"/>
              </w:rPr>
              <w:t>100% of shipped components documented</w:t>
            </w:r>
          </w:p>
        </w:tc>
      </w:tr>
      <w:tr>
        <w:tc>
          <w:tcPr>
            <w:tcW w:type="dxa" w:w="5040"/>
            <w:shd w:fill="F5F5F5"/>
          </w:tcPr>
          <w:p>
            <w:r/>
            <w:r>
              <w:rPr>
                <w:rFonts w:ascii="Arial" w:hAnsi="Arial"/>
                <w:sz w:val="20"/>
              </w:rPr>
              <w:t>Time-to-First-Value (UX)</w:t>
            </w:r>
          </w:p>
        </w:tc>
        <w:tc>
          <w:tcPr>
            <w:tcW w:type="dxa" w:w="4320"/>
            <w:shd w:fill="F5F5F5"/>
          </w:tcPr>
          <w:p>
            <w:r/>
            <w:r>
              <w:rPr>
                <w:rFonts w:ascii="Arial" w:hAnsi="Arial"/>
                <w:sz w:val="20"/>
              </w:rPr>
              <w:t>&lt; 5 min from signup to first API call</w:t>
            </w:r>
          </w:p>
        </w:tc>
      </w:tr>
      <w:tr>
        <w:tc>
          <w:tcPr>
            <w:tcW w:type="dxa" w:w="5040"/>
          </w:tcPr>
          <w:p>
            <w:r/>
            <w:r>
              <w:rPr>
                <w:rFonts w:ascii="Arial" w:hAnsi="Arial"/>
                <w:sz w:val="20"/>
              </w:rPr>
              <w:t>Accessibility Score</w:t>
            </w:r>
          </w:p>
        </w:tc>
        <w:tc>
          <w:tcPr>
            <w:tcW w:type="dxa" w:w="4320"/>
          </w:tcPr>
          <w:p>
            <w:r/>
            <w:r>
              <w:rPr>
                <w:rFonts w:ascii="Arial" w:hAnsi="Arial"/>
                <w:sz w:val="20"/>
              </w:rPr>
              <w:t>WCAG 2.1 AA on all pages</w:t>
            </w:r>
          </w:p>
        </w:tc>
      </w:tr>
      <w:tr>
        <w:tc>
          <w:tcPr>
            <w:tcW w:type="dxa" w:w="5040"/>
            <w:shd w:fill="F5F5F5"/>
          </w:tcPr>
          <w:p>
            <w:r/>
            <w:r>
              <w:rPr>
                <w:rFonts w:ascii="Arial" w:hAnsi="Arial"/>
                <w:sz w:val="20"/>
              </w:rPr>
              <w:t>Brand Consistency</w:t>
            </w:r>
          </w:p>
        </w:tc>
        <w:tc>
          <w:tcPr>
            <w:tcW w:type="dxa" w:w="4320"/>
            <w:shd w:fill="F5F5F5"/>
          </w:tcPr>
          <w:p>
            <w:r/>
            <w:r>
              <w:rPr>
                <w:rFonts w:ascii="Arial" w:hAnsi="Arial"/>
                <w:sz w:val="20"/>
              </w:rPr>
              <w:t>100% adherence to brand guidelines</w:t>
            </w:r>
          </w:p>
        </w:tc>
      </w:tr>
      <w:tr>
        <w:tc>
          <w:tcPr>
            <w:tcW w:type="dxa" w:w="5040"/>
          </w:tcPr>
          <w:p>
            <w:r/>
            <w:r>
              <w:rPr>
                <w:rFonts w:ascii="Arial" w:hAnsi="Arial"/>
                <w:sz w:val="20"/>
              </w:rPr>
              <w:t>Design Turnaround</w:t>
            </w:r>
          </w:p>
        </w:tc>
        <w:tc>
          <w:tcPr>
            <w:tcW w:type="dxa" w:w="4320"/>
          </w:tcPr>
          <w:p>
            <w:r/>
            <w:r>
              <w:rPr>
                <w:rFonts w:ascii="Arial" w:hAnsi="Arial"/>
                <w:sz w:val="20"/>
              </w:rPr>
              <w:t>&lt; 48h for standard requests</w:t>
            </w:r>
          </w:p>
        </w:tc>
      </w:tr>
    </w:tbl>
    <w:p/>
    <w:p>
      <w:pPr>
        <w:pStyle w:val="Heading2"/>
      </w:pPr>
      <w:r>
        <w:t>Cross-Functional Interfaces</w:t>
      </w:r>
    </w:p>
    <w:p>
      <w:r>
        <w:rPr>
          <w:rFonts w:ascii="Arial" w:hAnsi="Arial"/>
          <w:sz w:val="22"/>
        </w:rPr>
        <w:t>Embedded with Product &amp; Engineering on all feature work. Supports Growth with marketing assets, landing page design, and pitch materials. Collaborates with Operations on internal tooling UX.</w:t>
      </w:r>
    </w:p>
    <w:p>
      <w:pPr>
        <w:pStyle w:val="Heading2"/>
      </w:pPr>
      <w:r>
        <w:t>Current Focus (Phase 5)</w:t>
      </w:r>
    </w:p>
    <w:p>
      <w:r>
        <w:rPr>
          <w:rFonts w:ascii="Arial" w:hAnsi="Arial"/>
          <w:sz w:val="22"/>
        </w:rPr>
        <w:t>Design system v2 refinement, Scan dashboard UX, unified primitive product pages, pitch deck visuals.</w:t>
      </w:r>
    </w:p>
    <w:p>
      <w:r>
        <w:br w:type="page"/>
      </w:r>
    </w:p>
    <w:p>
      <w:pPr>
        <w:pStyle w:val="Heading1"/>
      </w:pPr>
      <w:r>
        <w:t>7. Department Charter: Growth (Marketing &amp; Sales)</w:t>
      </w:r>
    </w:p>
    <w:p>
      <w:r>
        <w:rPr>
          <w:rFonts w:ascii="Arial" w:hAnsi="Arial"/>
          <w:i/>
          <w:color w:val="3B82F6"/>
          <w:sz w:val="26"/>
        </w:rPr>
        <w:t>Get the grid into every builder’s hands.</w:t>
      </w:r>
    </w:p>
    <w:p>
      <w:pPr>
        <w:pStyle w:val="Heading2"/>
      </w:pPr>
      <w:r>
        <w:t>Mission</w:t>
      </w:r>
    </w:p>
    <w:p>
      <w:r>
        <w:rPr>
          <w:rFonts w:ascii="Arial" w:hAnsi="Arial"/>
          <w:sz w:val="22"/>
        </w:rPr>
        <w:t>Acquire builders, drive product adoption, build Cencori’s brand as the default AI infrastructure layer, and generate sustainable revenue. Growth owns the entire funnel from awareness to conversion to expansion.</w:t>
      </w:r>
    </w:p>
    <w:p>
      <w:pPr>
        <w:pStyle w:val="Heading2"/>
      </w:pPr>
      <w:r>
        <w:t>Core Responsibilities</w:t>
      </w:r>
    </w:p>
    <w:p>
      <w:pPr>
        <w:pStyle w:val="ListBullet"/>
      </w:pPr>
      <w:r>
        <w:rPr>
          <w:rFonts w:ascii="Arial" w:hAnsi="Arial"/>
          <w:sz w:val="22"/>
        </w:rPr>
        <w:t>Own developer marketing: content, community, social media, developer relations</w:t>
      </w:r>
    </w:p>
    <w:p>
      <w:pPr>
        <w:pStyle w:val="ListBullet"/>
      </w:pPr>
      <w:r>
        <w:rPr>
          <w:rFonts w:ascii="Arial" w:hAnsi="Arial"/>
          <w:sz w:val="22"/>
        </w:rPr>
        <w:t>Drive top-of-funnel awareness through blog posts, technical content, and thought leadership</w:t>
      </w:r>
    </w:p>
    <w:p>
      <w:pPr>
        <w:pStyle w:val="ListBullet"/>
      </w:pPr>
      <w:r>
        <w:rPr>
          <w:rFonts w:ascii="Arial" w:hAnsi="Arial"/>
          <w:sz w:val="22"/>
        </w:rPr>
        <w:t>Manage the Cencori Scan acquisition funnel (free CLI → web dashboard → Gateway upsell)</w:t>
      </w:r>
    </w:p>
    <w:p>
      <w:pPr>
        <w:pStyle w:val="ListBullet"/>
      </w:pPr>
      <w:r>
        <w:rPr>
          <w:rFonts w:ascii="Arial" w:hAnsi="Arial"/>
          <w:sz w:val="22"/>
        </w:rPr>
        <w:t>Build and execute the land-and-expand revenue strategy (free → credits → team → enterprise)</w:t>
      </w:r>
    </w:p>
    <w:p>
      <w:pPr>
        <w:pStyle w:val="ListBullet"/>
      </w:pPr>
      <w:r>
        <w:rPr>
          <w:rFonts w:ascii="Arial" w:hAnsi="Arial"/>
          <w:sz w:val="22"/>
        </w:rPr>
        <w:t>Own the pricing strategy, packaging, and competitive positioning</w:t>
      </w:r>
    </w:p>
    <w:p>
      <w:pPr>
        <w:pStyle w:val="ListBullet"/>
      </w:pPr>
      <w:r>
        <w:rPr>
          <w:rFonts w:ascii="Arial" w:hAnsi="Arial"/>
          <w:sz w:val="22"/>
        </w:rPr>
        <w:t>Manage partnerships and integrations with developer tool ecosystems</w:t>
      </w:r>
    </w:p>
    <w:p>
      <w:pPr>
        <w:pStyle w:val="ListBullet"/>
      </w:pPr>
      <w:r>
        <w:rPr>
          <w:rFonts w:ascii="Arial" w:hAnsi="Arial"/>
          <w:sz w:val="22"/>
        </w:rPr>
        <w:t>Run events, webinars, and community engagement programs</w:t>
      </w:r>
    </w:p>
    <w:p>
      <w:pPr>
        <w:pStyle w:val="ListBullet"/>
      </w:pPr>
      <w:r>
        <w:rPr>
          <w:rFonts w:ascii="Arial" w:hAnsi="Arial"/>
          <w:sz w:val="22"/>
        </w:rPr>
        <w:t>Track and optimize conversion metrics across the entire builder journey</w:t>
      </w:r>
    </w:p>
    <w:p>
      <w:pPr>
        <w:pStyle w:val="ListBullet"/>
      </w:pPr>
      <w:r>
        <w:rPr>
          <w:rFonts w:ascii="Arial" w:hAnsi="Arial"/>
          <w:sz w:val="22"/>
        </w:rPr>
        <w:t>Develop sales materials, case studies, and customer success stories</w:t>
      </w:r>
    </w:p>
    <w:p>
      <w:pPr>
        <w:pStyle w:val="Heading2"/>
      </w:pPr>
      <w:r>
        <w:t>Key Performance Indicators</w:t>
      </w:r>
    </w:p>
    <w:tbl>
      <w:tblPr>
        <w:tblW w:type="auto" w:w="0"/>
        <w:jc w:val="center"/>
        <w:tblLayout w:type="fixed"/>
        <w:tblLook w:firstColumn="1" w:firstRow="1" w:lastColumn="0" w:lastRow="0" w:noHBand="0" w:noVBand="1" w:val="04A0"/>
      </w:tblPr>
      <w:tblGrid>
        <w:gridCol w:w="4680"/>
        <w:gridCol w:w="4680"/>
      </w:tblGrid>
      <w:tr>
        <w:tc>
          <w:tcPr>
            <w:tcW w:type="dxa" w:w="5040"/>
            <w:shd w:fill="1A1A2E"/>
          </w:tcPr>
          <w:p>
            <w:pPr>
              <w:jc w:val="left"/>
            </w:pPr>
            <w:r/>
            <w:r>
              <w:rPr>
                <w:rFonts w:ascii="Arial" w:hAnsi="Arial"/>
                <w:b/>
                <w:color w:val="FFFFFF"/>
                <w:sz w:val="20"/>
              </w:rPr>
              <w:t>Metric</w:t>
            </w:r>
          </w:p>
        </w:tc>
        <w:tc>
          <w:tcPr>
            <w:tcW w:type="dxa" w:w="4320"/>
            <w:shd w:fill="1A1A2E"/>
          </w:tcPr>
          <w:p>
            <w:pPr>
              <w:jc w:val="left"/>
            </w:pPr>
            <w:r/>
            <w:r>
              <w:rPr>
                <w:rFonts w:ascii="Arial" w:hAnsi="Arial"/>
                <w:b/>
                <w:color w:val="FFFFFF"/>
                <w:sz w:val="20"/>
              </w:rPr>
              <w:t>Target</w:t>
            </w:r>
          </w:p>
        </w:tc>
      </w:tr>
      <w:tr>
        <w:tc>
          <w:tcPr>
            <w:tcW w:type="dxa" w:w="5040"/>
          </w:tcPr>
          <w:p>
            <w:r/>
            <w:r>
              <w:rPr>
                <w:rFonts w:ascii="Arial" w:hAnsi="Arial"/>
                <w:sz w:val="20"/>
              </w:rPr>
              <w:t>Monthly Active Projects</w:t>
            </w:r>
          </w:p>
        </w:tc>
        <w:tc>
          <w:tcPr>
            <w:tcW w:type="dxa" w:w="4320"/>
          </w:tcPr>
          <w:p>
            <w:r/>
            <w:r>
              <w:rPr>
                <w:rFonts w:ascii="Arial" w:hAnsi="Arial"/>
                <w:sz w:val="20"/>
              </w:rPr>
              <w:t>Month-over-month growth ≥ 20%</w:t>
            </w:r>
          </w:p>
        </w:tc>
      </w:tr>
      <w:tr>
        <w:tc>
          <w:tcPr>
            <w:tcW w:type="dxa" w:w="5040"/>
            <w:shd w:fill="F5F5F5"/>
          </w:tcPr>
          <w:p>
            <w:r/>
            <w:r>
              <w:rPr>
                <w:rFonts w:ascii="Arial" w:hAnsi="Arial"/>
                <w:sz w:val="20"/>
              </w:rPr>
              <w:t>Scan CLI Downloads</w:t>
            </w:r>
          </w:p>
        </w:tc>
        <w:tc>
          <w:tcPr>
            <w:tcW w:type="dxa" w:w="4320"/>
            <w:shd w:fill="F5F5F5"/>
          </w:tcPr>
          <w:p>
            <w:r/>
            <w:r>
              <w:rPr>
                <w:rFonts w:ascii="Arial" w:hAnsi="Arial"/>
                <w:sz w:val="20"/>
              </w:rPr>
              <w:t>Month-over-month growth</w:t>
            </w:r>
          </w:p>
        </w:tc>
      </w:tr>
      <w:tr>
        <w:tc>
          <w:tcPr>
            <w:tcW w:type="dxa" w:w="5040"/>
          </w:tcPr>
          <w:p>
            <w:r/>
            <w:r>
              <w:rPr>
                <w:rFonts w:ascii="Arial" w:hAnsi="Arial"/>
                <w:sz w:val="20"/>
              </w:rPr>
              <w:t>Free-to-Paid Conversion</w:t>
            </w:r>
          </w:p>
        </w:tc>
        <w:tc>
          <w:tcPr>
            <w:tcW w:type="dxa" w:w="4320"/>
          </w:tcPr>
          <w:p>
            <w:r/>
            <w:r>
              <w:rPr>
                <w:rFonts w:ascii="Arial" w:hAnsi="Arial"/>
                <w:sz w:val="20"/>
              </w:rPr>
              <w:t>≥ 5% within 30 days</w:t>
            </w:r>
          </w:p>
        </w:tc>
      </w:tr>
      <w:tr>
        <w:tc>
          <w:tcPr>
            <w:tcW w:type="dxa" w:w="5040"/>
            <w:shd w:fill="F5F5F5"/>
          </w:tcPr>
          <w:p>
            <w:r/>
            <w:r>
              <w:rPr>
                <w:rFonts w:ascii="Arial" w:hAnsi="Arial"/>
                <w:sz w:val="20"/>
              </w:rPr>
              <w:t>Monthly Recurring Revenue (MRR)</w:t>
            </w:r>
          </w:p>
        </w:tc>
        <w:tc>
          <w:tcPr>
            <w:tcW w:type="dxa" w:w="4320"/>
            <w:shd w:fill="F5F5F5"/>
          </w:tcPr>
          <w:p>
            <w:r/>
            <w:r>
              <w:rPr>
                <w:rFonts w:ascii="Arial" w:hAnsi="Arial"/>
                <w:sz w:val="20"/>
              </w:rPr>
              <w:t>Track and grow monthly</w:t>
            </w:r>
          </w:p>
        </w:tc>
      </w:tr>
      <w:tr>
        <w:tc>
          <w:tcPr>
            <w:tcW w:type="dxa" w:w="5040"/>
          </w:tcPr>
          <w:p>
            <w:r/>
            <w:r>
              <w:rPr>
                <w:rFonts w:ascii="Arial" w:hAnsi="Arial"/>
                <w:sz w:val="20"/>
              </w:rPr>
              <w:t>Content Output</w:t>
            </w:r>
          </w:p>
        </w:tc>
        <w:tc>
          <w:tcPr>
            <w:tcW w:type="dxa" w:w="4320"/>
          </w:tcPr>
          <w:p>
            <w:r/>
            <w:r>
              <w:rPr>
                <w:rFonts w:ascii="Arial" w:hAnsi="Arial"/>
                <w:sz w:val="20"/>
              </w:rPr>
              <w:t>≥ 4 technical blog posts per month</w:t>
            </w:r>
          </w:p>
        </w:tc>
      </w:tr>
      <w:tr>
        <w:tc>
          <w:tcPr>
            <w:tcW w:type="dxa" w:w="5040"/>
            <w:shd w:fill="F5F5F5"/>
          </w:tcPr>
          <w:p>
            <w:r/>
            <w:r>
              <w:rPr>
                <w:rFonts w:ascii="Arial" w:hAnsi="Arial"/>
                <w:sz w:val="20"/>
              </w:rPr>
              <w:t>Community Size</w:t>
            </w:r>
          </w:p>
        </w:tc>
        <w:tc>
          <w:tcPr>
            <w:tcW w:type="dxa" w:w="4320"/>
            <w:shd w:fill="F5F5F5"/>
          </w:tcPr>
          <w:p>
            <w:r/>
            <w:r>
              <w:rPr>
                <w:rFonts w:ascii="Arial" w:hAnsi="Arial"/>
                <w:sz w:val="20"/>
              </w:rPr>
              <w:t>Discord/X followers growth</w:t>
            </w:r>
          </w:p>
        </w:tc>
      </w:tr>
    </w:tbl>
    <w:p/>
    <w:p>
      <w:pPr>
        <w:pStyle w:val="Heading2"/>
      </w:pPr>
      <w:r>
        <w:t>Cross-Functional Interfaces</w:t>
      </w:r>
    </w:p>
    <w:p>
      <w:r>
        <w:rPr>
          <w:rFonts w:ascii="Arial" w:hAnsi="Arial"/>
          <w:sz w:val="22"/>
        </w:rPr>
        <w:t>Works with Product &amp; Engineering on developer experience, onboarding flows, and feature announcements. Collaborates with Design on all marketing assets and brand materials. Coordinates with Finance &amp; Legal on pricing, contracts, and revenue reporting.</w:t>
      </w:r>
    </w:p>
    <w:p>
      <w:pPr>
        <w:pStyle w:val="Heading2"/>
      </w:pPr>
      <w:r>
        <w:t>Current Focus (Phase 5)</w:t>
      </w:r>
    </w:p>
    <w:p>
      <w:r>
        <w:rPr>
          <w:rFonts w:ascii="Arial" w:hAnsi="Arial"/>
          <w:sz w:val="22"/>
        </w:rPr>
        <w:t>Distribution strategy overhaul, developer community building, Scan-to-Gateway conversion optimization, content marketing cadence.</w:t>
      </w:r>
    </w:p>
    <w:p>
      <w:r>
        <w:br w:type="page"/>
      </w:r>
    </w:p>
    <w:p>
      <w:pPr>
        <w:pStyle w:val="Heading1"/>
      </w:pPr>
      <w:r>
        <w:t>8. Department Charter: Finance &amp; Legal</w:t>
      </w:r>
    </w:p>
    <w:p>
      <w:r>
        <w:rPr>
          <w:rFonts w:ascii="Arial" w:hAnsi="Arial"/>
          <w:i/>
          <w:color w:val="3B82F6"/>
          <w:sz w:val="26"/>
        </w:rPr>
        <w:t>Protect the company. Fund the mission.</w:t>
      </w:r>
    </w:p>
    <w:p>
      <w:pPr>
        <w:pStyle w:val="Heading2"/>
      </w:pPr>
      <w:r>
        <w:t>Mission</w:t>
      </w:r>
    </w:p>
    <w:p>
      <w:r>
        <w:rPr>
          <w:rFonts w:ascii="Arial" w:hAnsi="Arial"/>
          <w:sz w:val="22"/>
        </w:rPr>
        <w:t>Ensure Cencori’s financial health, legal compliance, and governance rigor. Finance &amp; Legal exists to protect the company, enable fundraising, and ensure every dollar spent accelerates the mission.</w:t>
      </w:r>
    </w:p>
    <w:p>
      <w:pPr>
        <w:pStyle w:val="Heading2"/>
      </w:pPr>
      <w:r>
        <w:t>Core Responsibilities</w:t>
      </w:r>
    </w:p>
    <w:p>
      <w:pPr>
        <w:pStyle w:val="ListBullet"/>
      </w:pPr>
      <w:r>
        <w:rPr>
          <w:rFonts w:ascii="Arial" w:hAnsi="Arial"/>
          <w:sz w:val="22"/>
        </w:rPr>
        <w:t>Own financial planning, budgeting, and cash flow management</w:t>
      </w:r>
    </w:p>
    <w:p>
      <w:pPr>
        <w:pStyle w:val="ListBullet"/>
      </w:pPr>
      <w:r>
        <w:rPr>
          <w:rFonts w:ascii="Arial" w:hAnsi="Arial"/>
          <w:sz w:val="22"/>
        </w:rPr>
        <w:t>Manage fundraising processes, investor relations, and cap table</w:t>
      </w:r>
    </w:p>
    <w:p>
      <w:pPr>
        <w:pStyle w:val="ListBullet"/>
      </w:pPr>
      <w:r>
        <w:rPr>
          <w:rFonts w:ascii="Arial" w:hAnsi="Arial"/>
          <w:sz w:val="22"/>
        </w:rPr>
        <w:t>Handle billing system oversight (Stripe Connect, Polar, credits system)</w:t>
      </w:r>
    </w:p>
    <w:p>
      <w:pPr>
        <w:pStyle w:val="ListBullet"/>
      </w:pPr>
      <w:r>
        <w:rPr>
          <w:rFonts w:ascii="Arial" w:hAnsi="Arial"/>
          <w:sz w:val="22"/>
        </w:rPr>
        <w:t>Ensure compliance with relevant regulations (EU AI Act, data protection, etc.)</w:t>
      </w:r>
    </w:p>
    <w:p>
      <w:pPr>
        <w:pStyle w:val="ListBullet"/>
      </w:pPr>
      <w:r>
        <w:rPr>
          <w:rFonts w:ascii="Arial" w:hAnsi="Arial"/>
          <w:sz w:val="22"/>
        </w:rPr>
        <w:t>Draft and review contracts, terms of service, privacy policy, and SLAs</w:t>
      </w:r>
    </w:p>
    <w:p>
      <w:pPr>
        <w:pStyle w:val="ListBullet"/>
      </w:pPr>
      <w:r>
        <w:rPr>
          <w:rFonts w:ascii="Arial" w:hAnsi="Arial"/>
          <w:sz w:val="22"/>
        </w:rPr>
        <w:t>Manage intellectual property protection (trademarks, patents, trade secrets)</w:t>
      </w:r>
    </w:p>
    <w:p>
      <w:pPr>
        <w:pStyle w:val="ListBullet"/>
      </w:pPr>
      <w:r>
        <w:rPr>
          <w:rFonts w:ascii="Arial" w:hAnsi="Arial"/>
          <w:sz w:val="22"/>
        </w:rPr>
        <w:t>Oversee tax compliance and corporate governance</w:t>
      </w:r>
    </w:p>
    <w:p>
      <w:pPr>
        <w:pStyle w:val="ListBullet"/>
      </w:pPr>
      <w:r>
        <w:rPr>
          <w:rFonts w:ascii="Arial" w:hAnsi="Arial"/>
          <w:sz w:val="22"/>
        </w:rPr>
        <w:t>Produce financial reports for investors and internal stakeholders</w:t>
      </w:r>
    </w:p>
    <w:p>
      <w:pPr>
        <w:pStyle w:val="ListBullet"/>
      </w:pPr>
      <w:r>
        <w:rPr>
          <w:rFonts w:ascii="Arial" w:hAnsi="Arial"/>
          <w:sz w:val="22"/>
        </w:rPr>
        <w:t>Manage vendor contracts and procurement</w:t>
      </w:r>
    </w:p>
    <w:p>
      <w:pPr>
        <w:pStyle w:val="Heading2"/>
      </w:pPr>
      <w:r>
        <w:t>Key Performance Indicators</w:t>
      </w:r>
    </w:p>
    <w:tbl>
      <w:tblPr>
        <w:tblW w:type="auto" w:w="0"/>
        <w:jc w:val="center"/>
        <w:tblLayout w:type="fixed"/>
        <w:tblLook w:firstColumn="1" w:firstRow="1" w:lastColumn="0" w:lastRow="0" w:noHBand="0" w:noVBand="1" w:val="04A0"/>
      </w:tblPr>
      <w:tblGrid>
        <w:gridCol w:w="4680"/>
        <w:gridCol w:w="4680"/>
      </w:tblGrid>
      <w:tr>
        <w:tc>
          <w:tcPr>
            <w:tcW w:type="dxa" w:w="5040"/>
            <w:shd w:fill="1A1A2E"/>
          </w:tcPr>
          <w:p>
            <w:pPr>
              <w:jc w:val="left"/>
            </w:pPr>
            <w:r/>
            <w:r>
              <w:rPr>
                <w:rFonts w:ascii="Arial" w:hAnsi="Arial"/>
                <w:b/>
                <w:color w:val="FFFFFF"/>
                <w:sz w:val="20"/>
              </w:rPr>
              <w:t>Metric</w:t>
            </w:r>
          </w:p>
        </w:tc>
        <w:tc>
          <w:tcPr>
            <w:tcW w:type="dxa" w:w="4320"/>
            <w:shd w:fill="1A1A2E"/>
          </w:tcPr>
          <w:p>
            <w:pPr>
              <w:jc w:val="left"/>
            </w:pPr>
            <w:r/>
            <w:r>
              <w:rPr>
                <w:rFonts w:ascii="Arial" w:hAnsi="Arial"/>
                <w:b/>
                <w:color w:val="FFFFFF"/>
                <w:sz w:val="20"/>
              </w:rPr>
              <w:t>Target</w:t>
            </w:r>
          </w:p>
        </w:tc>
      </w:tr>
      <w:tr>
        <w:tc>
          <w:tcPr>
            <w:tcW w:type="dxa" w:w="5040"/>
          </w:tcPr>
          <w:p>
            <w:r/>
            <w:r>
              <w:rPr>
                <w:rFonts w:ascii="Arial" w:hAnsi="Arial"/>
                <w:sz w:val="20"/>
              </w:rPr>
              <w:t>Runway</w:t>
            </w:r>
          </w:p>
        </w:tc>
        <w:tc>
          <w:tcPr>
            <w:tcW w:type="dxa" w:w="4320"/>
          </w:tcPr>
          <w:p>
            <w:r/>
            <w:r>
              <w:rPr>
                <w:rFonts w:ascii="Arial" w:hAnsi="Arial"/>
                <w:sz w:val="20"/>
              </w:rPr>
              <w:t>≥ 12 months at current burn rate</w:t>
            </w:r>
          </w:p>
        </w:tc>
      </w:tr>
      <w:tr>
        <w:tc>
          <w:tcPr>
            <w:tcW w:type="dxa" w:w="5040"/>
            <w:shd w:fill="F5F5F5"/>
          </w:tcPr>
          <w:p>
            <w:r/>
            <w:r>
              <w:rPr>
                <w:rFonts w:ascii="Arial" w:hAnsi="Arial"/>
                <w:sz w:val="20"/>
              </w:rPr>
              <w:t>Burn Rate</w:t>
            </w:r>
          </w:p>
        </w:tc>
        <w:tc>
          <w:tcPr>
            <w:tcW w:type="dxa" w:w="4320"/>
            <w:shd w:fill="F5F5F5"/>
          </w:tcPr>
          <w:p>
            <w:r/>
            <w:r>
              <w:rPr>
                <w:rFonts w:ascii="Arial" w:hAnsi="Arial"/>
                <w:sz w:val="20"/>
              </w:rPr>
              <w:t>Track and optimize monthly</w:t>
            </w:r>
          </w:p>
        </w:tc>
      </w:tr>
      <w:tr>
        <w:tc>
          <w:tcPr>
            <w:tcW w:type="dxa" w:w="5040"/>
          </w:tcPr>
          <w:p>
            <w:r/>
            <w:r>
              <w:rPr>
                <w:rFonts w:ascii="Arial" w:hAnsi="Arial"/>
                <w:sz w:val="20"/>
              </w:rPr>
              <w:t>Revenue Collection Rate</w:t>
            </w:r>
          </w:p>
        </w:tc>
        <w:tc>
          <w:tcPr>
            <w:tcW w:type="dxa" w:w="4320"/>
          </w:tcPr>
          <w:p>
            <w:r/>
            <w:r>
              <w:rPr>
                <w:rFonts w:ascii="Arial" w:hAnsi="Arial"/>
                <w:sz w:val="20"/>
              </w:rPr>
              <w:t>≥ 95% on time</w:t>
            </w:r>
          </w:p>
        </w:tc>
      </w:tr>
      <w:tr>
        <w:tc>
          <w:tcPr>
            <w:tcW w:type="dxa" w:w="5040"/>
            <w:shd w:fill="F5F5F5"/>
          </w:tcPr>
          <w:p>
            <w:r/>
            <w:r>
              <w:rPr>
                <w:rFonts w:ascii="Arial" w:hAnsi="Arial"/>
                <w:sz w:val="20"/>
              </w:rPr>
              <w:t>Contract Turnaround</w:t>
            </w:r>
          </w:p>
        </w:tc>
        <w:tc>
          <w:tcPr>
            <w:tcW w:type="dxa" w:w="4320"/>
            <w:shd w:fill="F5F5F5"/>
          </w:tcPr>
          <w:p>
            <w:r/>
            <w:r>
              <w:rPr>
                <w:rFonts w:ascii="Arial" w:hAnsi="Arial"/>
                <w:sz w:val="20"/>
              </w:rPr>
              <w:t>&lt; 5 business days for standard agreements</w:t>
            </w:r>
          </w:p>
        </w:tc>
      </w:tr>
      <w:tr>
        <w:tc>
          <w:tcPr>
            <w:tcW w:type="dxa" w:w="5040"/>
          </w:tcPr>
          <w:p>
            <w:r/>
            <w:r>
              <w:rPr>
                <w:rFonts w:ascii="Arial" w:hAnsi="Arial"/>
                <w:sz w:val="20"/>
              </w:rPr>
              <w:t>Compliance Audit</w:t>
            </w:r>
          </w:p>
        </w:tc>
        <w:tc>
          <w:tcPr>
            <w:tcW w:type="dxa" w:w="4320"/>
          </w:tcPr>
          <w:p>
            <w:r/>
            <w:r>
              <w:rPr>
                <w:rFonts w:ascii="Arial" w:hAnsi="Arial"/>
                <w:sz w:val="20"/>
              </w:rPr>
              <w:t>Zero critical findings</w:t>
            </w:r>
          </w:p>
        </w:tc>
      </w:tr>
      <w:tr>
        <w:tc>
          <w:tcPr>
            <w:tcW w:type="dxa" w:w="5040"/>
            <w:shd w:fill="F5F5F5"/>
          </w:tcPr>
          <w:p>
            <w:r/>
            <w:r>
              <w:rPr>
                <w:rFonts w:ascii="Arial" w:hAnsi="Arial"/>
                <w:sz w:val="20"/>
              </w:rPr>
              <w:t>Financial Reporting</w:t>
            </w:r>
          </w:p>
        </w:tc>
        <w:tc>
          <w:tcPr>
            <w:tcW w:type="dxa" w:w="4320"/>
            <w:shd w:fill="F5F5F5"/>
          </w:tcPr>
          <w:p>
            <w:r/>
            <w:r>
              <w:rPr>
                <w:rFonts w:ascii="Arial" w:hAnsi="Arial"/>
                <w:sz w:val="20"/>
              </w:rPr>
              <w:t>Monthly close within 10 business days</w:t>
            </w:r>
          </w:p>
        </w:tc>
      </w:tr>
    </w:tbl>
    <w:p/>
    <w:p>
      <w:pPr>
        <w:pStyle w:val="Heading2"/>
      </w:pPr>
      <w:r>
        <w:t>Cross-Functional Interfaces</w:t>
      </w:r>
    </w:p>
    <w:p>
      <w:r>
        <w:rPr>
          <w:rFonts w:ascii="Arial" w:hAnsi="Arial"/>
          <w:sz w:val="22"/>
        </w:rPr>
        <w:t>Supports all departments on budget requests and vendor procurement. Works with Product &amp; Engineering on compliance requirements (EU AI Act, SOC 2). Coordinates with Growth on pricing strategy and revenue recognition. Collaborates with Operations on hiring budgets and compensation.</w:t>
      </w:r>
    </w:p>
    <w:p>
      <w:pPr>
        <w:pStyle w:val="Heading2"/>
      </w:pPr>
      <w:r>
        <w:t>Current Focus (Phase 5)</w:t>
      </w:r>
    </w:p>
    <w:p>
      <w:r>
        <w:rPr>
          <w:rFonts w:ascii="Arial" w:hAnsi="Arial"/>
          <w:sz w:val="22"/>
        </w:rPr>
        <w:t>Fundraising preparation, financial model refinement, terms of service and privacy policy updates, EU AI Act compliance assessment.</w:t>
      </w:r>
    </w:p>
    <w:p>
      <w:r>
        <w:br w:type="page"/>
      </w:r>
    </w:p>
    <w:p>
      <w:pPr>
        <w:pStyle w:val="Heading1"/>
      </w:pPr>
      <w:r>
        <w:t>9. Department Charter: Operations</w:t>
      </w:r>
    </w:p>
    <w:p>
      <w:r>
        <w:rPr>
          <w:rFonts w:ascii="Arial" w:hAnsi="Arial"/>
          <w:i/>
          <w:color w:val="3B82F6"/>
          <w:sz w:val="26"/>
        </w:rPr>
        <w:t>Make everything else work.</w:t>
      </w:r>
    </w:p>
    <w:p>
      <w:pPr>
        <w:pStyle w:val="Heading2"/>
      </w:pPr>
      <w:r>
        <w:t>Mission</w:t>
      </w:r>
    </w:p>
    <w:p>
      <w:r>
        <w:rPr>
          <w:rFonts w:ascii="Arial" w:hAnsi="Arial"/>
          <w:sz w:val="22"/>
        </w:rPr>
        <w:t>Build and maintain the internal systems, processes, and culture that enable every other department to operate at peak performance. Operations is the invisible infrastructure of the company itself — just as Cencori is the invisible infrastructure for AI.</w:t>
      </w:r>
    </w:p>
    <w:p>
      <w:pPr>
        <w:pStyle w:val="Heading2"/>
      </w:pPr>
      <w:r>
        <w:t>Core Responsibilities</w:t>
      </w:r>
    </w:p>
    <w:p>
      <w:pPr>
        <w:pStyle w:val="ListBullet"/>
      </w:pPr>
      <w:r>
        <w:rPr>
          <w:rFonts w:ascii="Arial" w:hAnsi="Arial"/>
          <w:sz w:val="22"/>
        </w:rPr>
        <w:t>Own hiring pipeline: sourcing, interviewing, onboarding, and retention</w:t>
      </w:r>
    </w:p>
    <w:p>
      <w:pPr>
        <w:pStyle w:val="ListBullet"/>
      </w:pPr>
      <w:r>
        <w:rPr>
          <w:rFonts w:ascii="Arial" w:hAnsi="Arial"/>
          <w:sz w:val="22"/>
        </w:rPr>
        <w:t>Design and maintain internal processes and SOPs</w:t>
      </w:r>
    </w:p>
    <w:p>
      <w:pPr>
        <w:pStyle w:val="ListBullet"/>
      </w:pPr>
      <w:r>
        <w:rPr>
          <w:rFonts w:ascii="Arial" w:hAnsi="Arial"/>
          <w:sz w:val="22"/>
        </w:rPr>
        <w:t>Manage internal tooling (project management, communication, documentation)</w:t>
      </w:r>
    </w:p>
    <w:p>
      <w:pPr>
        <w:pStyle w:val="ListBullet"/>
      </w:pPr>
      <w:r>
        <w:rPr>
          <w:rFonts w:ascii="Arial" w:hAnsi="Arial"/>
          <w:sz w:val="22"/>
        </w:rPr>
        <w:t>Drive organizational culture, team rituals, and communication norms</w:t>
      </w:r>
    </w:p>
    <w:p>
      <w:pPr>
        <w:pStyle w:val="ListBullet"/>
      </w:pPr>
      <w:r>
        <w:rPr>
          <w:rFonts w:ascii="Arial" w:hAnsi="Arial"/>
          <w:sz w:val="22"/>
        </w:rPr>
        <w:t>Own vendor relationships for internal tools and services</w:t>
      </w:r>
    </w:p>
    <w:p>
      <w:pPr>
        <w:pStyle w:val="ListBullet"/>
      </w:pPr>
      <w:r>
        <w:rPr>
          <w:rFonts w:ascii="Arial" w:hAnsi="Arial"/>
          <w:sz w:val="22"/>
        </w:rPr>
        <w:t>Manage company-wide OKR/KPI tracking and reporting</w:t>
      </w:r>
    </w:p>
    <w:p>
      <w:pPr>
        <w:pStyle w:val="ListBullet"/>
      </w:pPr>
      <w:r>
        <w:rPr>
          <w:rFonts w:ascii="Arial" w:hAnsi="Arial"/>
          <w:sz w:val="22"/>
        </w:rPr>
        <w:t>Handle administrative tasks: scheduling, logistics, travel</w:t>
      </w:r>
    </w:p>
    <w:p>
      <w:pPr>
        <w:pStyle w:val="ListBullet"/>
      </w:pPr>
      <w:r>
        <w:rPr>
          <w:rFonts w:ascii="Arial" w:hAnsi="Arial"/>
          <w:sz w:val="22"/>
        </w:rPr>
        <w:t>Support cross-departmental coordination and conflict resolution</w:t>
      </w:r>
    </w:p>
    <w:p>
      <w:pPr>
        <w:pStyle w:val="ListBullet"/>
      </w:pPr>
      <w:r>
        <w:rPr>
          <w:rFonts w:ascii="Arial" w:hAnsi="Arial"/>
          <w:sz w:val="22"/>
        </w:rPr>
        <w:t>Maintain organizational documentation and knowledge base</w:t>
      </w:r>
    </w:p>
    <w:p>
      <w:pPr>
        <w:pStyle w:val="Heading2"/>
      </w:pPr>
      <w:r>
        <w:t>Key Performance Indicators</w:t>
      </w:r>
    </w:p>
    <w:tbl>
      <w:tblPr>
        <w:tblW w:type="auto" w:w="0"/>
        <w:jc w:val="center"/>
        <w:tblLayout w:type="fixed"/>
        <w:tblLook w:firstColumn="1" w:firstRow="1" w:lastColumn="0" w:lastRow="0" w:noHBand="0" w:noVBand="1" w:val="04A0"/>
      </w:tblPr>
      <w:tblGrid>
        <w:gridCol w:w="4680"/>
        <w:gridCol w:w="4680"/>
      </w:tblGrid>
      <w:tr>
        <w:tc>
          <w:tcPr>
            <w:tcW w:type="dxa" w:w="5040"/>
            <w:shd w:fill="1A1A2E"/>
          </w:tcPr>
          <w:p>
            <w:pPr>
              <w:jc w:val="left"/>
            </w:pPr>
            <w:r/>
            <w:r>
              <w:rPr>
                <w:rFonts w:ascii="Arial" w:hAnsi="Arial"/>
                <w:b/>
                <w:color w:val="FFFFFF"/>
                <w:sz w:val="20"/>
              </w:rPr>
              <w:t>Metric</w:t>
            </w:r>
          </w:p>
        </w:tc>
        <w:tc>
          <w:tcPr>
            <w:tcW w:type="dxa" w:w="4320"/>
            <w:shd w:fill="1A1A2E"/>
          </w:tcPr>
          <w:p>
            <w:pPr>
              <w:jc w:val="left"/>
            </w:pPr>
            <w:r/>
            <w:r>
              <w:rPr>
                <w:rFonts w:ascii="Arial" w:hAnsi="Arial"/>
                <w:b/>
                <w:color w:val="FFFFFF"/>
                <w:sz w:val="20"/>
              </w:rPr>
              <w:t>Target</w:t>
            </w:r>
          </w:p>
        </w:tc>
      </w:tr>
      <w:tr>
        <w:tc>
          <w:tcPr>
            <w:tcW w:type="dxa" w:w="5040"/>
          </w:tcPr>
          <w:p>
            <w:r/>
            <w:r>
              <w:rPr>
                <w:rFonts w:ascii="Arial" w:hAnsi="Arial"/>
                <w:sz w:val="20"/>
              </w:rPr>
              <w:t>Hiring Pipeline</w:t>
            </w:r>
          </w:p>
        </w:tc>
        <w:tc>
          <w:tcPr>
            <w:tcW w:type="dxa" w:w="4320"/>
          </w:tcPr>
          <w:p>
            <w:r/>
            <w:r>
              <w:rPr>
                <w:rFonts w:ascii="Arial" w:hAnsi="Arial"/>
                <w:sz w:val="20"/>
              </w:rPr>
              <w:t>Time-to-fill &lt; 30 days for priority roles</w:t>
            </w:r>
          </w:p>
        </w:tc>
      </w:tr>
      <w:tr>
        <w:tc>
          <w:tcPr>
            <w:tcW w:type="dxa" w:w="5040"/>
            <w:shd w:fill="F5F5F5"/>
          </w:tcPr>
          <w:p>
            <w:r/>
            <w:r>
              <w:rPr>
                <w:rFonts w:ascii="Arial" w:hAnsi="Arial"/>
                <w:sz w:val="20"/>
              </w:rPr>
              <w:t>Onboarding NPS</w:t>
            </w:r>
          </w:p>
        </w:tc>
        <w:tc>
          <w:tcPr>
            <w:tcW w:type="dxa" w:w="4320"/>
            <w:shd w:fill="F5F5F5"/>
          </w:tcPr>
          <w:p>
            <w:r/>
            <w:r>
              <w:rPr>
                <w:rFonts w:ascii="Arial" w:hAnsi="Arial"/>
                <w:sz w:val="20"/>
              </w:rPr>
              <w:t>≥ 8/10 for new team members</w:t>
            </w:r>
          </w:p>
        </w:tc>
      </w:tr>
      <w:tr>
        <w:tc>
          <w:tcPr>
            <w:tcW w:type="dxa" w:w="5040"/>
          </w:tcPr>
          <w:p>
            <w:r/>
            <w:r>
              <w:rPr>
                <w:rFonts w:ascii="Arial" w:hAnsi="Arial"/>
                <w:sz w:val="20"/>
              </w:rPr>
              <w:t>Process Documentation</w:t>
            </w:r>
          </w:p>
        </w:tc>
        <w:tc>
          <w:tcPr>
            <w:tcW w:type="dxa" w:w="4320"/>
          </w:tcPr>
          <w:p>
            <w:r/>
            <w:r>
              <w:rPr>
                <w:rFonts w:ascii="Arial" w:hAnsi="Arial"/>
                <w:sz w:val="20"/>
              </w:rPr>
              <w:t>100% of core processes documented</w:t>
            </w:r>
          </w:p>
        </w:tc>
      </w:tr>
      <w:tr>
        <w:tc>
          <w:tcPr>
            <w:tcW w:type="dxa" w:w="5040"/>
            <w:shd w:fill="F5F5F5"/>
          </w:tcPr>
          <w:p>
            <w:r/>
            <w:r>
              <w:rPr>
                <w:rFonts w:ascii="Arial" w:hAnsi="Arial"/>
                <w:sz w:val="20"/>
              </w:rPr>
              <w:t>Internal Tool Uptime</w:t>
            </w:r>
          </w:p>
        </w:tc>
        <w:tc>
          <w:tcPr>
            <w:tcW w:type="dxa" w:w="4320"/>
            <w:shd w:fill="F5F5F5"/>
          </w:tcPr>
          <w:p>
            <w:r/>
            <w:r>
              <w:rPr>
                <w:rFonts w:ascii="Arial" w:hAnsi="Arial"/>
                <w:sz w:val="20"/>
              </w:rPr>
              <w:t>≥ 99% for critical internal systems</w:t>
            </w:r>
          </w:p>
        </w:tc>
      </w:tr>
      <w:tr>
        <w:tc>
          <w:tcPr>
            <w:tcW w:type="dxa" w:w="5040"/>
          </w:tcPr>
          <w:p>
            <w:r/>
            <w:r>
              <w:rPr>
                <w:rFonts w:ascii="Arial" w:hAnsi="Arial"/>
                <w:sz w:val="20"/>
              </w:rPr>
              <w:t>Team Satisfaction</w:t>
            </w:r>
          </w:p>
        </w:tc>
        <w:tc>
          <w:tcPr>
            <w:tcW w:type="dxa" w:w="4320"/>
          </w:tcPr>
          <w:p>
            <w:r/>
            <w:r>
              <w:rPr>
                <w:rFonts w:ascii="Arial" w:hAnsi="Arial"/>
                <w:sz w:val="20"/>
              </w:rPr>
              <w:t>Quarterly pulse survey ≥ 4/5</w:t>
            </w:r>
          </w:p>
        </w:tc>
      </w:tr>
      <w:tr>
        <w:tc>
          <w:tcPr>
            <w:tcW w:type="dxa" w:w="5040"/>
            <w:shd w:fill="F5F5F5"/>
          </w:tcPr>
          <w:p>
            <w:r/>
            <w:r>
              <w:rPr>
                <w:rFonts w:ascii="Arial" w:hAnsi="Arial"/>
                <w:sz w:val="20"/>
              </w:rPr>
              <w:t>OKR Completion Rate</w:t>
            </w:r>
          </w:p>
        </w:tc>
        <w:tc>
          <w:tcPr>
            <w:tcW w:type="dxa" w:w="4320"/>
            <w:shd w:fill="F5F5F5"/>
          </w:tcPr>
          <w:p>
            <w:r/>
            <w:r>
              <w:rPr>
                <w:rFonts w:ascii="Arial" w:hAnsi="Arial"/>
                <w:sz w:val="20"/>
              </w:rPr>
              <w:t>≥ 70% per quarter</w:t>
            </w:r>
          </w:p>
        </w:tc>
      </w:tr>
    </w:tbl>
    <w:p/>
    <w:p>
      <w:pPr>
        <w:pStyle w:val="Heading2"/>
      </w:pPr>
      <w:r>
        <w:t>Cross-Functional Interfaces</w:t>
      </w:r>
    </w:p>
    <w:p>
      <w:r>
        <w:rPr>
          <w:rFonts w:ascii="Arial" w:hAnsi="Arial"/>
          <w:sz w:val="22"/>
        </w:rPr>
        <w:t>Supports all departments on hiring, tooling, and process needs. Reports to COO on operational efficiency and organizational health. Works with Finance &amp; Legal on compensation, benefits, and compliance. Coordinates with CEO on strategic hiring and organizational design.</w:t>
      </w:r>
    </w:p>
    <w:p>
      <w:pPr>
        <w:pStyle w:val="Heading2"/>
      </w:pPr>
      <w:r>
        <w:t>Current Focus (Phase 5)</w:t>
      </w:r>
    </w:p>
    <w:p>
      <w:r>
        <w:rPr>
          <w:rFonts w:ascii="Arial" w:hAnsi="Arial"/>
          <w:sz w:val="22"/>
        </w:rPr>
        <w:t>Hiring plan for next quarter, internal documentation overhaul, OKR framework rollout, team communication norms.</w:t>
      </w:r>
    </w:p>
    <w:p>
      <w:r>
        <w:br w:type="page"/>
      </w:r>
    </w:p>
    <w:p>
      <w:pPr>
        <w:pStyle w:val="Heading1"/>
      </w:pPr>
      <w:r>
        <w:t>10. Cross-Functional Collaboration Model</w:t>
      </w:r>
    </w:p>
    <w:p>
      <w:r>
        <w:rPr>
          <w:rFonts w:ascii="Arial" w:hAnsi="Arial"/>
          <w:sz w:val="22"/>
        </w:rPr>
        <w:t>At Cencori’s current size, rigid departmental boundaries would be counterproductive. The collaboration model is designed to maintain clarity of ownership while enabling the fluid, fast-paced teamwork that a startup requires.</w:t>
      </w:r>
    </w:p>
    <w:p>
      <w:pPr>
        <w:pStyle w:val="Heading2"/>
      </w:pPr>
      <w:r>
        <w:t>Collaboration Principles</w:t>
      </w:r>
    </w:p>
    <w:p>
      <w:pPr>
        <w:pStyle w:val="ListBullet"/>
      </w:pPr>
      <w:r>
        <w:rPr>
          <w:rFonts w:ascii="Arial" w:hAnsi="Arial"/>
          <w:b/>
          <w:sz w:val="22"/>
        </w:rPr>
        <w:t xml:space="preserve">Own your lane, but look both ways. </w:t>
      </w:r>
      <w:r>
        <w:rPr>
          <w:rFonts w:ascii="Arial" w:hAnsi="Arial"/>
          <w:sz w:val="22"/>
        </w:rPr>
        <w:t>Every department has a clear mandate, but no one ships in isolation. If your work affects another department, loop them in early.</w:t>
      </w:r>
    </w:p>
    <w:p>
      <w:pPr>
        <w:pStyle w:val="ListBullet"/>
      </w:pPr>
      <w:r>
        <w:rPr>
          <w:rFonts w:ascii="Arial" w:hAnsi="Arial"/>
          <w:b/>
          <w:sz w:val="22"/>
        </w:rPr>
        <w:t xml:space="preserve">Default to async, escalate to sync. </w:t>
      </w:r>
      <w:r>
        <w:rPr>
          <w:rFonts w:ascii="Arial" w:hAnsi="Arial"/>
          <w:sz w:val="22"/>
        </w:rPr>
        <w:t>Use written communication (Slack, docs) as the default. Reserve synchronous meetings for decisions that require real-time debate.</w:t>
      </w:r>
    </w:p>
    <w:p>
      <w:pPr>
        <w:pStyle w:val="ListBullet"/>
      </w:pPr>
      <w:r>
        <w:rPr>
          <w:rFonts w:ascii="Arial" w:hAnsi="Arial"/>
          <w:b/>
          <w:sz w:val="22"/>
        </w:rPr>
        <w:t xml:space="preserve">Decisions have owners. </w:t>
      </w:r>
      <w:r>
        <w:rPr>
          <w:rFonts w:ascii="Arial" w:hAnsi="Arial"/>
          <w:sz w:val="22"/>
        </w:rPr>
        <w:t>Every cross-functional decision has a single owner (the DRI — Directly Responsible Individual). The DRI gathers input, makes the call, and communicates the outcome.</w:t>
      </w:r>
    </w:p>
    <w:p>
      <w:pPr>
        <w:pStyle w:val="ListBullet"/>
      </w:pPr>
      <w:r>
        <w:rPr>
          <w:rFonts w:ascii="Arial" w:hAnsi="Arial"/>
          <w:b/>
          <w:sz w:val="22"/>
        </w:rPr>
        <w:t xml:space="preserve">Ship over perfect. </w:t>
      </w:r>
      <w:r>
        <w:rPr>
          <w:rFonts w:ascii="Arial" w:hAnsi="Arial"/>
          <w:sz w:val="22"/>
        </w:rPr>
        <w:t>When departments disagree on approach, bias toward the option that ships fastest. Iterate based on real data, not hypothetical debates.</w:t>
      </w:r>
    </w:p>
    <w:p>
      <w:pPr>
        <w:pStyle w:val="Heading2"/>
      </w:pPr>
      <w:r>
        <w:t>Recurring Touchpoints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fill="1A1A2E"/>
          </w:tcPr>
          <w:p>
            <w:pPr>
              <w:jc w:val="left"/>
            </w:pPr>
            <w:r/>
            <w:r>
              <w:rPr>
                <w:rFonts w:ascii="Arial" w:hAnsi="Arial"/>
                <w:b/>
                <w:color w:val="FFFFFF"/>
                <w:sz w:val="20"/>
              </w:rPr>
              <w:t>Cadence</w:t>
            </w:r>
          </w:p>
        </w:tc>
        <w:tc>
          <w:tcPr>
            <w:tcW w:type="dxa" w:w="2160"/>
            <w:shd w:fill="1A1A2E"/>
          </w:tcPr>
          <w:p>
            <w:pPr>
              <w:jc w:val="left"/>
            </w:pPr>
            <w:r/>
            <w:r>
              <w:rPr>
                <w:rFonts w:ascii="Arial" w:hAnsi="Arial"/>
                <w:b/>
                <w:color w:val="FFFFFF"/>
                <w:sz w:val="20"/>
              </w:rPr>
              <w:t>Meeting</w:t>
            </w:r>
          </w:p>
        </w:tc>
        <w:tc>
          <w:tcPr>
            <w:tcW w:type="dxa" w:w="2592"/>
            <w:shd w:fill="1A1A2E"/>
          </w:tcPr>
          <w:p>
            <w:pPr>
              <w:jc w:val="left"/>
            </w:pPr>
            <w:r/>
            <w:r>
              <w:rPr>
                <w:rFonts w:ascii="Arial" w:hAnsi="Arial"/>
                <w:b/>
                <w:color w:val="FFFFFF"/>
                <w:sz w:val="20"/>
              </w:rPr>
              <w:t>Attendees</w:t>
            </w:r>
          </w:p>
        </w:tc>
        <w:tc>
          <w:tcPr>
            <w:tcW w:type="dxa" w:w="3168"/>
            <w:shd w:fill="1A1A2E"/>
          </w:tcPr>
          <w:p>
            <w:pPr>
              <w:jc w:val="left"/>
            </w:pPr>
            <w:r/>
            <w:r>
              <w:rPr>
                <w:rFonts w:ascii="Arial" w:hAnsi="Arial"/>
                <w:b/>
                <w:color w:val="FFFFFF"/>
                <w:sz w:val="20"/>
              </w:rPr>
              <w:t>Purpose</w:t>
            </w:r>
          </w:p>
        </w:tc>
      </w:tr>
      <w:tr>
        <w:tc>
          <w:tcPr>
            <w:tcW w:type="dxa" w:w="1440"/>
          </w:tcPr>
          <w:p>
            <w:r/>
            <w:r>
              <w:rPr>
                <w:rFonts w:ascii="Arial" w:hAnsi="Arial"/>
                <w:sz w:val="20"/>
              </w:rPr>
              <w:t>Daily</w:t>
            </w:r>
          </w:p>
        </w:tc>
        <w:tc>
          <w:tcPr>
            <w:tcW w:type="dxa" w:w="2160"/>
          </w:tcPr>
          <w:p>
            <w:r/>
            <w:r>
              <w:rPr>
                <w:rFonts w:ascii="Arial" w:hAnsi="Arial"/>
                <w:sz w:val="20"/>
              </w:rPr>
              <w:t>Standup</w:t>
            </w:r>
          </w:p>
        </w:tc>
        <w:tc>
          <w:tcPr>
            <w:tcW w:type="dxa" w:w="2592"/>
          </w:tcPr>
          <w:p>
            <w:r/>
            <w:r>
              <w:rPr>
                <w:rFonts w:ascii="Arial" w:hAnsi="Arial"/>
                <w:sz w:val="20"/>
              </w:rPr>
              <w:t>All team</w:t>
            </w:r>
          </w:p>
        </w:tc>
        <w:tc>
          <w:tcPr>
            <w:tcW w:type="dxa" w:w="3168"/>
          </w:tcPr>
          <w:p>
            <w:r/>
            <w:r>
              <w:rPr>
                <w:rFonts w:ascii="Arial" w:hAnsi="Arial"/>
                <w:sz w:val="20"/>
              </w:rPr>
              <w:t>15-min async or sync check-in on blockers and priorities</w:t>
            </w:r>
          </w:p>
        </w:tc>
      </w:tr>
      <w:tr>
        <w:tc>
          <w:tcPr>
            <w:tcW w:type="dxa" w:w="1440"/>
            <w:shd w:fill="F5F5F5"/>
          </w:tcPr>
          <w:p>
            <w:r/>
            <w:r>
              <w:rPr>
                <w:rFonts w:ascii="Arial" w:hAnsi="Arial"/>
                <w:sz w:val="20"/>
              </w:rPr>
              <w:t>Weekly</w:t>
            </w:r>
          </w:p>
        </w:tc>
        <w:tc>
          <w:tcPr>
            <w:tcW w:type="dxa" w:w="2160"/>
            <w:shd w:fill="F5F5F5"/>
          </w:tcPr>
          <w:p>
            <w:r/>
            <w:r>
              <w:rPr>
                <w:rFonts w:ascii="Arial" w:hAnsi="Arial"/>
                <w:sz w:val="20"/>
              </w:rPr>
              <w:t>Team Sync</w:t>
            </w:r>
          </w:p>
        </w:tc>
        <w:tc>
          <w:tcPr>
            <w:tcW w:type="dxa" w:w="2592"/>
            <w:shd w:fill="F5F5F5"/>
          </w:tcPr>
          <w:p>
            <w:r/>
            <w:r>
              <w:rPr>
                <w:rFonts w:ascii="Arial" w:hAnsi="Arial"/>
                <w:sz w:val="20"/>
              </w:rPr>
              <w:t>All team</w:t>
            </w:r>
          </w:p>
        </w:tc>
        <w:tc>
          <w:tcPr>
            <w:tcW w:type="dxa" w:w="3168"/>
            <w:shd w:fill="F5F5F5"/>
          </w:tcPr>
          <w:p>
            <w:r/>
            <w:r>
              <w:rPr>
                <w:rFonts w:ascii="Arial" w:hAnsi="Arial"/>
                <w:sz w:val="20"/>
              </w:rPr>
              <w:t>30-min review of weekly goals, cross-dept coordination</w:t>
            </w:r>
          </w:p>
        </w:tc>
      </w:tr>
      <w:tr>
        <w:tc>
          <w:tcPr>
            <w:tcW w:type="dxa" w:w="1440"/>
          </w:tcPr>
          <w:p>
            <w:r/>
            <w:r>
              <w:rPr>
                <w:rFonts w:ascii="Arial" w:hAnsi="Arial"/>
                <w:sz w:val="20"/>
              </w:rPr>
              <w:t>Bi-weekly</w:t>
            </w:r>
          </w:p>
        </w:tc>
        <w:tc>
          <w:tcPr>
            <w:tcW w:type="dxa" w:w="2160"/>
          </w:tcPr>
          <w:p>
            <w:r/>
            <w:r>
              <w:rPr>
                <w:rFonts w:ascii="Arial" w:hAnsi="Arial"/>
                <w:sz w:val="20"/>
              </w:rPr>
              <w:t>Product Review</w:t>
            </w:r>
          </w:p>
        </w:tc>
        <w:tc>
          <w:tcPr>
            <w:tcW w:type="dxa" w:w="2592"/>
          </w:tcPr>
          <w:p>
            <w:r/>
            <w:r>
              <w:rPr>
                <w:rFonts w:ascii="Arial" w:hAnsi="Arial"/>
                <w:sz w:val="20"/>
              </w:rPr>
              <w:t>Prod, Design, Growth</w:t>
            </w:r>
          </w:p>
        </w:tc>
        <w:tc>
          <w:tcPr>
            <w:tcW w:type="dxa" w:w="3168"/>
          </w:tcPr>
          <w:p>
            <w:r/>
            <w:r>
              <w:rPr>
                <w:rFonts w:ascii="Arial" w:hAnsi="Arial"/>
                <w:sz w:val="20"/>
              </w:rPr>
              <w:t>Demo shipped work, review upcoming priorities</w:t>
            </w:r>
          </w:p>
        </w:tc>
      </w:tr>
      <w:tr>
        <w:tc>
          <w:tcPr>
            <w:tcW w:type="dxa" w:w="1440"/>
            <w:shd w:fill="F5F5F5"/>
          </w:tcPr>
          <w:p>
            <w:r/>
            <w:r>
              <w:rPr>
                <w:rFonts w:ascii="Arial" w:hAnsi="Arial"/>
                <w:sz w:val="20"/>
              </w:rPr>
              <w:t>Monthly</w:t>
            </w:r>
          </w:p>
        </w:tc>
        <w:tc>
          <w:tcPr>
            <w:tcW w:type="dxa" w:w="2160"/>
            <w:shd w:fill="F5F5F5"/>
          </w:tcPr>
          <w:p>
            <w:r/>
            <w:r>
              <w:rPr>
                <w:rFonts w:ascii="Arial" w:hAnsi="Arial"/>
                <w:sz w:val="20"/>
              </w:rPr>
              <w:t>All-Hands</w:t>
            </w:r>
          </w:p>
        </w:tc>
        <w:tc>
          <w:tcPr>
            <w:tcW w:type="dxa" w:w="2592"/>
            <w:shd w:fill="F5F5F5"/>
          </w:tcPr>
          <w:p>
            <w:r/>
            <w:r>
              <w:rPr>
                <w:rFonts w:ascii="Arial" w:hAnsi="Arial"/>
                <w:sz w:val="20"/>
              </w:rPr>
              <w:t>Everyone</w:t>
            </w:r>
          </w:p>
        </w:tc>
        <w:tc>
          <w:tcPr>
            <w:tcW w:type="dxa" w:w="3168"/>
            <w:shd w:fill="F5F5F5"/>
          </w:tcPr>
          <w:p>
            <w:r/>
            <w:r>
              <w:rPr>
                <w:rFonts w:ascii="Arial" w:hAnsi="Arial"/>
                <w:sz w:val="20"/>
              </w:rPr>
              <w:t>Company metrics, wins, roadmap updates, open Q&amp;A</w:t>
            </w:r>
          </w:p>
        </w:tc>
      </w:tr>
      <w:tr>
        <w:tc>
          <w:tcPr>
            <w:tcW w:type="dxa" w:w="1440"/>
          </w:tcPr>
          <w:p>
            <w:r/>
            <w:r>
              <w:rPr>
                <w:rFonts w:ascii="Arial" w:hAnsi="Arial"/>
                <w:sz w:val="20"/>
              </w:rPr>
              <w:t>Quarterly</w:t>
            </w:r>
          </w:p>
        </w:tc>
        <w:tc>
          <w:tcPr>
            <w:tcW w:type="dxa" w:w="2160"/>
          </w:tcPr>
          <w:p>
            <w:r/>
            <w:r>
              <w:rPr>
                <w:rFonts w:ascii="Arial" w:hAnsi="Arial"/>
                <w:sz w:val="20"/>
              </w:rPr>
              <w:t>OKR Review</w:t>
            </w:r>
          </w:p>
        </w:tc>
        <w:tc>
          <w:tcPr>
            <w:tcW w:type="dxa" w:w="2592"/>
          </w:tcPr>
          <w:p>
            <w:r/>
            <w:r>
              <w:rPr>
                <w:rFonts w:ascii="Arial" w:hAnsi="Arial"/>
                <w:sz w:val="20"/>
              </w:rPr>
              <w:t>Leads + CEO/COO</w:t>
            </w:r>
          </w:p>
        </w:tc>
        <w:tc>
          <w:tcPr>
            <w:tcW w:type="dxa" w:w="3168"/>
          </w:tcPr>
          <w:p>
            <w:r/>
            <w:r>
              <w:rPr>
                <w:rFonts w:ascii="Arial" w:hAnsi="Arial"/>
                <w:sz w:val="20"/>
              </w:rPr>
              <w:t>Review OKR progress, set next quarter goals</w:t>
            </w:r>
          </w:p>
        </w:tc>
      </w:tr>
    </w:tbl>
    <w:p>
      <w:pPr>
        <w:spacing w:before="80" w:after="80"/>
        <w:pBdr>
          <w:bottom w:val="single" w:sz="6" w:space="1" w:color="DDDDDD"/>
        </w:pBdr>
      </w:pPr>
    </w:p>
    <w:p>
      <w:pPr>
        <w:pStyle w:val="Heading1"/>
      </w:pPr>
      <w:r>
        <w:t>11. Decision-Making Framework</w:t>
      </w:r>
    </w:p>
    <w:p>
      <w:r>
        <w:rPr>
          <w:rFonts w:ascii="Arial" w:hAnsi="Arial"/>
          <w:sz w:val="22"/>
        </w:rPr>
        <w:t>Cencori uses a tiered decision-making framework to balance speed with appropriate governance. The framework is designed so that most decisions can be made quickly by the people closest to the work, while strategic decisions receive the deliberation they deserve.</w:t>
      </w:r>
    </w:p>
    <w:p>
      <w:pPr>
        <w:pStyle w:val="Heading2"/>
      </w:pPr>
      <w:r>
        <w:t>Decision Tiers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1A1A2E"/>
          </w:tcPr>
          <w:p>
            <w:pPr>
              <w:jc w:val="left"/>
            </w:pPr>
            <w:r/>
            <w:r>
              <w:rPr>
                <w:rFonts w:ascii="Arial" w:hAnsi="Arial"/>
                <w:b/>
                <w:color w:val="FFFFFF"/>
                <w:sz w:val="20"/>
              </w:rPr>
              <w:t>Tier</w:t>
            </w:r>
          </w:p>
        </w:tc>
        <w:tc>
          <w:tcPr>
            <w:tcW w:type="dxa" w:w="1728"/>
            <w:shd w:fill="1A1A2E"/>
          </w:tcPr>
          <w:p>
            <w:pPr>
              <w:jc w:val="left"/>
            </w:pPr>
            <w:r/>
            <w:r>
              <w:rPr>
                <w:rFonts w:ascii="Arial" w:hAnsi="Arial"/>
                <w:b/>
                <w:color w:val="FFFFFF"/>
                <w:sz w:val="20"/>
              </w:rPr>
              <w:t>Scope</w:t>
            </w:r>
          </w:p>
        </w:tc>
        <w:tc>
          <w:tcPr>
            <w:tcW w:type="dxa" w:w="1872"/>
            <w:shd w:fill="1A1A2E"/>
          </w:tcPr>
          <w:p>
            <w:pPr>
              <w:jc w:val="left"/>
            </w:pPr>
            <w:r/>
            <w:r>
              <w:rPr>
                <w:rFonts w:ascii="Arial" w:hAnsi="Arial"/>
                <w:b/>
                <w:color w:val="FFFFFF"/>
                <w:sz w:val="20"/>
              </w:rPr>
              <w:t>Decision Maker</w:t>
            </w:r>
          </w:p>
        </w:tc>
        <w:tc>
          <w:tcPr>
            <w:tcW w:type="dxa" w:w="1728"/>
            <w:shd w:fill="1A1A2E"/>
          </w:tcPr>
          <w:p>
            <w:pPr>
              <w:jc w:val="left"/>
            </w:pPr>
            <w:r/>
            <w:r>
              <w:rPr>
                <w:rFonts w:ascii="Arial" w:hAnsi="Arial"/>
                <w:b/>
                <w:color w:val="FFFFFF"/>
                <w:sz w:val="20"/>
              </w:rPr>
              <w:t>Approval</w:t>
            </w:r>
          </w:p>
        </w:tc>
        <w:tc>
          <w:tcPr>
            <w:tcW w:type="dxa" w:w="2304"/>
            <w:shd w:fill="1A1A2E"/>
          </w:tcPr>
          <w:p>
            <w:pPr>
              <w:jc w:val="left"/>
            </w:pPr>
            <w:r/>
            <w:r>
              <w:rPr>
                <w:rFonts w:ascii="Arial" w:hAnsi="Arial"/>
                <w:b/>
                <w:color w:val="FFFFFF"/>
                <w:sz w:val="20"/>
              </w:rPr>
              <w:t>Examples</w:t>
            </w:r>
          </w:p>
        </w:tc>
      </w:tr>
      <w:tr>
        <w:tc>
          <w:tcPr>
            <w:tcW w:type="dxa" w:w="1728"/>
          </w:tcPr>
          <w:p>
            <w:r/>
            <w:r>
              <w:rPr>
                <w:rFonts w:ascii="Arial" w:hAnsi="Arial"/>
                <w:sz w:val="20"/>
              </w:rPr>
              <w:t>T1 — Routine</w:t>
            </w:r>
          </w:p>
        </w:tc>
        <w:tc>
          <w:tcPr>
            <w:tcW w:type="dxa" w:w="1728"/>
          </w:tcPr>
          <w:p>
            <w:r/>
            <w:r>
              <w:rPr>
                <w:rFonts w:ascii="Arial" w:hAnsi="Arial"/>
                <w:sz w:val="20"/>
              </w:rPr>
              <w:t>Day-to-day execution</w:t>
            </w:r>
          </w:p>
        </w:tc>
        <w:tc>
          <w:tcPr>
            <w:tcW w:type="dxa" w:w="1872"/>
          </w:tcPr>
          <w:p>
            <w:r/>
            <w:r>
              <w:rPr>
                <w:rFonts w:ascii="Arial" w:hAnsi="Arial"/>
                <w:sz w:val="20"/>
              </w:rPr>
              <w:t>Individual contributor</w:t>
            </w:r>
          </w:p>
        </w:tc>
        <w:tc>
          <w:tcPr>
            <w:tcW w:type="dxa" w:w="1728"/>
          </w:tcPr>
          <w:p>
            <w:r/>
            <w:r>
              <w:rPr>
                <w:rFonts w:ascii="Arial" w:hAnsi="Arial"/>
                <w:sz w:val="20"/>
              </w:rPr>
              <w:t>None required</w:t>
            </w:r>
          </w:p>
        </w:tc>
        <w:tc>
          <w:tcPr>
            <w:tcW w:type="dxa" w:w="2304"/>
          </w:tcPr>
          <w:p>
            <w:r/>
            <w:r>
              <w:rPr>
                <w:rFonts w:ascii="Arial" w:hAnsi="Arial"/>
                <w:sz w:val="20"/>
              </w:rPr>
              <w:t>Bug fixes, copy changes, minor UI tweaks</w:t>
            </w:r>
          </w:p>
        </w:tc>
      </w:tr>
      <w:tr>
        <w:tc>
          <w:tcPr>
            <w:tcW w:type="dxa" w:w="1728"/>
            <w:shd w:fill="F5F5F5"/>
          </w:tcPr>
          <w:p>
            <w:r/>
            <w:r>
              <w:rPr>
                <w:rFonts w:ascii="Arial" w:hAnsi="Arial"/>
                <w:sz w:val="20"/>
              </w:rPr>
              <w:t>T2 — Tactical</w:t>
            </w:r>
          </w:p>
        </w:tc>
        <w:tc>
          <w:tcPr>
            <w:tcW w:type="dxa" w:w="1728"/>
            <w:shd w:fill="F5F5F5"/>
          </w:tcPr>
          <w:p>
            <w:r/>
            <w:r>
              <w:rPr>
                <w:rFonts w:ascii="Arial" w:hAnsi="Arial"/>
                <w:sz w:val="20"/>
              </w:rPr>
              <w:t>Impacts one department</w:t>
            </w:r>
          </w:p>
        </w:tc>
        <w:tc>
          <w:tcPr>
            <w:tcW w:type="dxa" w:w="1872"/>
            <w:shd w:fill="F5F5F5"/>
          </w:tcPr>
          <w:p>
            <w:r/>
            <w:r>
              <w:rPr>
                <w:rFonts w:ascii="Arial" w:hAnsi="Arial"/>
                <w:sz w:val="20"/>
              </w:rPr>
              <w:t>Department lead</w:t>
            </w:r>
          </w:p>
        </w:tc>
        <w:tc>
          <w:tcPr>
            <w:tcW w:type="dxa" w:w="1728"/>
            <w:shd w:fill="F5F5F5"/>
          </w:tcPr>
          <w:p>
            <w:r/>
            <w:r>
              <w:rPr>
                <w:rFonts w:ascii="Arial" w:hAnsi="Arial"/>
                <w:sz w:val="20"/>
              </w:rPr>
              <w:t>Inform CEO/COO</w:t>
            </w:r>
          </w:p>
        </w:tc>
        <w:tc>
          <w:tcPr>
            <w:tcW w:type="dxa" w:w="2304"/>
            <w:shd w:fill="F5F5F5"/>
          </w:tcPr>
          <w:p>
            <w:r/>
            <w:r>
              <w:rPr>
                <w:rFonts w:ascii="Arial" w:hAnsi="Arial"/>
                <w:sz w:val="20"/>
              </w:rPr>
              <w:t>Feature prioritization, tool selection, process changes</w:t>
            </w:r>
          </w:p>
        </w:tc>
      </w:tr>
      <w:tr>
        <w:tc>
          <w:tcPr>
            <w:tcW w:type="dxa" w:w="1728"/>
          </w:tcPr>
          <w:p>
            <w:r/>
            <w:r>
              <w:rPr>
                <w:rFonts w:ascii="Arial" w:hAnsi="Arial"/>
                <w:sz w:val="20"/>
              </w:rPr>
              <w:t>T3 — Strategic</w:t>
            </w:r>
          </w:p>
        </w:tc>
        <w:tc>
          <w:tcPr>
            <w:tcW w:type="dxa" w:w="1728"/>
          </w:tcPr>
          <w:p>
            <w:r/>
            <w:r>
              <w:rPr>
                <w:rFonts w:ascii="Arial" w:hAnsi="Arial"/>
                <w:sz w:val="20"/>
              </w:rPr>
              <w:t>Cross-department impact</w:t>
            </w:r>
          </w:p>
        </w:tc>
        <w:tc>
          <w:tcPr>
            <w:tcW w:type="dxa" w:w="1872"/>
          </w:tcPr>
          <w:p>
            <w:r/>
            <w:r>
              <w:rPr>
                <w:rFonts w:ascii="Arial" w:hAnsi="Arial"/>
                <w:sz w:val="20"/>
              </w:rPr>
              <w:t>CEO or COO</w:t>
            </w:r>
          </w:p>
        </w:tc>
        <w:tc>
          <w:tcPr>
            <w:tcW w:type="dxa" w:w="1728"/>
          </w:tcPr>
          <w:p>
            <w:r/>
            <w:r>
              <w:rPr>
                <w:rFonts w:ascii="Arial" w:hAnsi="Arial"/>
                <w:sz w:val="20"/>
              </w:rPr>
              <w:t>Leadership discussion</w:t>
            </w:r>
          </w:p>
        </w:tc>
        <w:tc>
          <w:tcPr>
            <w:tcW w:type="dxa" w:w="2304"/>
          </w:tcPr>
          <w:p>
            <w:r/>
            <w:r>
              <w:rPr>
                <w:rFonts w:ascii="Arial" w:hAnsi="Arial"/>
                <w:sz w:val="20"/>
              </w:rPr>
              <w:t>New primitive launch, pricing changes, major partnerships</w:t>
            </w:r>
          </w:p>
        </w:tc>
      </w:tr>
      <w:tr>
        <w:tc>
          <w:tcPr>
            <w:tcW w:type="dxa" w:w="1728"/>
            <w:shd w:fill="F5F5F5"/>
          </w:tcPr>
          <w:p>
            <w:r/>
            <w:r>
              <w:rPr>
                <w:rFonts w:ascii="Arial" w:hAnsi="Arial"/>
                <w:sz w:val="20"/>
              </w:rPr>
              <w:t>T4 — Existential</w:t>
            </w:r>
          </w:p>
        </w:tc>
        <w:tc>
          <w:tcPr>
            <w:tcW w:type="dxa" w:w="1728"/>
            <w:shd w:fill="F5F5F5"/>
          </w:tcPr>
          <w:p>
            <w:r/>
            <w:r>
              <w:rPr>
                <w:rFonts w:ascii="Arial" w:hAnsi="Arial"/>
                <w:sz w:val="20"/>
              </w:rPr>
              <w:t>Company direction</w:t>
            </w:r>
          </w:p>
        </w:tc>
        <w:tc>
          <w:tcPr>
            <w:tcW w:type="dxa" w:w="1872"/>
            <w:shd w:fill="F5F5F5"/>
          </w:tcPr>
          <w:p>
            <w:r/>
            <w:r>
              <w:rPr>
                <w:rFonts w:ascii="Arial" w:hAnsi="Arial"/>
                <w:sz w:val="20"/>
              </w:rPr>
              <w:t>CEO + Board</w:t>
            </w:r>
          </w:p>
        </w:tc>
        <w:tc>
          <w:tcPr>
            <w:tcW w:type="dxa" w:w="1728"/>
            <w:shd w:fill="F5F5F5"/>
          </w:tcPr>
          <w:p>
            <w:r/>
            <w:r>
              <w:rPr>
                <w:rFonts w:ascii="Arial" w:hAnsi="Arial"/>
                <w:sz w:val="20"/>
              </w:rPr>
              <w:t>Board approval</w:t>
            </w:r>
          </w:p>
        </w:tc>
        <w:tc>
          <w:tcPr>
            <w:tcW w:type="dxa" w:w="2304"/>
            <w:shd w:fill="F5F5F5"/>
          </w:tcPr>
          <w:p>
            <w:r/>
            <w:r>
              <w:rPr>
                <w:rFonts w:ascii="Arial" w:hAnsi="Arial"/>
                <w:sz w:val="20"/>
              </w:rPr>
              <w:t>Fundraising, pivots, M&amp;A, major hires</w:t>
            </w:r>
          </w:p>
        </w:tc>
      </w:tr>
    </w:tbl>
    <w:p/>
    <w:p>
      <w:pPr>
        <w:pStyle w:val="Heading2"/>
      </w:pPr>
      <w:r>
        <w:t>RFC Process</w:t>
      </w:r>
    </w:p>
    <w:p>
      <w:r>
        <w:rPr>
          <w:rFonts w:ascii="Arial" w:hAnsi="Arial"/>
          <w:sz w:val="22"/>
        </w:rPr>
        <w:t>Decisions classified as T3 or above that involve technical architecture, breaking API changes, or new primitives require a formal Request for Comments (RFC). RFCs are documented in /docs/rfcs/, reviewed for a minimum of 5 business days, and approved by core maintainers before implementation begins. This process is detailed in the Governance document.</w:t>
      </w:r>
    </w:p>
    <w:p>
      <w:pPr>
        <w:spacing w:before="80" w:after="80"/>
        <w:pBdr>
          <w:bottom w:val="single" w:sz="6" w:space="1" w:color="DDDDDD"/>
        </w:pBdr>
      </w:pPr>
    </w:p>
    <w:p>
      <w:pPr>
        <w:pStyle w:val="Heading1"/>
      </w:pPr>
      <w:r>
        <w:t>12. Document Control &amp; Revisions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1A1A2E"/>
          </w:tcPr>
          <w:p>
            <w:pPr>
              <w:jc w:val="left"/>
            </w:pPr>
            <w:r/>
            <w:r>
              <w:rPr>
                <w:rFonts w:ascii="Arial" w:hAnsi="Arial"/>
                <w:b/>
                <w:color w:val="FFFFFF"/>
                <w:sz w:val="20"/>
              </w:rPr>
              <w:t>Version</w:t>
            </w:r>
          </w:p>
        </w:tc>
        <w:tc>
          <w:tcPr>
            <w:tcW w:type="dxa" w:w="1728"/>
            <w:shd w:fill="1A1A2E"/>
          </w:tcPr>
          <w:p>
            <w:pPr>
              <w:jc w:val="left"/>
            </w:pPr>
            <w:r/>
            <w:r>
              <w:rPr>
                <w:rFonts w:ascii="Arial" w:hAnsi="Arial"/>
                <w:b/>
                <w:color w:val="FFFFFF"/>
                <w:sz w:val="20"/>
              </w:rPr>
              <w:t>Date</w:t>
            </w:r>
          </w:p>
        </w:tc>
        <w:tc>
          <w:tcPr>
            <w:tcW w:type="dxa" w:w="2880"/>
            <w:shd w:fill="1A1A2E"/>
          </w:tcPr>
          <w:p>
            <w:pPr>
              <w:jc w:val="left"/>
            </w:pPr>
            <w:r/>
            <w:r>
              <w:rPr>
                <w:rFonts w:ascii="Arial" w:hAnsi="Arial"/>
                <w:b/>
                <w:color w:val="FFFFFF"/>
                <w:sz w:val="20"/>
              </w:rPr>
              <w:t>Author</w:t>
            </w:r>
          </w:p>
        </w:tc>
        <w:tc>
          <w:tcPr>
            <w:tcW w:type="dxa" w:w="3600"/>
            <w:shd w:fill="1A1A2E"/>
          </w:tcPr>
          <w:p>
            <w:pPr>
              <w:jc w:val="left"/>
            </w:pPr>
            <w:r/>
            <w:r>
              <w:rPr>
                <w:rFonts w:ascii="Arial" w:hAnsi="Arial"/>
                <w:b/>
                <w:color w:val="FFFFFF"/>
                <w:sz w:val="20"/>
              </w:rPr>
              <w:t>Changes</w:t>
            </w:r>
          </w:p>
        </w:tc>
      </w:tr>
      <w:tr>
        <w:tc>
          <w:tcPr>
            <w:tcW w:type="dxa" w:w="1152"/>
          </w:tcPr>
          <w:p>
            <w:r/>
            <w:r>
              <w:rPr>
                <w:rFonts w:ascii="Arial" w:hAnsi="Arial"/>
                <w:sz w:val="20"/>
              </w:rPr>
              <w:t>1.0</w:t>
            </w:r>
          </w:p>
        </w:tc>
        <w:tc>
          <w:tcPr>
            <w:tcW w:type="dxa" w:w="1728"/>
          </w:tcPr>
          <w:p>
            <w:r/>
            <w:r>
              <w:rPr>
                <w:rFonts w:ascii="Arial" w:hAnsi="Arial"/>
                <w:sz w:val="20"/>
              </w:rPr>
              <w:t>2026-03-27</w:t>
            </w:r>
          </w:p>
        </w:tc>
        <w:tc>
          <w:tcPr>
            <w:tcW w:type="dxa" w:w="2880"/>
          </w:tcPr>
          <w:p>
            <w:r/>
            <w:r>
              <w:rPr>
                <w:rFonts w:ascii="Arial" w:hAnsi="Arial"/>
                <w:sz w:val="20"/>
              </w:rPr>
              <w:t>Bola Roy Banjo</w:t>
            </w:r>
          </w:p>
        </w:tc>
        <w:tc>
          <w:tcPr>
            <w:tcW w:type="dxa" w:w="3600"/>
          </w:tcPr>
          <w:p>
            <w:r/>
            <w:r>
              <w:rPr>
                <w:rFonts w:ascii="Arial" w:hAnsi="Arial"/>
                <w:sz w:val="20"/>
              </w:rPr>
              <w:t>Initial release — org chart, team charters, collaboration model, decision framework</w:t>
            </w:r>
          </w:p>
        </w:tc>
      </w:tr>
    </w:tbl>
    <w:p/>
    <w:p>
      <w:r>
        <w:rPr>
          <w:rFonts w:ascii="Arial" w:hAnsi="Arial"/>
          <w:sz w:val="22"/>
        </w:rPr>
        <w:t>This document is reviewed quarterly by the CEO and COO. Department leads are responsible for keeping their charter sections current. All changes must be approved by the CEO before publication.</w:t>
      </w:r>
    </w:p>
    <w:p/>
    <w:p>
      <w:pPr>
        <w:jc w:val="center"/>
      </w:pPr>
      <w:r>
        <w:rPr>
          <w:rFonts w:ascii="Arial" w:hAnsi="Arial"/>
          <w:i/>
          <w:color w:val="999999"/>
          <w:sz w:val="22"/>
        </w:rPr>
        <w:t>— Cencori — The Intelligence Grid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rial" w:hAnsi="Arial"/>
      <w:b/>
      <w:bCs/>
      <w:color w:val="0D0D0D"/>
      <w:sz w:val="5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1A1A2E"/>
      <w:sz w:val="40"/>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Arial" w:hAnsi="Arial"/>
      <w:b/>
      <w:bCs/>
      <w:color w:val="2D2D4A"/>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