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4F3" w:rsidRPr="00C9128C" w:rsidRDefault="00E43CE5" w:rsidP="00C414F3">
      <w:pPr>
        <w:pBdr>
          <w:top w:val="single" w:sz="4" w:space="1" w:color="auto"/>
          <w:left w:val="single" w:sz="4" w:space="4" w:color="auto"/>
          <w:bottom w:val="single" w:sz="4" w:space="1" w:color="auto"/>
          <w:right w:val="single" w:sz="4" w:space="4" w:color="auto"/>
        </w:pBdr>
        <w:rPr>
          <w:rFonts w:ascii="Times New Roman" w:hAnsi="Times New Roman" w:cs="Times New Roman"/>
          <w:b/>
          <w:sz w:val="24"/>
          <w:szCs w:val="24"/>
        </w:rPr>
      </w:pPr>
      <w:r>
        <w:rPr>
          <w:rFonts w:ascii="Times New Roman" w:hAnsi="Times New Roman" w:cs="Times New Roman"/>
          <w:b/>
          <w:sz w:val="24"/>
          <w:szCs w:val="24"/>
        </w:rPr>
        <w:t xml:space="preserve">ARGENTINA, 1955-1973 </w:t>
      </w:r>
      <w:r w:rsidR="0035635F">
        <w:rPr>
          <w:rFonts w:ascii="Times New Roman" w:hAnsi="Times New Roman" w:cs="Times New Roman"/>
          <w:b/>
          <w:sz w:val="24"/>
          <w:szCs w:val="24"/>
        </w:rPr>
        <w:t>(PARTE I)</w:t>
      </w:r>
      <w:r w:rsidR="00C414F3" w:rsidRPr="00C9128C">
        <w:rPr>
          <w:rFonts w:ascii="Times New Roman" w:hAnsi="Times New Roman" w:cs="Times New Roman"/>
          <w:b/>
          <w:sz w:val="24"/>
          <w:szCs w:val="24"/>
        </w:rPr>
        <w:t>.</w:t>
      </w:r>
    </w:p>
    <w:p w:rsidR="00C414F3" w:rsidRPr="00C9128C" w:rsidRDefault="00C414F3" w:rsidP="00C414F3">
      <w:pPr>
        <w:pStyle w:val="NormalWeb"/>
        <w:rPr>
          <w:b/>
        </w:rPr>
      </w:pPr>
      <w:r w:rsidRPr="00C9128C">
        <w:rPr>
          <w:b/>
        </w:rPr>
        <w:t xml:space="preserve">FUENTE 1: Selección de fragmentos de la obra “Historia de la Argentina. El estallido de los partidos”, AA.VV., Félix Luna (Dir.), </w:t>
      </w:r>
      <w:proofErr w:type="spellStart"/>
      <w:r w:rsidRPr="00C9128C">
        <w:rPr>
          <w:b/>
        </w:rPr>
        <w:t>Hyspamérica</w:t>
      </w:r>
      <w:proofErr w:type="spellEnd"/>
      <w:r w:rsidRPr="00C9128C">
        <w:rPr>
          <w:b/>
        </w:rPr>
        <w:t xml:space="preserve"> Ediciones Argentina S.A. y Editorial Sarmiento S. A., 1992. </w:t>
      </w:r>
    </w:p>
    <w:p w:rsidR="00C414F3" w:rsidRPr="00C9128C" w:rsidRDefault="00C414F3" w:rsidP="00C414F3">
      <w:pPr>
        <w:pStyle w:val="NormalWeb"/>
        <w:rPr>
          <w:b/>
        </w:rPr>
      </w:pPr>
      <w:r w:rsidRPr="00C9128C">
        <w:rPr>
          <w:b/>
        </w:rPr>
        <w:t xml:space="preserve">Fragmento 1 [páginas 29-30] </w:t>
      </w:r>
    </w:p>
    <w:p w:rsidR="00C414F3" w:rsidRPr="00C9128C" w:rsidRDefault="00C414F3" w:rsidP="00C414F3">
      <w:pPr>
        <w:rPr>
          <w:rFonts w:ascii="Times New Roman" w:hAnsi="Times New Roman" w:cs="Times New Roman"/>
          <w:sz w:val="24"/>
          <w:szCs w:val="24"/>
        </w:rPr>
      </w:pPr>
      <w:r w:rsidRPr="00C9128C">
        <w:rPr>
          <w:rFonts w:ascii="Times New Roman" w:hAnsi="Times New Roman" w:cs="Times New Roman"/>
          <w:sz w:val="24"/>
          <w:szCs w:val="24"/>
        </w:rPr>
        <w:t xml:space="preserve">[…] pasada la breve etapa de </w:t>
      </w:r>
      <w:proofErr w:type="spellStart"/>
      <w:r w:rsidRPr="00C9128C">
        <w:rPr>
          <w:rFonts w:ascii="Times New Roman" w:hAnsi="Times New Roman" w:cs="Times New Roman"/>
          <w:sz w:val="24"/>
          <w:szCs w:val="24"/>
        </w:rPr>
        <w:t>Lonardi</w:t>
      </w:r>
      <w:proofErr w:type="spellEnd"/>
      <w:r w:rsidRPr="00C9128C">
        <w:rPr>
          <w:rFonts w:ascii="Times New Roman" w:hAnsi="Times New Roman" w:cs="Times New Roman"/>
          <w:sz w:val="24"/>
          <w:szCs w:val="24"/>
        </w:rPr>
        <w:t xml:space="preserve">, el rigor </w:t>
      </w:r>
      <w:r w:rsidRPr="00C9128C">
        <w:rPr>
          <w:rFonts w:ascii="Times New Roman" w:hAnsi="Times New Roman" w:cs="Times New Roman"/>
          <w:i/>
          <w:sz w:val="24"/>
          <w:szCs w:val="24"/>
        </w:rPr>
        <w:t>gorila</w:t>
      </w:r>
      <w:r w:rsidRPr="00C9128C">
        <w:rPr>
          <w:rFonts w:ascii="Times New Roman" w:hAnsi="Times New Roman" w:cs="Times New Roman"/>
          <w:sz w:val="24"/>
          <w:szCs w:val="24"/>
        </w:rPr>
        <w:t xml:space="preserve"> había caído sobre los dirigentes [del peronismo]. Centenares de detenidos, ex legisladores y ex funcionarios investigados sañudamente, una catarata de propaganda que desestimaba todo lo hecho en los nueve años anteriores eran gravosas limitaciones que pesaban sobre la fuerza que pocos meses antes había hegemonizado el país. Perón no perdió tiempo en reivindicar su liderazgo. </w:t>
      </w:r>
    </w:p>
    <w:p w:rsidR="00677524" w:rsidRPr="00C9128C" w:rsidRDefault="00C414F3" w:rsidP="00C414F3">
      <w:pPr>
        <w:rPr>
          <w:rFonts w:ascii="Times New Roman" w:hAnsi="Times New Roman" w:cs="Times New Roman"/>
          <w:sz w:val="24"/>
          <w:szCs w:val="24"/>
        </w:rPr>
      </w:pPr>
      <w:r w:rsidRPr="00C9128C">
        <w:rPr>
          <w:rFonts w:ascii="Times New Roman" w:hAnsi="Times New Roman" w:cs="Times New Roman"/>
          <w:sz w:val="24"/>
          <w:szCs w:val="24"/>
        </w:rPr>
        <w:t>El primero de diciembre de 1955 proclamó: “La disolución del partido peronista por decreto de la dictadura no debe dar lugar a la dispersión de nuestras fuerzas. Es necesario seguir con nuestras organizaciones. Tanto las mujeres como los hombres peronistas deben seguir reuniéndose para mantener el partido. Cada casa de un peronista será en adelante una unidad básica del partido. La Confederación General del Trabajo y sus sindicatos, atropellados por la dictadura, deben proceder en forma similar. Yo sigo siendo el jefe de las fuerzas peronistas y nadie puede invocar mi representación. Si hay elecciones sin el peronismo, todo buen peronista debe abstenerse de votar. Esta es mi orden desde el exilio”.</w:t>
      </w:r>
    </w:p>
    <w:p w:rsidR="00C414F3" w:rsidRPr="00C9128C" w:rsidRDefault="00C414F3" w:rsidP="00C414F3">
      <w:pPr>
        <w:rPr>
          <w:rFonts w:ascii="Times New Roman" w:hAnsi="Times New Roman" w:cs="Times New Roman"/>
          <w:sz w:val="24"/>
          <w:szCs w:val="24"/>
        </w:rPr>
      </w:pPr>
      <w:r w:rsidRPr="00C9128C">
        <w:rPr>
          <w:rFonts w:ascii="Times New Roman" w:hAnsi="Times New Roman" w:cs="Times New Roman"/>
          <w:sz w:val="24"/>
          <w:szCs w:val="24"/>
        </w:rPr>
        <w:t xml:space="preserve">Así trataba Perón de restablecer la relación líder-masa que había sido típica de su régimen. Pero ahora no disponía de un balcón sobre la Plaza de Mayo, y menos aún de un aparato de propaganda omnipresente. Se consagró, entonces, con admirable constancia, a construir una pluralidad de canales de comunicación con sus viejos partidarios, desde la lejana ciudad de Caracas. Escribía incansablemente. No formulaba, sin embargo, la menor autocrítica a su actuación anterior, y descargaba terribles acusaciones de ineptitud y cobardía contra sus antiguos colaboradores. </w:t>
      </w:r>
    </w:p>
    <w:p w:rsidR="0035635F" w:rsidRDefault="0035635F" w:rsidP="0035635F">
      <w:pPr>
        <w:pStyle w:val="NormalWeb"/>
        <w:shd w:val="clear" w:color="auto" w:fill="FFFFFF"/>
        <w:spacing w:before="0" w:beforeAutospacing="0" w:after="180" w:afterAutospacing="0"/>
        <w:rPr>
          <w:rFonts w:ascii="PT Sans" w:hAnsi="PT Sans"/>
          <w:color w:val="101010"/>
        </w:rPr>
      </w:pPr>
    </w:p>
    <w:p w:rsidR="0035635F" w:rsidRPr="0035635F" w:rsidRDefault="0035635F" w:rsidP="0035635F">
      <w:pPr>
        <w:pStyle w:val="Heading2"/>
        <w:shd w:val="clear" w:color="auto" w:fill="FFFFFF"/>
        <w:spacing w:before="0" w:beforeAutospacing="0" w:after="0" w:afterAutospacing="0"/>
        <w:rPr>
          <w:sz w:val="24"/>
          <w:szCs w:val="24"/>
        </w:rPr>
      </w:pPr>
      <w:r w:rsidRPr="0035635F">
        <w:rPr>
          <w:sz w:val="24"/>
          <w:szCs w:val="24"/>
        </w:rPr>
        <w:t xml:space="preserve">FUENTE 2: </w:t>
      </w:r>
      <w:r>
        <w:rPr>
          <w:sz w:val="24"/>
          <w:szCs w:val="24"/>
        </w:rPr>
        <w:t xml:space="preserve">Selección </w:t>
      </w:r>
      <w:r w:rsidR="00AC634D">
        <w:rPr>
          <w:sz w:val="24"/>
          <w:szCs w:val="24"/>
        </w:rPr>
        <w:t xml:space="preserve">de fragmento </w:t>
      </w:r>
      <w:r w:rsidRPr="0035635F">
        <w:rPr>
          <w:sz w:val="24"/>
          <w:szCs w:val="24"/>
        </w:rPr>
        <w:t>del artículo</w:t>
      </w:r>
      <w:r w:rsidR="00AC634D">
        <w:rPr>
          <w:sz w:val="24"/>
          <w:szCs w:val="24"/>
        </w:rPr>
        <w:t>:</w:t>
      </w:r>
      <w:r w:rsidRPr="0035635F">
        <w:rPr>
          <w:sz w:val="24"/>
          <w:szCs w:val="24"/>
        </w:rPr>
        <w:t xml:space="preserve"> “Los fusilamientos de 1956: un episodio de la </w:t>
      </w:r>
      <w:r>
        <w:rPr>
          <w:sz w:val="24"/>
          <w:szCs w:val="24"/>
        </w:rPr>
        <w:t>‘</w:t>
      </w:r>
      <w:r w:rsidRPr="0035635F">
        <w:rPr>
          <w:sz w:val="24"/>
          <w:szCs w:val="24"/>
        </w:rPr>
        <w:t>guerra civil</w:t>
      </w:r>
      <w:r>
        <w:rPr>
          <w:sz w:val="24"/>
          <w:szCs w:val="24"/>
        </w:rPr>
        <w:t>’</w:t>
      </w:r>
      <w:r w:rsidRPr="0035635F">
        <w:rPr>
          <w:sz w:val="24"/>
          <w:szCs w:val="24"/>
        </w:rPr>
        <w:t xml:space="preserve"> en Argentina”, Jorge </w:t>
      </w:r>
      <w:proofErr w:type="spellStart"/>
      <w:r w:rsidRPr="0035635F">
        <w:rPr>
          <w:sz w:val="24"/>
          <w:szCs w:val="24"/>
        </w:rPr>
        <w:t>Villazón</w:t>
      </w:r>
      <w:proofErr w:type="spellEnd"/>
      <w:r>
        <w:rPr>
          <w:sz w:val="24"/>
          <w:szCs w:val="24"/>
        </w:rPr>
        <w:t>. Dis</w:t>
      </w:r>
      <w:r w:rsidRPr="0035635F">
        <w:rPr>
          <w:sz w:val="24"/>
          <w:szCs w:val="24"/>
        </w:rPr>
        <w:t>ponible en</w:t>
      </w:r>
      <w:r>
        <w:rPr>
          <w:sz w:val="24"/>
          <w:szCs w:val="24"/>
        </w:rPr>
        <w:t xml:space="preserve">: </w:t>
      </w:r>
      <w:hyperlink r:id="rId5" w:history="1">
        <w:r w:rsidRPr="0035635F">
          <w:rPr>
            <w:rStyle w:val="Hyperlink"/>
            <w:color w:val="auto"/>
            <w:sz w:val="24"/>
            <w:szCs w:val="24"/>
          </w:rPr>
          <w:t>https://diariopuntouno.ar/dp1_21/index.php/opinion/7887-los-fusilamientos-de-1956-un-episodio-de-la-guerra-civil-en-argentina</w:t>
        </w:r>
      </w:hyperlink>
      <w:r w:rsidRPr="0035635F">
        <w:rPr>
          <w:sz w:val="24"/>
          <w:szCs w:val="24"/>
        </w:rPr>
        <w:t xml:space="preserve"> (accedido el 20 de enero de 2026). </w:t>
      </w:r>
    </w:p>
    <w:p w:rsidR="0035635F" w:rsidRPr="0035635F" w:rsidRDefault="0035635F" w:rsidP="0035635F">
      <w:pPr>
        <w:pStyle w:val="NormalWeb"/>
        <w:rPr>
          <w:b/>
          <w:color w:val="101010"/>
        </w:rPr>
      </w:pPr>
      <w:r>
        <w:rPr>
          <w:b/>
        </w:rPr>
        <w:t>Fragmento 1</w:t>
      </w:r>
    </w:p>
    <w:p w:rsidR="0035635F" w:rsidRDefault="0035635F" w:rsidP="0035635F">
      <w:pPr>
        <w:pStyle w:val="NormalWeb"/>
        <w:shd w:val="clear" w:color="auto" w:fill="FFFFFF"/>
        <w:spacing w:before="0" w:beforeAutospacing="0" w:after="180" w:afterAutospacing="0"/>
        <w:rPr>
          <w:rFonts w:ascii="PT Sans" w:hAnsi="PT Sans"/>
          <w:color w:val="101010"/>
        </w:rPr>
      </w:pPr>
      <w:r>
        <w:rPr>
          <w:rFonts w:ascii="PT Sans" w:hAnsi="PT Sans"/>
          <w:color w:val="101010"/>
        </w:rPr>
        <w:t xml:space="preserve">El alzamiento militar del 9 de junio de 1956 en la Argentina, conocido como el Levantamiento de Valle, fue una sublevación cívico-militar liderada por el general de división Juan José Valle y el general Raúl </w:t>
      </w:r>
      <w:proofErr w:type="spellStart"/>
      <w:r>
        <w:rPr>
          <w:rFonts w:ascii="PT Sans" w:hAnsi="PT Sans"/>
          <w:color w:val="101010"/>
        </w:rPr>
        <w:t>Tanco</w:t>
      </w:r>
      <w:proofErr w:type="spellEnd"/>
      <w:r>
        <w:rPr>
          <w:rFonts w:ascii="PT Sans" w:hAnsi="PT Sans"/>
          <w:color w:val="101010"/>
        </w:rPr>
        <w:t>. Su objetivo principal era derrocar a la dictadura autodenominada "Revolución Libertadora" (encabezada por Pedro Eugenio Aramburu e Isaac Rojas), restablecer la Constitución de 1949, exigir el fin de la persecución política y habilitar el regreso de Juan Domingo Perón al país. El movimiento estaba fuertemente infiltrado por los servicios de inteligencia del gobierno de facto. Debido a delaciones y una planificación apresurada, los focos rebeldes de Campo de Mayo, La Plata, Avellaneda y Rosario fueron neutralizados con rapidez entre la noche del 9 de junio y la madrugada del 10.</w:t>
      </w:r>
    </w:p>
    <w:p w:rsidR="0035635F" w:rsidRDefault="0035635F" w:rsidP="0035635F">
      <w:pPr>
        <w:pStyle w:val="NormalWeb"/>
        <w:shd w:val="clear" w:color="auto" w:fill="FFFFFF"/>
        <w:spacing w:before="0" w:beforeAutospacing="0" w:after="180" w:afterAutospacing="0"/>
        <w:rPr>
          <w:rFonts w:ascii="PT Sans" w:hAnsi="PT Sans"/>
          <w:color w:val="101010"/>
        </w:rPr>
      </w:pPr>
      <w:r>
        <w:rPr>
          <w:rFonts w:ascii="PT Sans" w:hAnsi="PT Sans"/>
          <w:color w:val="101010"/>
        </w:rPr>
        <w:t xml:space="preserve">La dictadura de Aramburu decretó la ley marcial pasada la medianoche del 9 de junio (madrugada del día 10). De forma ilegal se puso en vigencia la Ley Marcial. La normativa se aplicó de manera retroactiva para condenar a muerte a quienes se habían levantado horas antes del decreto. La </w:t>
      </w:r>
      <w:r>
        <w:rPr>
          <w:rFonts w:ascii="PT Sans" w:hAnsi="PT Sans"/>
          <w:color w:val="101010"/>
        </w:rPr>
        <w:lastRenderedPageBreak/>
        <w:t xml:space="preserve">respuesta de la Revolución Libertadora (apodada desde entonces por el peronismo como "la </w:t>
      </w:r>
      <w:proofErr w:type="spellStart"/>
      <w:r>
        <w:rPr>
          <w:rFonts w:ascii="PT Sans" w:hAnsi="PT Sans"/>
          <w:color w:val="101010"/>
        </w:rPr>
        <w:t>Fusiladora</w:t>
      </w:r>
      <w:proofErr w:type="spellEnd"/>
      <w:r>
        <w:rPr>
          <w:rFonts w:ascii="PT Sans" w:hAnsi="PT Sans"/>
          <w:color w:val="101010"/>
        </w:rPr>
        <w:t>") fue un castigo punitivo sin precedentes en el siglo XX argentino. Entre el 9 y el 12 de junio, se ejecutó a un total de 32 personas, divididas entre militares y civiles. En la noche del 9 de junio, antes de que rigiera la ley marcial, un grupo de civiles peronistas fue detenido ilegalmente en una casa y llevado a los basurales de José León Suárez (San Martín, Provincia de Buenos Aires) para ser fusilados de forma clandestina. Hubo sobrevivientes que lograron escapar y relataron la barbarie. El 12 de junio, con la promesa gubernamental de detener la matanza, el general Valle se entregó voluntariamente. Sin embargo, esa misma noche fue fusilado en la Penitenciaría Nacional de la calle Las Heras en la Ciudad de Buenos Aires por orden directa de Aramburu. Este suceso marcó de manera definitiva el inicio de la denominada Resistencia Peronista, que Perón caratuló como Guerra Civil.</w:t>
      </w:r>
    </w:p>
    <w:p w:rsidR="0035635F" w:rsidRDefault="0035635F" w:rsidP="0035635F">
      <w:pPr>
        <w:pStyle w:val="NormalWeb"/>
        <w:shd w:val="clear" w:color="auto" w:fill="FFFFFF"/>
        <w:spacing w:before="0" w:beforeAutospacing="0" w:after="180" w:afterAutospacing="0"/>
        <w:rPr>
          <w:rFonts w:ascii="PT Sans" w:hAnsi="PT Sans"/>
          <w:color w:val="101010"/>
        </w:rPr>
      </w:pPr>
      <w:r>
        <w:rPr>
          <w:rFonts w:ascii="PT Sans" w:hAnsi="PT Sans"/>
          <w:color w:val="101010"/>
        </w:rPr>
        <w:t>Los militares ejecutados por el decreto 10.364 fueron:</w:t>
      </w:r>
    </w:p>
    <w:p w:rsidR="0035635F" w:rsidRDefault="0035635F" w:rsidP="0035635F">
      <w:pPr>
        <w:pStyle w:val="NormalWeb"/>
        <w:shd w:val="clear" w:color="auto" w:fill="FFFFFF"/>
        <w:spacing w:before="0" w:beforeAutospacing="0" w:after="180" w:afterAutospacing="0"/>
        <w:rPr>
          <w:rFonts w:ascii="PT Sans" w:hAnsi="PT Sans"/>
          <w:color w:val="101010"/>
        </w:rPr>
      </w:pPr>
      <w:r>
        <w:rPr>
          <w:rFonts w:ascii="PT Sans" w:hAnsi="PT Sans"/>
          <w:color w:val="101010"/>
        </w:rPr>
        <w:t xml:space="preserve">En la Penitenciaría Nacional, (CABA), ejecutados oficialmente el 11 de junio, a excepción del líder del movimiento ejecutado al día siguiente: General de División Juan José Valle (fusilado el 12 de junio), Coronel Ricardo Salomón </w:t>
      </w:r>
      <w:proofErr w:type="spellStart"/>
      <w:r>
        <w:rPr>
          <w:rFonts w:ascii="PT Sans" w:hAnsi="PT Sans"/>
          <w:color w:val="101010"/>
        </w:rPr>
        <w:t>Ibazeta</w:t>
      </w:r>
      <w:proofErr w:type="spellEnd"/>
      <w:r>
        <w:rPr>
          <w:rFonts w:ascii="PT Sans" w:hAnsi="PT Sans"/>
          <w:color w:val="101010"/>
        </w:rPr>
        <w:t xml:space="preserve">, Coronel Eduardo Alcibíades Cortines, Capitán Eloy Luis Caro, Capitán Néstor Dardo Cano, Teniente Primero Jorge Leopoldo Noriega, Teniente Primero Néstor Marcelo Videla (Maestro de Banda de la Escuela de Suboficiales), Sargento Ayudante Isauro Costa, Sargento Carpintero Luis </w:t>
      </w:r>
      <w:proofErr w:type="spellStart"/>
      <w:r>
        <w:rPr>
          <w:rFonts w:ascii="PT Sans" w:hAnsi="PT Sans"/>
          <w:color w:val="101010"/>
        </w:rPr>
        <w:t>Pugnetti</w:t>
      </w:r>
      <w:proofErr w:type="spellEnd"/>
      <w:r>
        <w:rPr>
          <w:rFonts w:ascii="PT Sans" w:hAnsi="PT Sans"/>
          <w:color w:val="101010"/>
        </w:rPr>
        <w:t>, Sargento Músico Luciano Isaías Rojas.</w:t>
      </w:r>
    </w:p>
    <w:p w:rsidR="0035635F" w:rsidRDefault="0035635F" w:rsidP="0035635F">
      <w:pPr>
        <w:pStyle w:val="NormalWeb"/>
        <w:shd w:val="clear" w:color="auto" w:fill="FFFFFF"/>
        <w:spacing w:before="0" w:beforeAutospacing="0" w:after="180" w:afterAutospacing="0"/>
        <w:rPr>
          <w:rFonts w:ascii="PT Sans" w:hAnsi="PT Sans"/>
          <w:color w:val="101010"/>
        </w:rPr>
      </w:pPr>
      <w:r>
        <w:rPr>
          <w:rFonts w:ascii="PT Sans" w:hAnsi="PT Sans"/>
          <w:color w:val="101010"/>
        </w:rPr>
        <w:t>Municipalidad de Lanús: Teniente Coronel José Albino Yrigoyen, Capitán Jorge Miguel Costales, (En este mismo evento fueron fusilados cuatro civiles).</w:t>
      </w:r>
    </w:p>
    <w:p w:rsidR="0035635F" w:rsidRDefault="0035635F" w:rsidP="0035635F">
      <w:pPr>
        <w:pStyle w:val="NormalWeb"/>
        <w:shd w:val="clear" w:color="auto" w:fill="FFFFFF"/>
        <w:spacing w:before="0" w:beforeAutospacing="0" w:after="180" w:afterAutospacing="0"/>
        <w:rPr>
          <w:rFonts w:ascii="PT Sans" w:hAnsi="PT Sans"/>
          <w:color w:val="101010"/>
        </w:rPr>
      </w:pPr>
      <w:r>
        <w:rPr>
          <w:rFonts w:ascii="PT Sans" w:hAnsi="PT Sans"/>
          <w:color w:val="101010"/>
        </w:rPr>
        <w:t xml:space="preserve">Escuela de Mecánica del Ejército (11 de junio): Suboficial Principal Ernesto </w:t>
      </w:r>
      <w:proofErr w:type="spellStart"/>
      <w:r>
        <w:rPr>
          <w:rFonts w:ascii="PT Sans" w:hAnsi="PT Sans"/>
          <w:color w:val="101010"/>
        </w:rPr>
        <w:t>Gareca</w:t>
      </w:r>
      <w:proofErr w:type="spellEnd"/>
      <w:r>
        <w:rPr>
          <w:rFonts w:ascii="PT Sans" w:hAnsi="PT Sans"/>
          <w:color w:val="101010"/>
        </w:rPr>
        <w:t xml:space="preserve">, Suboficial Principal Miguel Ángel </w:t>
      </w:r>
      <w:proofErr w:type="spellStart"/>
      <w:r>
        <w:rPr>
          <w:rFonts w:ascii="PT Sans" w:hAnsi="PT Sans"/>
          <w:color w:val="101010"/>
        </w:rPr>
        <w:t>Paolini</w:t>
      </w:r>
      <w:proofErr w:type="spellEnd"/>
      <w:r>
        <w:rPr>
          <w:rFonts w:ascii="PT Sans" w:hAnsi="PT Sans"/>
          <w:color w:val="101010"/>
        </w:rPr>
        <w:t>, Sargento Hugo Eladio Quiroga, Cabo Músico José Miguel Rodríguez.</w:t>
      </w:r>
    </w:p>
    <w:p w:rsidR="0035635F" w:rsidRDefault="0035635F" w:rsidP="0035635F">
      <w:pPr>
        <w:pStyle w:val="NormalWeb"/>
        <w:shd w:val="clear" w:color="auto" w:fill="FFFFFF"/>
        <w:spacing w:before="0" w:beforeAutospacing="0" w:after="180" w:afterAutospacing="0"/>
        <w:rPr>
          <w:rFonts w:ascii="PT Sans" w:hAnsi="PT Sans"/>
          <w:color w:val="101010"/>
        </w:rPr>
      </w:pPr>
      <w:r>
        <w:rPr>
          <w:rFonts w:ascii="PT Sans" w:hAnsi="PT Sans"/>
          <w:color w:val="101010"/>
        </w:rPr>
        <w:t xml:space="preserve">Muertes en otras dependencias y detenciones: Suboficial Principal Aldo </w:t>
      </w:r>
      <w:proofErr w:type="spellStart"/>
      <w:r>
        <w:rPr>
          <w:rFonts w:ascii="PT Sans" w:hAnsi="PT Sans"/>
          <w:color w:val="101010"/>
        </w:rPr>
        <w:t>Joffré</w:t>
      </w:r>
      <w:proofErr w:type="spellEnd"/>
      <w:r>
        <w:rPr>
          <w:rFonts w:ascii="PT Sans" w:hAnsi="PT Sans"/>
          <w:color w:val="101010"/>
        </w:rPr>
        <w:t xml:space="preserve"> (apareció "suicidado")</w:t>
      </w:r>
    </w:p>
    <w:p w:rsidR="0035635F" w:rsidRDefault="0035635F" w:rsidP="0035635F">
      <w:pPr>
        <w:pStyle w:val="NormalWeb"/>
        <w:shd w:val="clear" w:color="auto" w:fill="FFFFFF"/>
        <w:spacing w:before="0" w:beforeAutospacing="0" w:after="180" w:afterAutospacing="0"/>
        <w:rPr>
          <w:rFonts w:ascii="PT Sans" w:hAnsi="PT Sans"/>
          <w:color w:val="101010"/>
        </w:rPr>
      </w:pPr>
      <w:r>
        <w:rPr>
          <w:rFonts w:ascii="PT Sans" w:hAnsi="PT Sans"/>
          <w:color w:val="101010"/>
        </w:rPr>
        <w:t>Para muchos, fue una tragedia olvidada o negada por su magnitud histórica. Pero que ocurrió, es seguro que así fue.</w:t>
      </w:r>
    </w:p>
    <w:p w:rsidR="0035635F" w:rsidRPr="00C9128C" w:rsidRDefault="0035635F" w:rsidP="00C414F3">
      <w:pPr>
        <w:rPr>
          <w:rFonts w:ascii="Times New Roman" w:hAnsi="Times New Roman" w:cs="Times New Roman"/>
          <w:sz w:val="24"/>
          <w:szCs w:val="24"/>
        </w:rPr>
      </w:pPr>
    </w:p>
    <w:p w:rsidR="00C9128C" w:rsidRPr="00C9128C" w:rsidRDefault="00C9128C" w:rsidP="00C9128C">
      <w:pPr>
        <w:rPr>
          <w:rFonts w:ascii="Times New Roman" w:hAnsi="Times New Roman" w:cs="Times New Roman"/>
          <w:b/>
          <w:sz w:val="24"/>
          <w:szCs w:val="24"/>
        </w:rPr>
      </w:pPr>
      <w:r w:rsidRPr="00C9128C">
        <w:rPr>
          <w:rFonts w:ascii="Times New Roman" w:hAnsi="Times New Roman" w:cs="Times New Roman"/>
          <w:b/>
          <w:sz w:val="24"/>
          <w:szCs w:val="24"/>
        </w:rPr>
        <w:t xml:space="preserve">FUENTE </w:t>
      </w:r>
      <w:r w:rsidR="0035635F">
        <w:rPr>
          <w:rFonts w:ascii="Times New Roman" w:hAnsi="Times New Roman" w:cs="Times New Roman"/>
          <w:b/>
          <w:sz w:val="24"/>
          <w:szCs w:val="24"/>
        </w:rPr>
        <w:t>3</w:t>
      </w:r>
      <w:r w:rsidRPr="00C9128C">
        <w:rPr>
          <w:rFonts w:ascii="Times New Roman" w:hAnsi="Times New Roman" w:cs="Times New Roman"/>
          <w:b/>
          <w:sz w:val="24"/>
          <w:szCs w:val="24"/>
        </w:rPr>
        <w:t xml:space="preserve">: Sobre el movimiento obrero peronista entre 1955 y 1957.  En: </w:t>
      </w:r>
      <w:hyperlink r:id="rId6" w:history="1">
        <w:r w:rsidRPr="00C9128C">
          <w:rPr>
            <w:rStyle w:val="Hyperlink"/>
            <w:rFonts w:ascii="Times New Roman" w:hAnsi="Times New Roman" w:cs="Times New Roman"/>
            <w:b/>
            <w:color w:val="auto"/>
            <w:sz w:val="24"/>
            <w:szCs w:val="24"/>
          </w:rPr>
          <w:t>https://revistazoom.com.ar/los-programas-de-la-falda-y-huerta-grande/</w:t>
        </w:r>
      </w:hyperlink>
      <w:r w:rsidRPr="00C9128C">
        <w:rPr>
          <w:rFonts w:ascii="Times New Roman" w:hAnsi="Times New Roman" w:cs="Times New Roman"/>
          <w:b/>
          <w:sz w:val="24"/>
          <w:szCs w:val="24"/>
        </w:rPr>
        <w:t xml:space="preserve"> (Accedido el 20 de enero de 2026).  </w:t>
      </w:r>
    </w:p>
    <w:p w:rsidR="00C9128C" w:rsidRPr="00C9128C" w:rsidRDefault="00C9128C" w:rsidP="00C9128C">
      <w:pPr>
        <w:rPr>
          <w:rFonts w:ascii="Times New Roman" w:hAnsi="Times New Roman" w:cs="Times New Roman"/>
          <w:color w:val="091F33"/>
          <w:sz w:val="24"/>
          <w:szCs w:val="24"/>
        </w:rPr>
      </w:pPr>
      <w:r w:rsidRPr="00C9128C">
        <w:rPr>
          <w:rFonts w:ascii="Times New Roman" w:hAnsi="Times New Roman" w:cs="Times New Roman"/>
          <w:color w:val="091F33"/>
          <w:sz w:val="24"/>
          <w:szCs w:val="24"/>
        </w:rPr>
        <w:t xml:space="preserve">El </w:t>
      </w:r>
      <w:r w:rsidRPr="00C9128C">
        <w:rPr>
          <w:rStyle w:val="Strong"/>
          <w:rFonts w:ascii="Times New Roman" w:hAnsi="Times New Roman" w:cs="Times New Roman"/>
          <w:b w:val="0"/>
          <w:color w:val="091F33"/>
          <w:sz w:val="24"/>
          <w:szCs w:val="24"/>
        </w:rPr>
        <w:t>Programa de La Falda</w:t>
      </w:r>
      <w:r w:rsidRPr="00C9128C">
        <w:rPr>
          <w:rFonts w:ascii="Times New Roman" w:hAnsi="Times New Roman" w:cs="Times New Roman"/>
          <w:color w:val="091F33"/>
          <w:sz w:val="24"/>
          <w:szCs w:val="24"/>
        </w:rPr>
        <w:t xml:space="preserve">, de agosto de 1957, y el de </w:t>
      </w:r>
      <w:r w:rsidRPr="00C9128C">
        <w:rPr>
          <w:rStyle w:val="Strong"/>
          <w:rFonts w:ascii="Times New Roman" w:hAnsi="Times New Roman" w:cs="Times New Roman"/>
          <w:b w:val="0"/>
          <w:color w:val="091F33"/>
          <w:sz w:val="24"/>
          <w:szCs w:val="24"/>
        </w:rPr>
        <w:t>Huerta Grande</w:t>
      </w:r>
      <w:r w:rsidRPr="00C9128C">
        <w:rPr>
          <w:rFonts w:ascii="Times New Roman" w:hAnsi="Times New Roman" w:cs="Times New Roman"/>
          <w:color w:val="091F33"/>
          <w:sz w:val="24"/>
          <w:szCs w:val="24"/>
        </w:rPr>
        <w:t xml:space="preserve">, de junio de 1962, son los dignos antecedentes del </w:t>
      </w:r>
      <w:r w:rsidRPr="00C9128C">
        <w:rPr>
          <w:rStyle w:val="Strong"/>
          <w:rFonts w:ascii="Times New Roman" w:hAnsi="Times New Roman" w:cs="Times New Roman"/>
          <w:b w:val="0"/>
          <w:color w:val="091F33"/>
          <w:sz w:val="24"/>
          <w:szCs w:val="24"/>
        </w:rPr>
        <w:t>Programa del 1º de Mayo</w:t>
      </w:r>
      <w:r w:rsidRPr="00C9128C">
        <w:rPr>
          <w:rFonts w:ascii="Times New Roman" w:hAnsi="Times New Roman" w:cs="Times New Roman"/>
          <w:b/>
          <w:color w:val="091F33"/>
          <w:sz w:val="24"/>
          <w:szCs w:val="24"/>
        </w:rPr>
        <w:t>,</w:t>
      </w:r>
      <w:r w:rsidRPr="00C9128C">
        <w:rPr>
          <w:rFonts w:ascii="Times New Roman" w:hAnsi="Times New Roman" w:cs="Times New Roman"/>
          <w:color w:val="091F33"/>
          <w:sz w:val="24"/>
          <w:szCs w:val="24"/>
        </w:rPr>
        <w:t xml:space="preserve"> que en esa fecha de 1968 se publicó en el primer número del periódico de la CGT de los Argentinos.</w:t>
      </w:r>
    </w:p>
    <w:p w:rsidR="00C9128C" w:rsidRPr="00C9128C" w:rsidRDefault="00C9128C" w:rsidP="00C9128C">
      <w:pPr>
        <w:pStyle w:val="NormalWeb"/>
        <w:shd w:val="clear" w:color="auto" w:fill="FFFFFF"/>
        <w:rPr>
          <w:color w:val="091F33"/>
        </w:rPr>
      </w:pPr>
      <w:r w:rsidRPr="00C9128C">
        <w:rPr>
          <w:color w:val="091F33"/>
        </w:rPr>
        <w:t>El golpe de 1955 destruyó las conquistas sociales y políticas logradas por los trabajadores. Para resistir y luchar en contra del imperialismo y la oligarquía, el movimiento obrero realizó propuestas políticas, sociales y económicas, con el objeto de evitar la dispersión y neutralizar el discurso oficial.</w:t>
      </w:r>
    </w:p>
    <w:p w:rsidR="00C9128C" w:rsidRPr="00C9128C" w:rsidRDefault="00C9128C" w:rsidP="00C9128C">
      <w:pPr>
        <w:pStyle w:val="NormalWeb"/>
        <w:shd w:val="clear" w:color="auto" w:fill="FFFFFF"/>
        <w:rPr>
          <w:color w:val="091F33"/>
        </w:rPr>
      </w:pPr>
      <w:r w:rsidRPr="00C9128C">
        <w:rPr>
          <w:color w:val="091F33"/>
        </w:rPr>
        <w:t xml:space="preserve">La resistencia a los planes de la dictadura fue llevada a cabo por cuadros de segunda y tercera línea del peronismo junto a los dirigentes que estaban en la CGT Auténtica, como Andrés </w:t>
      </w:r>
      <w:proofErr w:type="spellStart"/>
      <w:r w:rsidRPr="00C9128C">
        <w:rPr>
          <w:color w:val="091F33"/>
        </w:rPr>
        <w:t>Framini</w:t>
      </w:r>
      <w:proofErr w:type="spellEnd"/>
      <w:r w:rsidRPr="00C9128C">
        <w:rPr>
          <w:color w:val="091F33"/>
        </w:rPr>
        <w:t xml:space="preserve"> (textiles), Dante </w:t>
      </w:r>
      <w:proofErr w:type="spellStart"/>
      <w:r w:rsidRPr="00C9128C">
        <w:rPr>
          <w:color w:val="091F33"/>
        </w:rPr>
        <w:t>Viel</w:t>
      </w:r>
      <w:proofErr w:type="spellEnd"/>
      <w:r w:rsidRPr="00C9128C">
        <w:rPr>
          <w:color w:val="091F33"/>
        </w:rPr>
        <w:t xml:space="preserve"> (estatales), y </w:t>
      </w:r>
      <w:proofErr w:type="spellStart"/>
      <w:r w:rsidRPr="00C9128C">
        <w:rPr>
          <w:color w:val="091F33"/>
        </w:rPr>
        <w:t>Natalini</w:t>
      </w:r>
      <w:proofErr w:type="spellEnd"/>
      <w:r w:rsidRPr="00C9128C">
        <w:rPr>
          <w:color w:val="091F33"/>
        </w:rPr>
        <w:t xml:space="preserve"> (Luz y Fuerza). En los años 1956 y 1957, la lucha por la recuperación de los gremios, intervenidos por los militares, se centró fundamentalmente en los sindicatos industriales.</w:t>
      </w:r>
    </w:p>
    <w:p w:rsidR="00C9128C" w:rsidRPr="00C9128C" w:rsidRDefault="00C9128C" w:rsidP="00C9128C">
      <w:pPr>
        <w:pStyle w:val="NormalWeb"/>
        <w:shd w:val="clear" w:color="auto" w:fill="FFFFFF"/>
        <w:rPr>
          <w:color w:val="091F33"/>
        </w:rPr>
      </w:pPr>
      <w:r w:rsidRPr="00C9128C">
        <w:rPr>
          <w:color w:val="091F33"/>
        </w:rPr>
        <w:lastRenderedPageBreak/>
        <w:t>La mayoría de esos nuevos dirigentes, como Sebastián Borro en el Frigorífico Lisandro de la Torre, eran peronistas del campo nacional y popular. La primera CGT Regional recuperada fue la de Córdoba, que el primero de julio de 1957 elige en Plenario General a Atilio López de UTA como Secretario General (CGT legal).</w:t>
      </w:r>
    </w:p>
    <w:p w:rsidR="00C9128C" w:rsidRPr="00C9128C" w:rsidRDefault="00C9128C" w:rsidP="00C9128C">
      <w:pPr>
        <w:pStyle w:val="NormalWeb"/>
        <w:shd w:val="clear" w:color="auto" w:fill="FFFFFF"/>
        <w:rPr>
          <w:color w:val="091F33"/>
        </w:rPr>
      </w:pPr>
      <w:r w:rsidRPr="00C9128C">
        <w:rPr>
          <w:color w:val="091F33"/>
        </w:rPr>
        <w:t>Pese al Estado de Sitio, las proscripciones y la cárcel para sus dirigentes más combativos, el Movimiento Obrero era un verdadero dolor de cabeza para Aramburu y compañía. El 27 de septiembre de 1957 cuarenta gremios recuperados convocaron a un multitudinario paro nacional.</w:t>
      </w:r>
    </w:p>
    <w:p w:rsidR="00C9128C" w:rsidRPr="00C9128C" w:rsidRDefault="00C9128C" w:rsidP="00C9128C">
      <w:pPr>
        <w:pStyle w:val="NormalWeb"/>
        <w:shd w:val="clear" w:color="auto" w:fill="FFFFFF"/>
        <w:rPr>
          <w:color w:val="091F33"/>
        </w:rPr>
      </w:pPr>
      <w:r w:rsidRPr="00C9128C">
        <w:rPr>
          <w:color w:val="091F33"/>
        </w:rPr>
        <w:t>En el marco de esa efervescencia política contra la entrega, la CGT de Córdoba convocó a un Plenario Nacional de Delegaciones Regionales y de las 62 Organizaciones, que se llevó a cabo en La Falda, Córdoba, donde se aprobó un programa obrero, basado en las grandes banderas históricas del peronismo. […]</w:t>
      </w:r>
    </w:p>
    <w:p w:rsidR="00C75DFD" w:rsidRPr="00AC634D" w:rsidRDefault="00C75DFD" w:rsidP="00C414F3">
      <w:pPr>
        <w:rPr>
          <w:rFonts w:ascii="Times New Roman" w:hAnsi="Times New Roman" w:cs="Times New Roman"/>
          <w:sz w:val="6"/>
          <w:szCs w:val="24"/>
          <w:lang w:val="es-ES"/>
        </w:rPr>
      </w:pPr>
      <w:bookmarkStart w:id="0" w:name="_GoBack"/>
      <w:bookmarkEnd w:id="0"/>
    </w:p>
    <w:p w:rsidR="008A04EB" w:rsidRPr="00C9128C" w:rsidRDefault="008A04EB" w:rsidP="008A04EB">
      <w:pPr>
        <w:pStyle w:val="NormalWeb"/>
        <w:rPr>
          <w:b/>
        </w:rPr>
      </w:pPr>
      <w:r w:rsidRPr="00C9128C">
        <w:rPr>
          <w:b/>
        </w:rPr>
        <w:t xml:space="preserve">FUENTE </w:t>
      </w:r>
      <w:r w:rsidR="00AC634D">
        <w:rPr>
          <w:b/>
        </w:rPr>
        <w:t>4</w:t>
      </w:r>
      <w:r w:rsidRPr="00C9128C">
        <w:rPr>
          <w:b/>
        </w:rPr>
        <w:t xml:space="preserve">: Selección de fragmentos de la obra “Perón. El justicialismo en el poder en Argentina”, Alberto J. Pla, CEAL, 1972. </w:t>
      </w:r>
    </w:p>
    <w:p w:rsidR="008A04EB" w:rsidRPr="00C9128C" w:rsidRDefault="002D3DCC" w:rsidP="008A04EB">
      <w:pPr>
        <w:pStyle w:val="NormalWeb"/>
        <w:rPr>
          <w:b/>
        </w:rPr>
      </w:pPr>
      <w:r w:rsidRPr="00C9128C">
        <w:rPr>
          <w:b/>
        </w:rPr>
        <w:t>Fragmento 1 [página</w:t>
      </w:r>
      <w:r w:rsidR="008A04EB" w:rsidRPr="00C9128C">
        <w:rPr>
          <w:b/>
        </w:rPr>
        <w:t xml:space="preserve"> </w:t>
      </w:r>
      <w:r w:rsidRPr="00C9128C">
        <w:rPr>
          <w:b/>
        </w:rPr>
        <w:t>328</w:t>
      </w:r>
      <w:r w:rsidR="008A04EB" w:rsidRPr="00C9128C">
        <w:rPr>
          <w:b/>
        </w:rPr>
        <w:t xml:space="preserve">] </w:t>
      </w:r>
    </w:p>
    <w:p w:rsidR="002D3DCC" w:rsidRPr="00C9128C" w:rsidRDefault="002D3DCC" w:rsidP="008A04EB">
      <w:pPr>
        <w:pStyle w:val="NormalWeb"/>
      </w:pPr>
      <w:r w:rsidRPr="00C9128C">
        <w:t>El programa de La Falda</w:t>
      </w:r>
    </w:p>
    <w:p w:rsidR="002D3DCC" w:rsidRPr="00C9128C" w:rsidRDefault="002D3DCC" w:rsidP="002D3DCC">
      <w:pPr>
        <w:pStyle w:val="NormalWeb"/>
      </w:pPr>
      <w:r w:rsidRPr="00C9128C">
        <w:t>El Programa de La Falda fue resuelto en un plenario de delegaciones regionales de la CGT en 1957. Este programa, junto al de Huerta Grande</w:t>
      </w:r>
      <w:r w:rsidR="00227838" w:rsidRPr="00C9128C">
        <w:t xml:space="preserve"> [1962]</w:t>
      </w:r>
      <w:r w:rsidRPr="00C9128C">
        <w:t>, ha sid</w:t>
      </w:r>
      <w:r w:rsidR="00227838" w:rsidRPr="00C9128C">
        <w:t xml:space="preserve">o tomado por la CGT de Córdoba […] </w:t>
      </w:r>
      <w:r w:rsidRPr="00C9128C">
        <w:t xml:space="preserve">El programa dice: </w:t>
      </w:r>
    </w:p>
    <w:p w:rsidR="002D3DCC" w:rsidRPr="00C9128C" w:rsidRDefault="002D3DCC" w:rsidP="002D3DCC">
      <w:pPr>
        <w:pStyle w:val="NormalWeb"/>
      </w:pPr>
      <w:r w:rsidRPr="00C9128C">
        <w:t>“Visto:</w:t>
      </w:r>
    </w:p>
    <w:p w:rsidR="002D3DCC" w:rsidRPr="00C9128C" w:rsidRDefault="002D3DCC" w:rsidP="002D3DCC">
      <w:pPr>
        <w:spacing w:before="100" w:beforeAutospacing="1" w:after="100" w:afterAutospacing="1" w:line="240" w:lineRule="auto"/>
        <w:rPr>
          <w:rFonts w:ascii="Times New Roman" w:eastAsia="Times New Roman" w:hAnsi="Times New Roman" w:cs="Times New Roman"/>
          <w:sz w:val="24"/>
          <w:szCs w:val="24"/>
          <w:lang w:val="es-ES" w:eastAsia="es-ES"/>
        </w:rPr>
      </w:pPr>
      <w:r w:rsidRPr="002D3DCC">
        <w:rPr>
          <w:rFonts w:ascii="Times New Roman" w:eastAsia="Times New Roman" w:hAnsi="Times New Roman" w:cs="Times New Roman"/>
          <w:sz w:val="24"/>
          <w:szCs w:val="24"/>
          <w:lang w:val="es-ES" w:eastAsia="es-ES"/>
        </w:rPr>
        <w:t>La expresión magnífica de la madurez alcanzada por los trabajadores argentinos de hoy en más después de la experiencia de lucha vivida en los últimos años</w:t>
      </w:r>
      <w:r w:rsidRPr="00C9128C">
        <w:rPr>
          <w:rFonts w:ascii="Times New Roman" w:eastAsia="Times New Roman" w:hAnsi="Times New Roman" w:cs="Times New Roman"/>
          <w:sz w:val="24"/>
          <w:szCs w:val="24"/>
          <w:lang w:val="es-ES" w:eastAsia="es-ES"/>
        </w:rPr>
        <w:t xml:space="preserve"> [1955-1957]</w:t>
      </w:r>
      <w:r w:rsidRPr="002D3DCC">
        <w:rPr>
          <w:rFonts w:ascii="Times New Roman" w:eastAsia="Times New Roman" w:hAnsi="Times New Roman" w:cs="Times New Roman"/>
          <w:sz w:val="24"/>
          <w:szCs w:val="24"/>
          <w:lang w:val="es-ES" w:eastAsia="es-ES"/>
        </w:rPr>
        <w:t>, han demostrado que no solo su preocupación se limita a simples aumentos de sueldos y</w:t>
      </w:r>
      <w:r w:rsidRPr="00C9128C">
        <w:rPr>
          <w:rFonts w:ascii="Times New Roman" w:eastAsia="Times New Roman" w:hAnsi="Times New Roman" w:cs="Times New Roman"/>
          <w:sz w:val="24"/>
          <w:szCs w:val="24"/>
          <w:lang w:val="es-ES" w:eastAsia="es-ES"/>
        </w:rPr>
        <w:t>,</w:t>
      </w:r>
      <w:r w:rsidRPr="002D3DCC">
        <w:rPr>
          <w:rFonts w:ascii="Times New Roman" w:eastAsia="Times New Roman" w:hAnsi="Times New Roman" w:cs="Times New Roman"/>
          <w:sz w:val="24"/>
          <w:szCs w:val="24"/>
          <w:lang w:val="es-ES" w:eastAsia="es-ES"/>
        </w:rPr>
        <w:t xml:space="preserve"> afianzar sus organizaciones sindicales como medio de lucha, sino que también es preocupación constante el gran planteo nacional en función progresista de los asalariados, defendiendo la industria nacional, las fuentes energéticas y todo cuanto constituye las incidencias en l</w:t>
      </w:r>
      <w:r w:rsidRPr="00C9128C">
        <w:rPr>
          <w:rFonts w:ascii="Times New Roman" w:eastAsia="Times New Roman" w:hAnsi="Times New Roman" w:cs="Times New Roman"/>
          <w:sz w:val="24"/>
          <w:szCs w:val="24"/>
          <w:lang w:val="es-ES" w:eastAsia="es-ES"/>
        </w:rPr>
        <w:t>o económico, social y político;</w:t>
      </w:r>
    </w:p>
    <w:p w:rsidR="002D3DCC" w:rsidRPr="00C9128C" w:rsidRDefault="002D3DCC" w:rsidP="002D3DCC">
      <w:pPr>
        <w:spacing w:before="100" w:beforeAutospacing="1" w:after="100" w:afterAutospacing="1" w:line="240" w:lineRule="auto"/>
        <w:rPr>
          <w:rFonts w:ascii="Times New Roman" w:eastAsia="Times New Roman" w:hAnsi="Times New Roman" w:cs="Times New Roman"/>
          <w:sz w:val="24"/>
          <w:szCs w:val="24"/>
          <w:lang w:val="es-ES" w:eastAsia="es-ES"/>
        </w:rPr>
      </w:pPr>
      <w:r w:rsidRPr="00C9128C">
        <w:rPr>
          <w:rFonts w:ascii="Times New Roman" w:eastAsia="Times New Roman" w:hAnsi="Times New Roman" w:cs="Times New Roman"/>
          <w:sz w:val="24"/>
          <w:szCs w:val="24"/>
          <w:lang w:val="es-ES" w:eastAsia="es-ES"/>
        </w:rPr>
        <w:t xml:space="preserve">Y considerando: </w:t>
      </w:r>
    </w:p>
    <w:p w:rsidR="002D3DCC" w:rsidRPr="00C9128C" w:rsidRDefault="002D3DCC" w:rsidP="002D3DCC">
      <w:pPr>
        <w:spacing w:before="100" w:beforeAutospacing="1" w:after="100" w:afterAutospacing="1" w:line="240" w:lineRule="auto"/>
        <w:rPr>
          <w:rFonts w:ascii="Times New Roman" w:eastAsia="Times New Roman" w:hAnsi="Times New Roman" w:cs="Times New Roman"/>
          <w:sz w:val="24"/>
          <w:szCs w:val="24"/>
          <w:lang w:val="es-ES" w:eastAsia="es-ES"/>
        </w:rPr>
      </w:pPr>
      <w:r w:rsidRPr="00C9128C">
        <w:rPr>
          <w:rFonts w:ascii="Times New Roman" w:eastAsia="Times New Roman" w:hAnsi="Times New Roman" w:cs="Times New Roman"/>
          <w:sz w:val="24"/>
          <w:szCs w:val="24"/>
          <w:lang w:val="es-ES" w:eastAsia="es-ES"/>
        </w:rPr>
        <w:t>Q</w:t>
      </w:r>
      <w:r w:rsidRPr="002D3DCC">
        <w:rPr>
          <w:rFonts w:ascii="Times New Roman" w:eastAsia="Times New Roman" w:hAnsi="Times New Roman" w:cs="Times New Roman"/>
          <w:sz w:val="24"/>
          <w:szCs w:val="24"/>
          <w:lang w:val="es-ES" w:eastAsia="es-ES"/>
        </w:rPr>
        <w:t xml:space="preserve">ue se hace indispensable la disponibilidad concreta de una programación económica, política y social a fin de poder realizar todas las tareas pendientes de índole inmediata para lograr la concreción definitiva de dichos resultados. Que es necesario contar con una programación que signifique elemento de esclarecimiento y a la par instrumento de lucha en todas las organizaciones obreras. que es unánime el pensamiento de la clase trabajadora en torno a concreciones económico, política y social, que sintetice el afán de lograr una nación que pueda integrar una economía independiente a través de una política social que al consagrar la justicia establezca en forma definitiva nuestra soberanía de nación. Por todo ello, la reunión plenaria nacional de delegados regionales </w:t>
      </w:r>
    </w:p>
    <w:p w:rsidR="002D3DCC" w:rsidRPr="00C9128C" w:rsidRDefault="002D3DCC" w:rsidP="002D3DCC">
      <w:pPr>
        <w:spacing w:before="100" w:beforeAutospacing="1" w:after="100" w:afterAutospacing="1" w:line="240" w:lineRule="auto"/>
        <w:rPr>
          <w:rFonts w:ascii="Times New Roman" w:eastAsia="Times New Roman" w:hAnsi="Times New Roman" w:cs="Times New Roman"/>
          <w:sz w:val="24"/>
          <w:szCs w:val="24"/>
          <w:lang w:val="es-ES" w:eastAsia="es-ES"/>
        </w:rPr>
      </w:pPr>
      <w:r w:rsidRPr="00C9128C">
        <w:rPr>
          <w:rFonts w:ascii="Times New Roman" w:eastAsia="Times New Roman" w:hAnsi="Times New Roman" w:cs="Times New Roman"/>
          <w:sz w:val="24"/>
          <w:szCs w:val="24"/>
          <w:lang w:val="es-ES" w:eastAsia="es-ES"/>
        </w:rPr>
        <w:t xml:space="preserve">Resuelve: </w:t>
      </w:r>
    </w:p>
    <w:p w:rsidR="002D3DCC" w:rsidRPr="002D3DCC" w:rsidRDefault="002D3DCC" w:rsidP="002D3DCC">
      <w:pPr>
        <w:spacing w:before="100" w:beforeAutospacing="1" w:after="100" w:afterAutospacing="1" w:line="240" w:lineRule="auto"/>
        <w:rPr>
          <w:rFonts w:ascii="Times New Roman" w:eastAsia="Times New Roman" w:hAnsi="Times New Roman" w:cs="Times New Roman"/>
          <w:sz w:val="24"/>
          <w:szCs w:val="24"/>
          <w:lang w:val="es-ES" w:eastAsia="es-ES"/>
        </w:rPr>
      </w:pPr>
      <w:r w:rsidRPr="002D3DCC">
        <w:rPr>
          <w:rFonts w:ascii="Times New Roman" w:eastAsia="Times New Roman" w:hAnsi="Times New Roman" w:cs="Times New Roman"/>
          <w:sz w:val="24"/>
          <w:szCs w:val="24"/>
          <w:lang w:val="es-ES" w:eastAsia="es-ES"/>
        </w:rPr>
        <w:t>Elevar como expresión de anhelos de este plenario a la mesa coordinadora de las 62 organizaciones para su consideración el siguiente programa:</w:t>
      </w:r>
    </w:p>
    <w:p w:rsidR="002D3DCC" w:rsidRPr="00C9128C" w:rsidRDefault="002D3DCC" w:rsidP="002D3DCC">
      <w:pPr>
        <w:spacing w:before="100" w:beforeAutospacing="1" w:after="100" w:afterAutospacing="1" w:line="240" w:lineRule="auto"/>
        <w:rPr>
          <w:rFonts w:ascii="Times New Roman" w:eastAsia="Times New Roman" w:hAnsi="Times New Roman" w:cs="Times New Roman"/>
          <w:sz w:val="24"/>
          <w:szCs w:val="24"/>
          <w:lang w:val="es-ES" w:eastAsia="es-ES"/>
        </w:rPr>
      </w:pPr>
      <w:r w:rsidRPr="00C9128C">
        <w:rPr>
          <w:rFonts w:ascii="Times New Roman" w:eastAsia="Times New Roman" w:hAnsi="Times New Roman" w:cs="Times New Roman"/>
          <w:sz w:val="24"/>
          <w:szCs w:val="24"/>
          <w:lang w:val="es-ES" w:eastAsia="es-ES"/>
        </w:rPr>
        <w:lastRenderedPageBreak/>
        <w:t>Independencia en el aspecto económico</w:t>
      </w:r>
    </w:p>
    <w:p w:rsidR="002D3DCC" w:rsidRPr="00C9128C" w:rsidRDefault="002D3DCC" w:rsidP="002D3DCC">
      <w:pPr>
        <w:spacing w:before="100" w:beforeAutospacing="1" w:after="100" w:afterAutospacing="1" w:line="240" w:lineRule="auto"/>
        <w:rPr>
          <w:rFonts w:ascii="Times New Roman" w:eastAsia="Times New Roman" w:hAnsi="Times New Roman" w:cs="Times New Roman"/>
          <w:sz w:val="24"/>
          <w:szCs w:val="24"/>
          <w:lang w:val="es-ES" w:eastAsia="es-ES"/>
        </w:rPr>
      </w:pPr>
      <w:r w:rsidRPr="00C9128C">
        <w:rPr>
          <w:rFonts w:ascii="Times New Roman" w:eastAsia="Times New Roman" w:hAnsi="Times New Roman" w:cs="Times New Roman"/>
          <w:sz w:val="24"/>
          <w:szCs w:val="24"/>
          <w:lang w:val="es-ES" w:eastAsia="es-ES"/>
        </w:rPr>
        <w:t>Para el logro de la independencia económica en forma integral se hace indispensable sostener:</w:t>
      </w:r>
    </w:p>
    <w:p w:rsidR="002D3DCC" w:rsidRPr="00C9128C" w:rsidRDefault="00227838" w:rsidP="00227838">
      <w:pPr>
        <w:spacing w:after="0" w:line="240" w:lineRule="auto"/>
        <w:rPr>
          <w:rFonts w:ascii="Times New Roman" w:eastAsia="Times New Roman" w:hAnsi="Times New Roman" w:cs="Times New Roman"/>
          <w:sz w:val="24"/>
          <w:szCs w:val="24"/>
          <w:lang w:val="es-ES" w:eastAsia="es-ES"/>
        </w:rPr>
      </w:pPr>
      <w:r w:rsidRPr="00C9128C">
        <w:rPr>
          <w:rFonts w:ascii="Times New Roman" w:eastAsia="Times New Roman" w:hAnsi="Times New Roman" w:cs="Times New Roman"/>
          <w:sz w:val="24"/>
          <w:szCs w:val="24"/>
          <w:lang w:val="es-ES" w:eastAsia="es-ES"/>
        </w:rPr>
        <w:t xml:space="preserve">a) </w:t>
      </w:r>
      <w:r w:rsidR="002D3DCC" w:rsidRPr="00C9128C">
        <w:rPr>
          <w:rFonts w:ascii="Times New Roman" w:eastAsia="Times New Roman" w:hAnsi="Times New Roman" w:cs="Times New Roman"/>
          <w:sz w:val="24"/>
          <w:szCs w:val="24"/>
          <w:lang w:val="es-ES" w:eastAsia="es-ES"/>
        </w:rPr>
        <w:t>Comercio Exterior:</w:t>
      </w:r>
    </w:p>
    <w:p w:rsidR="00227838" w:rsidRPr="00C9128C" w:rsidRDefault="00227838" w:rsidP="00227838">
      <w:pPr>
        <w:spacing w:after="0" w:line="240" w:lineRule="auto"/>
        <w:rPr>
          <w:rFonts w:ascii="Times New Roman" w:eastAsia="Times New Roman" w:hAnsi="Times New Roman" w:cs="Times New Roman"/>
          <w:sz w:val="24"/>
          <w:szCs w:val="24"/>
          <w:lang w:val="es-ES" w:eastAsia="es-ES"/>
        </w:rPr>
      </w:pPr>
    </w:p>
    <w:p w:rsidR="002D3DCC" w:rsidRPr="00C9128C" w:rsidRDefault="002D3DCC" w:rsidP="00227838">
      <w:pPr>
        <w:spacing w:after="0" w:line="240" w:lineRule="auto"/>
        <w:rPr>
          <w:rFonts w:ascii="Times New Roman" w:eastAsia="Times New Roman" w:hAnsi="Times New Roman" w:cs="Times New Roman"/>
          <w:sz w:val="24"/>
          <w:szCs w:val="24"/>
          <w:lang w:val="es-ES" w:eastAsia="es-ES"/>
        </w:rPr>
      </w:pPr>
      <w:r w:rsidRPr="00C9128C">
        <w:rPr>
          <w:rFonts w:ascii="Times New Roman" w:eastAsia="Times New Roman" w:hAnsi="Times New Roman" w:cs="Times New Roman"/>
          <w:sz w:val="24"/>
          <w:szCs w:val="24"/>
          <w:lang w:val="es-ES" w:eastAsia="es-ES"/>
        </w:rPr>
        <w:t xml:space="preserve">1. control estatal del comercio exterior sobre las bases de la formación de un monopolio estatal. </w:t>
      </w:r>
    </w:p>
    <w:p w:rsidR="002D3DCC" w:rsidRPr="00C9128C" w:rsidRDefault="002D3DCC" w:rsidP="00227838">
      <w:pPr>
        <w:spacing w:after="0" w:line="240" w:lineRule="auto"/>
        <w:rPr>
          <w:rFonts w:ascii="Times New Roman" w:eastAsia="Times New Roman" w:hAnsi="Times New Roman" w:cs="Times New Roman"/>
          <w:sz w:val="24"/>
          <w:szCs w:val="24"/>
          <w:lang w:val="es-ES" w:eastAsia="es-ES"/>
        </w:rPr>
      </w:pPr>
      <w:r w:rsidRPr="00C9128C">
        <w:rPr>
          <w:rFonts w:ascii="Times New Roman" w:eastAsia="Times New Roman" w:hAnsi="Times New Roman" w:cs="Times New Roman"/>
          <w:sz w:val="24"/>
          <w:szCs w:val="24"/>
          <w:lang w:val="es-ES" w:eastAsia="es-ES"/>
        </w:rPr>
        <w:t xml:space="preserve">2. Liquidación de los monopolios extranjeros de importación y exportación. </w:t>
      </w:r>
    </w:p>
    <w:p w:rsidR="002D3DCC" w:rsidRPr="00C9128C" w:rsidRDefault="002D3DCC" w:rsidP="00227838">
      <w:pPr>
        <w:spacing w:after="0" w:line="240" w:lineRule="auto"/>
        <w:rPr>
          <w:rFonts w:ascii="Times New Roman" w:eastAsia="Times New Roman" w:hAnsi="Times New Roman" w:cs="Times New Roman"/>
          <w:sz w:val="24"/>
          <w:szCs w:val="24"/>
          <w:lang w:val="es-ES" w:eastAsia="es-ES"/>
        </w:rPr>
      </w:pPr>
      <w:r w:rsidRPr="00C9128C">
        <w:rPr>
          <w:rFonts w:ascii="Times New Roman" w:eastAsia="Times New Roman" w:hAnsi="Times New Roman" w:cs="Times New Roman"/>
          <w:sz w:val="24"/>
          <w:szCs w:val="24"/>
          <w:lang w:val="es-ES" w:eastAsia="es-ES"/>
        </w:rPr>
        <w:t xml:space="preserve">3. Control de los productos en las operaciones comerciales con un sentido de defensa de la renta nacional. Planificación del proceso en vista a las necesidades del país en función de su desarrollo histórico, teniendo presente el interés de la clase laboriosa. </w:t>
      </w:r>
    </w:p>
    <w:p w:rsidR="002D3DCC" w:rsidRPr="00C9128C" w:rsidRDefault="002D3DCC" w:rsidP="00227838">
      <w:pPr>
        <w:spacing w:after="0" w:line="240" w:lineRule="auto"/>
        <w:rPr>
          <w:rFonts w:ascii="Times New Roman" w:eastAsia="Times New Roman" w:hAnsi="Times New Roman" w:cs="Times New Roman"/>
          <w:sz w:val="24"/>
          <w:szCs w:val="24"/>
          <w:lang w:val="es-ES" w:eastAsia="es-ES"/>
        </w:rPr>
      </w:pPr>
      <w:r w:rsidRPr="00C9128C">
        <w:rPr>
          <w:rFonts w:ascii="Times New Roman" w:eastAsia="Times New Roman" w:hAnsi="Times New Roman" w:cs="Times New Roman"/>
          <w:sz w:val="24"/>
          <w:szCs w:val="24"/>
          <w:lang w:val="es-ES" w:eastAsia="es-ES"/>
        </w:rPr>
        <w:t xml:space="preserve">4. Ampliación y diversificación de los mercados internacionales de manera que los monopolios extranjeros no nos impongan bajos precios para nuestros productos y teniendo presente la experiencia sufrida frente a las metrópolis imperialistas que </w:t>
      </w:r>
      <w:r w:rsidR="00227838" w:rsidRPr="00C9128C">
        <w:rPr>
          <w:rFonts w:ascii="Times New Roman" w:eastAsia="Times New Roman" w:hAnsi="Times New Roman" w:cs="Times New Roman"/>
          <w:sz w:val="24"/>
          <w:szCs w:val="24"/>
          <w:lang w:val="es-ES" w:eastAsia="es-ES"/>
        </w:rPr>
        <w:t>“</w:t>
      </w:r>
      <w:r w:rsidRPr="00C9128C">
        <w:rPr>
          <w:rFonts w:ascii="Times New Roman" w:eastAsia="Times New Roman" w:hAnsi="Times New Roman" w:cs="Times New Roman"/>
          <w:sz w:val="24"/>
          <w:szCs w:val="24"/>
          <w:lang w:val="es-ES" w:eastAsia="es-ES"/>
        </w:rPr>
        <w:t>compran barato y nos venden caro</w:t>
      </w:r>
      <w:r w:rsidR="00227838" w:rsidRPr="00C9128C">
        <w:rPr>
          <w:rFonts w:ascii="Times New Roman" w:eastAsia="Times New Roman" w:hAnsi="Times New Roman" w:cs="Times New Roman"/>
          <w:sz w:val="24"/>
          <w:szCs w:val="24"/>
          <w:lang w:val="es-ES" w:eastAsia="es-ES"/>
        </w:rPr>
        <w:t>”</w:t>
      </w:r>
      <w:r w:rsidRPr="00C9128C">
        <w:rPr>
          <w:rFonts w:ascii="Times New Roman" w:eastAsia="Times New Roman" w:hAnsi="Times New Roman" w:cs="Times New Roman"/>
          <w:sz w:val="24"/>
          <w:szCs w:val="24"/>
          <w:lang w:val="es-ES" w:eastAsia="es-ES"/>
        </w:rPr>
        <w:t xml:space="preserve">. </w:t>
      </w:r>
    </w:p>
    <w:p w:rsidR="002D3DCC" w:rsidRPr="00C9128C" w:rsidRDefault="002D3DCC" w:rsidP="00227838">
      <w:pPr>
        <w:spacing w:after="0" w:line="240" w:lineRule="auto"/>
        <w:rPr>
          <w:rFonts w:ascii="Times New Roman" w:eastAsia="Times New Roman" w:hAnsi="Times New Roman" w:cs="Times New Roman"/>
          <w:sz w:val="24"/>
          <w:szCs w:val="24"/>
          <w:lang w:val="es-ES" w:eastAsia="es-ES"/>
        </w:rPr>
      </w:pPr>
      <w:r w:rsidRPr="00C9128C">
        <w:rPr>
          <w:rFonts w:ascii="Times New Roman" w:eastAsia="Times New Roman" w:hAnsi="Times New Roman" w:cs="Times New Roman"/>
          <w:sz w:val="24"/>
          <w:szCs w:val="24"/>
          <w:lang w:val="es-ES" w:eastAsia="es-ES"/>
        </w:rPr>
        <w:t xml:space="preserve">5. Denuncia de todos los pactos lesivos de nuestra independencia económica concluidos por el gobierno provisional [Revolución Libertadora], más allá de todas las facultades como gobierno de facto. </w:t>
      </w:r>
    </w:p>
    <w:p w:rsidR="002D3DCC" w:rsidRPr="00C9128C" w:rsidRDefault="002D3DCC" w:rsidP="00227838">
      <w:pPr>
        <w:spacing w:after="0" w:line="240" w:lineRule="auto"/>
        <w:rPr>
          <w:rFonts w:ascii="Times New Roman" w:eastAsia="Times New Roman" w:hAnsi="Times New Roman" w:cs="Times New Roman"/>
          <w:sz w:val="24"/>
          <w:szCs w:val="24"/>
          <w:lang w:val="es-ES" w:eastAsia="es-ES"/>
        </w:rPr>
      </w:pPr>
      <w:r w:rsidRPr="00C9128C">
        <w:rPr>
          <w:rFonts w:ascii="Times New Roman" w:eastAsia="Times New Roman" w:hAnsi="Times New Roman" w:cs="Times New Roman"/>
          <w:sz w:val="24"/>
          <w:szCs w:val="24"/>
          <w:lang w:val="es-ES" w:eastAsia="es-ES"/>
        </w:rPr>
        <w:t xml:space="preserve">6. Planificación de la comercialización teniendo presente nuestro desarrollo interno. </w:t>
      </w:r>
    </w:p>
    <w:p w:rsidR="002D3DCC" w:rsidRPr="00C9128C" w:rsidRDefault="002D3DCC" w:rsidP="00227838">
      <w:pPr>
        <w:spacing w:after="0" w:line="240" w:lineRule="auto"/>
        <w:rPr>
          <w:rFonts w:ascii="Times New Roman" w:eastAsia="Times New Roman" w:hAnsi="Times New Roman" w:cs="Times New Roman"/>
          <w:sz w:val="24"/>
          <w:szCs w:val="24"/>
          <w:lang w:val="es-ES" w:eastAsia="es-ES"/>
        </w:rPr>
      </w:pPr>
      <w:r w:rsidRPr="00C9128C">
        <w:rPr>
          <w:rFonts w:ascii="Times New Roman" w:eastAsia="Times New Roman" w:hAnsi="Times New Roman" w:cs="Times New Roman"/>
          <w:sz w:val="24"/>
          <w:szCs w:val="24"/>
          <w:lang w:val="es-ES" w:eastAsia="es-ES"/>
        </w:rPr>
        <w:t>7. Integración económica con los pueblos hermanos de Latinoamérica sobre las bases de las experiencias realizadas.</w:t>
      </w:r>
    </w:p>
    <w:p w:rsidR="00227838" w:rsidRPr="00C9128C" w:rsidRDefault="00227838" w:rsidP="00227838">
      <w:pPr>
        <w:spacing w:before="100" w:beforeAutospacing="1" w:after="100" w:afterAutospacing="1" w:line="240" w:lineRule="auto"/>
        <w:rPr>
          <w:rFonts w:ascii="Times New Roman" w:eastAsia="Times New Roman" w:hAnsi="Times New Roman" w:cs="Times New Roman"/>
          <w:sz w:val="24"/>
          <w:szCs w:val="24"/>
          <w:lang w:val="es-ES" w:eastAsia="es-ES"/>
        </w:rPr>
      </w:pPr>
      <w:r w:rsidRPr="00C9128C">
        <w:rPr>
          <w:rFonts w:ascii="Times New Roman" w:eastAsia="Times New Roman" w:hAnsi="Times New Roman" w:cs="Times New Roman"/>
          <w:sz w:val="24"/>
          <w:szCs w:val="24"/>
          <w:lang w:val="es-ES" w:eastAsia="es-ES"/>
        </w:rPr>
        <w:t>b) En el Orden Interno:</w:t>
      </w:r>
    </w:p>
    <w:p w:rsidR="00227838" w:rsidRPr="00C9128C" w:rsidRDefault="00227838" w:rsidP="00227838">
      <w:pPr>
        <w:pStyle w:val="NormalWeb"/>
        <w:numPr>
          <w:ilvl w:val="0"/>
          <w:numId w:val="5"/>
        </w:numPr>
        <w:ind w:left="426"/>
      </w:pPr>
      <w:r w:rsidRPr="00C9128C">
        <w:t xml:space="preserve">Política de alto consumo interno, altos salarios, mayor producción para el país con sentido social. </w:t>
      </w:r>
    </w:p>
    <w:p w:rsidR="00227838" w:rsidRPr="00C9128C" w:rsidRDefault="00227838" w:rsidP="00227838">
      <w:pPr>
        <w:pStyle w:val="NormalWeb"/>
        <w:numPr>
          <w:ilvl w:val="0"/>
          <w:numId w:val="5"/>
        </w:numPr>
        <w:ind w:left="426"/>
      </w:pPr>
      <w:r w:rsidRPr="00C9128C">
        <w:t xml:space="preserve">Desarrollo de la industria liviana adecuada a las necesidades del país. </w:t>
      </w:r>
    </w:p>
    <w:p w:rsidR="00227838" w:rsidRPr="00C9128C" w:rsidRDefault="00227838" w:rsidP="00227838">
      <w:pPr>
        <w:pStyle w:val="NormalWeb"/>
        <w:numPr>
          <w:ilvl w:val="0"/>
          <w:numId w:val="5"/>
        </w:numPr>
        <w:ind w:left="426"/>
      </w:pPr>
      <w:r w:rsidRPr="00C9128C">
        <w:t xml:space="preserve">Incremento de una política económica tendiente a lograr la consolidación de la industria pesada, base de cualquier desarrollo futuro. </w:t>
      </w:r>
    </w:p>
    <w:p w:rsidR="00227838" w:rsidRPr="00C9128C" w:rsidRDefault="00227838" w:rsidP="00227838">
      <w:pPr>
        <w:pStyle w:val="NormalWeb"/>
        <w:numPr>
          <w:ilvl w:val="0"/>
          <w:numId w:val="5"/>
        </w:numPr>
        <w:ind w:left="426"/>
      </w:pPr>
      <w:r w:rsidRPr="00C9128C">
        <w:t xml:space="preserve">Política energética nacional. Para ello se hace indispensable la nacionalización de las fuentes naturales de energía y su explotación en función de las necesidades del desarrollo del país. </w:t>
      </w:r>
    </w:p>
    <w:p w:rsidR="00227838" w:rsidRPr="00C9128C" w:rsidRDefault="00227838" w:rsidP="00227838">
      <w:pPr>
        <w:pStyle w:val="NormalWeb"/>
        <w:numPr>
          <w:ilvl w:val="0"/>
          <w:numId w:val="5"/>
        </w:numPr>
        <w:ind w:left="426"/>
      </w:pPr>
      <w:r w:rsidRPr="00C9128C">
        <w:t xml:space="preserve">Nacionalización de los servicios públicos, adecuando su explotación no con un carácter lucrativo, sino dirigido a orientar y consolidar la política de independencia económica en su aspecto integral. </w:t>
      </w:r>
    </w:p>
    <w:p w:rsidR="00227838" w:rsidRPr="00C9128C" w:rsidRDefault="00227838" w:rsidP="00227838">
      <w:pPr>
        <w:pStyle w:val="NormalWeb"/>
        <w:numPr>
          <w:ilvl w:val="0"/>
          <w:numId w:val="5"/>
        </w:numPr>
        <w:ind w:left="426"/>
      </w:pPr>
      <w:r w:rsidRPr="00C9128C">
        <w:t xml:space="preserve">Nacionalización de los frigoríficos extranjeros a fin de posibilitar la eficacia del control del comercio exterior, sustrayendo de manos de los monopolios extranjeros dichos resortes básicos de nuestra economía. </w:t>
      </w:r>
    </w:p>
    <w:p w:rsidR="00227838" w:rsidRPr="00C9128C" w:rsidRDefault="00227838" w:rsidP="00227838">
      <w:pPr>
        <w:pStyle w:val="NormalWeb"/>
        <w:numPr>
          <w:ilvl w:val="0"/>
          <w:numId w:val="5"/>
        </w:numPr>
        <w:ind w:left="426"/>
      </w:pPr>
      <w:r w:rsidRPr="00C9128C">
        <w:t xml:space="preserve">Soluciones de fondo, con sentido nacional, a los problemas económicos regionales, sobre la base de integrar dichas economías a las reales necesidades del país, superando la actual división entre provincias ricas y pobres. </w:t>
      </w:r>
    </w:p>
    <w:p w:rsidR="00227838" w:rsidRPr="00C9128C" w:rsidRDefault="00227838" w:rsidP="00227838">
      <w:pPr>
        <w:pStyle w:val="NormalWeb"/>
        <w:numPr>
          <w:ilvl w:val="0"/>
          <w:numId w:val="5"/>
        </w:numPr>
        <w:ind w:left="426"/>
      </w:pPr>
      <w:r w:rsidRPr="00C9128C">
        <w:t xml:space="preserve">Control centralizado del crédito por parte del Estado, adecuándolo a un plan de desarrollo integral de la economía con vistas a los intereses de los trabajadores. </w:t>
      </w:r>
    </w:p>
    <w:p w:rsidR="00227838" w:rsidRPr="00C9128C" w:rsidRDefault="00227838" w:rsidP="00227838">
      <w:pPr>
        <w:pStyle w:val="NormalWeb"/>
        <w:numPr>
          <w:ilvl w:val="0"/>
          <w:numId w:val="5"/>
        </w:numPr>
        <w:ind w:left="426"/>
      </w:pPr>
      <w:r w:rsidRPr="00C9128C">
        <w:t xml:space="preserve">Programa agrario sintetizado en: mecanización del agro, tendencia de la industria nacional, expropiación del latifundio y extensión del cooperativismo agrario en procura de que la tierra sea de quien la trabaja. </w:t>
      </w:r>
    </w:p>
    <w:p w:rsidR="00227838" w:rsidRPr="00C9128C" w:rsidRDefault="00227838" w:rsidP="00227838">
      <w:pPr>
        <w:pStyle w:val="NormalWeb"/>
        <w:numPr>
          <w:ilvl w:val="0"/>
          <w:numId w:val="5"/>
        </w:numPr>
        <w:ind w:left="426"/>
      </w:pPr>
      <w:r w:rsidRPr="00C9128C">
        <w:t xml:space="preserve">Planificación de una acción tendiente a la recuperación para el país de zonas económicas potencialmente ricas, ahogadas por la orientación portuaria de nuestra economía. Para ello, política de caminos, ferrocarriles y demás transportes hacia el interior con sentido de integración de las distintas zonas económicas, política de irrigación, diques, conectada con un aprovechamiento de la energía hidroeléctrica. </w:t>
      </w:r>
    </w:p>
    <w:p w:rsidR="002D3DCC" w:rsidRPr="00C9128C" w:rsidRDefault="00227838" w:rsidP="00E90E2D">
      <w:pPr>
        <w:pStyle w:val="NormalWeb"/>
        <w:numPr>
          <w:ilvl w:val="0"/>
          <w:numId w:val="5"/>
        </w:numPr>
        <w:ind w:left="426"/>
      </w:pPr>
      <w:r w:rsidRPr="0035635F">
        <w:t>Política de tierras fiscales dirigida a lograr una mayor producción mediante un mayor control de los auténticos productores.</w:t>
      </w:r>
    </w:p>
    <w:sectPr w:rsidR="002D3DCC" w:rsidRPr="00C9128C" w:rsidSect="00227838">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T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A41E2"/>
    <w:multiLevelType w:val="hybridMultilevel"/>
    <w:tmpl w:val="62DE6540"/>
    <w:lvl w:ilvl="0" w:tplc="2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0F10DB5"/>
    <w:multiLevelType w:val="hybridMultilevel"/>
    <w:tmpl w:val="4154B262"/>
    <w:lvl w:ilvl="0" w:tplc="DD885A3C">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50656D7D"/>
    <w:multiLevelType w:val="hybridMultilevel"/>
    <w:tmpl w:val="DE4EE6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89B5A7D"/>
    <w:multiLevelType w:val="hybridMultilevel"/>
    <w:tmpl w:val="70084C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B7B1E10"/>
    <w:multiLevelType w:val="hybridMultilevel"/>
    <w:tmpl w:val="62B408C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4F3"/>
    <w:rsid w:val="00227838"/>
    <w:rsid w:val="002676C7"/>
    <w:rsid w:val="002D3DCC"/>
    <w:rsid w:val="0035635F"/>
    <w:rsid w:val="0066777B"/>
    <w:rsid w:val="008A04EB"/>
    <w:rsid w:val="00AC634D"/>
    <w:rsid w:val="00BA7577"/>
    <w:rsid w:val="00C414F3"/>
    <w:rsid w:val="00C75DFD"/>
    <w:rsid w:val="00C9128C"/>
    <w:rsid w:val="00E43CE5"/>
    <w:rsid w:val="00E46409"/>
    <w:rsid w:val="00F003B6"/>
    <w:rsid w:val="00F26148"/>
    <w:rsid w:val="00F476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F3F63"/>
  <w15:chartTrackingRefBased/>
  <w15:docId w15:val="{721E9F70-99B7-4C3A-B85E-FD91A10D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14F3"/>
  </w:style>
  <w:style w:type="paragraph" w:styleId="Heading2">
    <w:name w:val="heading 2"/>
    <w:basedOn w:val="Normal"/>
    <w:link w:val="Heading2Char"/>
    <w:uiPriority w:val="9"/>
    <w:qFormat/>
    <w:rsid w:val="0035635F"/>
    <w:pPr>
      <w:spacing w:before="100" w:beforeAutospacing="1" w:after="100" w:afterAutospacing="1" w:line="240" w:lineRule="auto"/>
      <w:outlineLvl w:val="1"/>
    </w:pPr>
    <w:rPr>
      <w:rFonts w:ascii="Times New Roman" w:eastAsia="Times New Roman" w:hAnsi="Times New Roman" w:cs="Times New Roman"/>
      <w:b/>
      <w:bCs/>
      <w:sz w:val="36"/>
      <w:szCs w:val="36"/>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DIO">
    <w:name w:val="CLAUDIO"/>
    <w:basedOn w:val="Normal"/>
    <w:link w:val="CLAUDIOChar"/>
    <w:autoRedefine/>
    <w:qFormat/>
    <w:rsid w:val="00F47688"/>
    <w:pPr>
      <w:spacing w:after="0" w:line="240" w:lineRule="auto"/>
    </w:pPr>
    <w:rPr>
      <w:sz w:val="18"/>
    </w:rPr>
  </w:style>
  <w:style w:type="character" w:customStyle="1" w:styleId="CLAUDIOChar">
    <w:name w:val="CLAUDIO Char"/>
    <w:basedOn w:val="DefaultParagraphFont"/>
    <w:link w:val="CLAUDIO"/>
    <w:rsid w:val="00F47688"/>
    <w:rPr>
      <w:sz w:val="18"/>
    </w:rPr>
  </w:style>
  <w:style w:type="paragraph" w:styleId="NormalWeb">
    <w:name w:val="Normal (Web)"/>
    <w:basedOn w:val="Normal"/>
    <w:uiPriority w:val="99"/>
    <w:unhideWhenUsed/>
    <w:rsid w:val="00C414F3"/>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ListParagraph">
    <w:name w:val="List Paragraph"/>
    <w:basedOn w:val="Normal"/>
    <w:uiPriority w:val="34"/>
    <w:qFormat/>
    <w:rsid w:val="002D3DCC"/>
    <w:pPr>
      <w:ind w:left="720"/>
      <w:contextualSpacing/>
    </w:pPr>
  </w:style>
  <w:style w:type="paragraph" w:customStyle="1" w:styleId="postexcerpt">
    <w:name w:val="post_excerpt"/>
    <w:basedOn w:val="Normal"/>
    <w:rsid w:val="00C9128C"/>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22"/>
    <w:qFormat/>
    <w:rsid w:val="00C9128C"/>
    <w:rPr>
      <w:b/>
      <w:bCs/>
    </w:rPr>
  </w:style>
  <w:style w:type="character" w:styleId="Hyperlink">
    <w:name w:val="Hyperlink"/>
    <w:basedOn w:val="DefaultParagraphFont"/>
    <w:uiPriority w:val="99"/>
    <w:unhideWhenUsed/>
    <w:rsid w:val="00C9128C"/>
    <w:rPr>
      <w:color w:val="0563C1" w:themeColor="hyperlink"/>
      <w:u w:val="single"/>
    </w:rPr>
  </w:style>
  <w:style w:type="character" w:customStyle="1" w:styleId="Heading2Char">
    <w:name w:val="Heading 2 Char"/>
    <w:basedOn w:val="DefaultParagraphFont"/>
    <w:link w:val="Heading2"/>
    <w:uiPriority w:val="9"/>
    <w:rsid w:val="0035635F"/>
    <w:rPr>
      <w:rFonts w:ascii="Times New Roman" w:eastAsia="Times New Roman" w:hAnsi="Times New Roman" w:cs="Times New Roman"/>
      <w:b/>
      <w:bCs/>
      <w:sz w:val="36"/>
      <w:szCs w:val="3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07878">
      <w:bodyDiv w:val="1"/>
      <w:marLeft w:val="0"/>
      <w:marRight w:val="0"/>
      <w:marTop w:val="0"/>
      <w:marBottom w:val="0"/>
      <w:divBdr>
        <w:top w:val="none" w:sz="0" w:space="0" w:color="auto"/>
        <w:left w:val="none" w:sz="0" w:space="0" w:color="auto"/>
        <w:bottom w:val="none" w:sz="0" w:space="0" w:color="auto"/>
        <w:right w:val="none" w:sz="0" w:space="0" w:color="auto"/>
      </w:divBdr>
    </w:div>
    <w:div w:id="634601730">
      <w:bodyDiv w:val="1"/>
      <w:marLeft w:val="0"/>
      <w:marRight w:val="0"/>
      <w:marTop w:val="0"/>
      <w:marBottom w:val="0"/>
      <w:divBdr>
        <w:top w:val="none" w:sz="0" w:space="0" w:color="auto"/>
        <w:left w:val="none" w:sz="0" w:space="0" w:color="auto"/>
        <w:bottom w:val="none" w:sz="0" w:space="0" w:color="auto"/>
        <w:right w:val="none" w:sz="0" w:space="0" w:color="auto"/>
      </w:divBdr>
    </w:div>
    <w:div w:id="735278487">
      <w:bodyDiv w:val="1"/>
      <w:marLeft w:val="0"/>
      <w:marRight w:val="0"/>
      <w:marTop w:val="0"/>
      <w:marBottom w:val="0"/>
      <w:divBdr>
        <w:top w:val="none" w:sz="0" w:space="0" w:color="auto"/>
        <w:left w:val="none" w:sz="0" w:space="0" w:color="auto"/>
        <w:bottom w:val="none" w:sz="0" w:space="0" w:color="auto"/>
        <w:right w:val="none" w:sz="0" w:space="0" w:color="auto"/>
      </w:divBdr>
    </w:div>
    <w:div w:id="1162818237">
      <w:bodyDiv w:val="1"/>
      <w:marLeft w:val="0"/>
      <w:marRight w:val="0"/>
      <w:marTop w:val="0"/>
      <w:marBottom w:val="0"/>
      <w:divBdr>
        <w:top w:val="none" w:sz="0" w:space="0" w:color="auto"/>
        <w:left w:val="none" w:sz="0" w:space="0" w:color="auto"/>
        <w:bottom w:val="none" w:sz="0" w:space="0" w:color="auto"/>
        <w:right w:val="none" w:sz="0" w:space="0" w:color="auto"/>
      </w:divBdr>
    </w:div>
    <w:div w:id="1354188729">
      <w:bodyDiv w:val="1"/>
      <w:marLeft w:val="0"/>
      <w:marRight w:val="0"/>
      <w:marTop w:val="0"/>
      <w:marBottom w:val="0"/>
      <w:divBdr>
        <w:top w:val="none" w:sz="0" w:space="0" w:color="auto"/>
        <w:left w:val="none" w:sz="0" w:space="0" w:color="auto"/>
        <w:bottom w:val="none" w:sz="0" w:space="0" w:color="auto"/>
        <w:right w:val="none" w:sz="0" w:space="0" w:color="auto"/>
      </w:divBdr>
    </w:div>
    <w:div w:id="1355959257">
      <w:bodyDiv w:val="1"/>
      <w:marLeft w:val="0"/>
      <w:marRight w:val="0"/>
      <w:marTop w:val="0"/>
      <w:marBottom w:val="0"/>
      <w:divBdr>
        <w:top w:val="none" w:sz="0" w:space="0" w:color="auto"/>
        <w:left w:val="none" w:sz="0" w:space="0" w:color="auto"/>
        <w:bottom w:val="none" w:sz="0" w:space="0" w:color="auto"/>
        <w:right w:val="none" w:sz="0" w:space="0" w:color="auto"/>
      </w:divBdr>
    </w:div>
    <w:div w:id="1762143059">
      <w:bodyDiv w:val="1"/>
      <w:marLeft w:val="0"/>
      <w:marRight w:val="0"/>
      <w:marTop w:val="0"/>
      <w:marBottom w:val="0"/>
      <w:divBdr>
        <w:top w:val="none" w:sz="0" w:space="0" w:color="auto"/>
        <w:left w:val="none" w:sz="0" w:space="0" w:color="auto"/>
        <w:bottom w:val="none" w:sz="0" w:space="0" w:color="auto"/>
        <w:right w:val="none" w:sz="0" w:space="0" w:color="auto"/>
      </w:divBdr>
    </w:div>
    <w:div w:id="1867710951">
      <w:bodyDiv w:val="1"/>
      <w:marLeft w:val="0"/>
      <w:marRight w:val="0"/>
      <w:marTop w:val="0"/>
      <w:marBottom w:val="0"/>
      <w:divBdr>
        <w:top w:val="none" w:sz="0" w:space="0" w:color="auto"/>
        <w:left w:val="none" w:sz="0" w:space="0" w:color="auto"/>
        <w:bottom w:val="none" w:sz="0" w:space="0" w:color="auto"/>
        <w:right w:val="none" w:sz="0" w:space="0" w:color="auto"/>
      </w:divBdr>
    </w:div>
    <w:div w:id="2093508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vistazoom.com.ar/los-programas-de-la-falda-y-huerta-grande/" TargetMode="External"/><Relationship Id="rId5" Type="http://schemas.openxmlformats.org/officeDocument/2006/relationships/hyperlink" Target="https://diariopuntouno.ar/dp1_21/index.php/opinion/7887-los-fusilamientos-de-1956-un-episodio-de-la-guerra-civil-en-argentin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2010</Words>
  <Characters>11056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Saco</dc:creator>
  <cp:keywords/>
  <dc:description/>
  <cp:lastModifiedBy>Claudio Saco</cp:lastModifiedBy>
  <cp:revision>5</cp:revision>
  <cp:lastPrinted>2026-10-13T00:35:00Z</cp:lastPrinted>
  <dcterms:created xsi:type="dcterms:W3CDTF">2026-10-07T23:58:00Z</dcterms:created>
  <dcterms:modified xsi:type="dcterms:W3CDTF">2026-10-13T00:35:00Z</dcterms:modified>
</cp:coreProperties>
</file>