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524" w:rsidRPr="00251ECB" w:rsidRDefault="00251ECB" w:rsidP="00251ECB">
      <w:pPr>
        <w:pBdr>
          <w:top w:val="single" w:sz="4" w:space="1" w:color="auto"/>
          <w:left w:val="single" w:sz="4" w:space="4" w:color="auto"/>
          <w:bottom w:val="single" w:sz="4" w:space="1" w:color="auto"/>
          <w:right w:val="single" w:sz="4" w:space="4" w:color="auto"/>
        </w:pBdr>
        <w:rPr>
          <w:rFonts w:ascii="Times New Roman" w:hAnsi="Times New Roman" w:cs="Times New Roman"/>
          <w:b/>
          <w:sz w:val="24"/>
        </w:rPr>
      </w:pPr>
      <w:r w:rsidRPr="00251ECB">
        <w:rPr>
          <w:rFonts w:ascii="Times New Roman" w:hAnsi="Times New Roman" w:cs="Times New Roman"/>
          <w:b/>
          <w:sz w:val="24"/>
        </w:rPr>
        <w:t xml:space="preserve">CLASES MEDIAS ENTRE LOS AÑOS 1955-1966. </w:t>
      </w:r>
      <w:r w:rsidR="00192815">
        <w:rPr>
          <w:rFonts w:ascii="Times New Roman" w:hAnsi="Times New Roman" w:cs="Times New Roman"/>
          <w:b/>
          <w:sz w:val="24"/>
        </w:rPr>
        <w:t xml:space="preserve">NUEVOS CONSUMOS, NUEVOS AGENTES SOCIALES. </w:t>
      </w:r>
    </w:p>
    <w:p w:rsidR="00251ECB" w:rsidRPr="004D5FD7" w:rsidRDefault="00251ECB" w:rsidP="00251ECB">
      <w:pPr>
        <w:pStyle w:val="NormalWeb"/>
        <w:rPr>
          <w:b/>
        </w:rPr>
      </w:pPr>
      <w:r w:rsidRPr="00251ECB">
        <w:rPr>
          <w:b/>
        </w:rPr>
        <w:t>FUENTE 1: Selección</w:t>
      </w:r>
      <w:r w:rsidRPr="004D5FD7">
        <w:rPr>
          <w:b/>
        </w:rPr>
        <w:t xml:space="preserve"> de fragmentos de la obra “</w:t>
      </w:r>
      <w:r>
        <w:rPr>
          <w:b/>
        </w:rPr>
        <w:t>Historia de la Argentina. La expansión de los sectores medios</w:t>
      </w:r>
      <w:r w:rsidRPr="004D5FD7">
        <w:rPr>
          <w:b/>
        </w:rPr>
        <w:t xml:space="preserve">”, </w:t>
      </w:r>
      <w:r>
        <w:rPr>
          <w:b/>
        </w:rPr>
        <w:t>AA.VV., Félix Luna (Dir.)</w:t>
      </w:r>
      <w:r w:rsidRPr="004D5FD7">
        <w:rPr>
          <w:b/>
        </w:rPr>
        <w:t xml:space="preserve">, </w:t>
      </w:r>
      <w:proofErr w:type="spellStart"/>
      <w:r>
        <w:rPr>
          <w:b/>
        </w:rPr>
        <w:t>Hyspamérica</w:t>
      </w:r>
      <w:proofErr w:type="spellEnd"/>
      <w:r>
        <w:rPr>
          <w:b/>
        </w:rPr>
        <w:t xml:space="preserve"> Ediciones Argentina S.A. y Editorial Sarmiento S. A., 1992</w:t>
      </w:r>
      <w:r w:rsidRPr="004D5FD7">
        <w:rPr>
          <w:b/>
        </w:rPr>
        <w:t xml:space="preserve">. </w:t>
      </w:r>
    </w:p>
    <w:p w:rsidR="00251ECB" w:rsidRDefault="00251ECB" w:rsidP="00251ECB">
      <w:pPr>
        <w:pStyle w:val="NormalWeb"/>
        <w:rPr>
          <w:b/>
        </w:rPr>
      </w:pPr>
      <w:r w:rsidRPr="004D5FD7">
        <w:rPr>
          <w:b/>
        </w:rPr>
        <w:t xml:space="preserve">Fragmento 1: </w:t>
      </w:r>
      <w:r w:rsidR="00CF5579">
        <w:rPr>
          <w:b/>
        </w:rPr>
        <w:t>El consumo de los estratos medios (1955-1966)</w:t>
      </w:r>
    </w:p>
    <w:p w:rsidR="00251ECB" w:rsidRPr="00251ECB" w:rsidRDefault="00251ECB" w:rsidP="00251ECB">
      <w:pPr>
        <w:pStyle w:val="NormalWeb"/>
      </w:pPr>
      <w:r w:rsidRPr="00251ECB">
        <w:t xml:space="preserve">Entre 1955 y 1966, los estratos medios dieron el tono a la vida política, económica y cultural argentina. En materia económica, los años del peronismo habían permitido incorporar a los sectores bajos de la población elementos del confort doméstico, la heladera eléctrica, o de gas, la olla a presión, el changuito, para comprar en el mercado, la licuadora y, ms tarde, la televisión. Que empieza a fabricarse en el país en 1956. </w:t>
      </w:r>
    </w:p>
    <w:p w:rsidR="00251ECB" w:rsidRPr="00251ECB" w:rsidRDefault="00251ECB" w:rsidP="00251ECB">
      <w:pPr>
        <w:pStyle w:val="NormalWeb"/>
      </w:pPr>
      <w:r w:rsidRPr="00251ECB">
        <w:t xml:space="preserve">Después de 1955 se incrementan las oportunidades de invertir en automóviles y departamentos. Los índices de fabricación de automotores y de empleo de cemento resultan muy reveladores de las pautas de consumo de la gente de medianos ingresos. Esta, aprendió a comprar a plazos, modalidad que aprovecha las consecuencias de la inflación y que se opone al sentido del ahorro que predominaba en la Argentina en las primeras décadas del siglo. </w:t>
      </w:r>
    </w:p>
    <w:p w:rsidR="00251ECB" w:rsidRPr="00251ECB" w:rsidRDefault="00251ECB" w:rsidP="00251ECB">
      <w:pPr>
        <w:pStyle w:val="NormalWeb"/>
      </w:pPr>
      <w:r w:rsidRPr="00251ECB">
        <w:t xml:space="preserve">El crecimiento del parque automotor es notable en el periodo que va de la Revolución Libertadora a la Revolución Argentina. En 1955 circulaban unos 341.000 coches por las calles y los caminos del país. En 1960, las unidades eran 400.000. </w:t>
      </w:r>
    </w:p>
    <w:p w:rsidR="00251ECB" w:rsidRPr="00251ECB" w:rsidRDefault="00251ECB" w:rsidP="00251ECB">
      <w:pPr>
        <w:pStyle w:val="NormalWeb"/>
      </w:pPr>
      <w:r w:rsidRPr="00251ECB">
        <w:t xml:space="preserve">Los modelos y los precios son tan variados que las empresas compiten en las páginas de los periódicos por conquistar clientes. Desde su aparición en 1958, el Fiat 600 interesó al vasto público de los empleados medios mientras que la gente con ingresos similares pero mayor preocupación intelectual o inconformista prefería el pequeño Citroën. El Peugeot fue el favorito de la clase media alta y en los pueblos del interior solo se vendían los grandes cochazos del tipo del </w:t>
      </w:r>
      <w:proofErr w:type="spellStart"/>
      <w:r w:rsidRPr="00251ECB">
        <w:t>Kaiser</w:t>
      </w:r>
      <w:proofErr w:type="spellEnd"/>
      <w:r w:rsidRPr="00251ECB">
        <w:t xml:space="preserve"> Carabela de los primeros tiempos, el </w:t>
      </w:r>
      <w:proofErr w:type="spellStart"/>
      <w:r w:rsidRPr="00251ECB">
        <w:t>Rambler</w:t>
      </w:r>
      <w:proofErr w:type="spellEnd"/>
      <w:r w:rsidRPr="00251ECB">
        <w:t xml:space="preserve"> o el </w:t>
      </w:r>
      <w:proofErr w:type="spellStart"/>
      <w:r w:rsidRPr="00251ECB">
        <w:t>Valiant</w:t>
      </w:r>
      <w:proofErr w:type="spellEnd"/>
      <w:r w:rsidRPr="00251ECB">
        <w:t xml:space="preserve"> de la década del 60. La compra de un modelo chico o mediano lleva a endeudarse para adquirir luego el grande y de este modo, paulatinamente, las cuotas del auto se convierten en parte sustancial del presupuesto familiar de los argentinos de ingresos medios que anhelaban poseer el auto propio.</w:t>
      </w:r>
    </w:p>
    <w:p w:rsidR="00251ECB" w:rsidRPr="00BD3FFD" w:rsidRDefault="00251ECB">
      <w:pPr>
        <w:rPr>
          <w:sz w:val="4"/>
        </w:rPr>
      </w:pPr>
    </w:p>
    <w:p w:rsidR="003D1EF8" w:rsidRDefault="003D1EF8" w:rsidP="003D1EF8">
      <w:pPr>
        <w:pStyle w:val="NormalWeb"/>
        <w:rPr>
          <w:b/>
        </w:rPr>
      </w:pPr>
      <w:r w:rsidRPr="004D5FD7">
        <w:rPr>
          <w:b/>
        </w:rPr>
        <w:t xml:space="preserve">Fragmento </w:t>
      </w:r>
      <w:r w:rsidR="002115A3">
        <w:rPr>
          <w:b/>
        </w:rPr>
        <w:t>2</w:t>
      </w:r>
      <w:r w:rsidRPr="004D5FD7">
        <w:rPr>
          <w:b/>
        </w:rPr>
        <w:t xml:space="preserve">: </w:t>
      </w:r>
      <w:r w:rsidR="00CF5579">
        <w:rPr>
          <w:b/>
        </w:rPr>
        <w:t xml:space="preserve">Inversiones de los años 1960 </w:t>
      </w:r>
    </w:p>
    <w:p w:rsidR="003D1EF8" w:rsidRPr="003D1EF8" w:rsidRDefault="003D1EF8" w:rsidP="003D1EF8">
      <w:pPr>
        <w:rPr>
          <w:rFonts w:ascii="Times New Roman" w:hAnsi="Times New Roman" w:cs="Times New Roman"/>
          <w:sz w:val="24"/>
        </w:rPr>
      </w:pPr>
      <w:r w:rsidRPr="003D1EF8">
        <w:rPr>
          <w:rFonts w:ascii="Times New Roman" w:hAnsi="Times New Roman" w:cs="Times New Roman"/>
          <w:sz w:val="24"/>
        </w:rPr>
        <w:t xml:space="preserve">Otra inversión característica de los sesenta son los departamentos. El déficit habitacional de los últimos tiempos del peronismo dio lugar al boom de la construcción, especialmente notable en Buenos Aires, cuyo barrio norte se seleccionó como lugar favorito para levantar departamentos administrados en propiedad horizontal. Así pudo mudarse al centro la gente de los barrios. Simbólicamente, en esos años terminó de desaparecer el histórico tranvía. Este tranvía había sido el nexo entre el centro y los barrios cuando los padres y abuelos de estos flamantes propietarios del barrio norte llegaron al país. </w:t>
      </w:r>
    </w:p>
    <w:p w:rsidR="00251ECB" w:rsidRDefault="003D1EF8" w:rsidP="003D1EF8">
      <w:pPr>
        <w:rPr>
          <w:rFonts w:ascii="Times New Roman" w:hAnsi="Times New Roman" w:cs="Times New Roman"/>
          <w:sz w:val="24"/>
        </w:rPr>
      </w:pPr>
      <w:r w:rsidRPr="003D1EF8">
        <w:rPr>
          <w:rFonts w:ascii="Times New Roman" w:hAnsi="Times New Roman" w:cs="Times New Roman"/>
          <w:sz w:val="24"/>
        </w:rPr>
        <w:t xml:space="preserve">El otro gran campo de inversiones inmobiliarias es Mar del Plata, el centro urbano que más velozmente crece en la República y donde se pone de manifiesto el carácter ostentoso y suntuario de las construcciones estilísticamente heterogéneas. </w:t>
      </w:r>
      <w:r>
        <w:rPr>
          <w:rFonts w:ascii="Times New Roman" w:hAnsi="Times New Roman" w:cs="Times New Roman"/>
          <w:sz w:val="24"/>
        </w:rPr>
        <w:t>“</w:t>
      </w:r>
      <w:r w:rsidRPr="003D1EF8">
        <w:rPr>
          <w:rFonts w:ascii="Times New Roman" w:hAnsi="Times New Roman" w:cs="Times New Roman"/>
          <w:sz w:val="24"/>
        </w:rPr>
        <w:t>Mar del Plata, ciudad que ocupa en esta década el primer luga</w:t>
      </w:r>
      <w:r>
        <w:rPr>
          <w:rFonts w:ascii="Times New Roman" w:hAnsi="Times New Roman" w:cs="Times New Roman"/>
          <w:sz w:val="24"/>
        </w:rPr>
        <w:t>r en volumen de obra construida</w:t>
      </w:r>
      <w:r w:rsidRPr="003D1EF8">
        <w:rPr>
          <w:rFonts w:ascii="Times New Roman" w:hAnsi="Times New Roman" w:cs="Times New Roman"/>
          <w:sz w:val="24"/>
        </w:rPr>
        <w:t xml:space="preserve"> </w:t>
      </w:r>
      <w:r>
        <w:rPr>
          <w:rFonts w:ascii="Times New Roman" w:hAnsi="Times New Roman" w:cs="Times New Roman"/>
          <w:sz w:val="24"/>
        </w:rPr>
        <w:t>–</w:t>
      </w:r>
      <w:r w:rsidRPr="003D1EF8">
        <w:rPr>
          <w:rFonts w:ascii="Times New Roman" w:hAnsi="Times New Roman" w:cs="Times New Roman"/>
          <w:sz w:val="24"/>
        </w:rPr>
        <w:t>escribe Carlos A. Méndez Mosquera en 1960</w:t>
      </w:r>
      <w:r>
        <w:rPr>
          <w:rFonts w:ascii="Times New Roman" w:hAnsi="Times New Roman" w:cs="Times New Roman"/>
          <w:sz w:val="24"/>
        </w:rPr>
        <w:t>–</w:t>
      </w:r>
      <w:r w:rsidRPr="003D1EF8">
        <w:rPr>
          <w:rFonts w:ascii="Times New Roman" w:hAnsi="Times New Roman" w:cs="Times New Roman"/>
          <w:sz w:val="24"/>
        </w:rPr>
        <w:t xml:space="preserve"> y con toda seguridad el último en las características formales adoptadas en su arquitectura. En pocos años, </w:t>
      </w:r>
      <w:r w:rsidRPr="003D1EF8">
        <w:rPr>
          <w:rFonts w:ascii="Times New Roman" w:hAnsi="Times New Roman" w:cs="Times New Roman"/>
          <w:sz w:val="24"/>
        </w:rPr>
        <w:lastRenderedPageBreak/>
        <w:t>comenzando con el antiestético y monumental edificio del casino, se fueron erigiendo sin ningún plan urbanístico y sin ninguna calidad arquitectónica edificio tras edificio. El color inadecuado, la falta de calidad constructiva y un pretendido modernismo han destruido la ciudad, que poseía una escala a</w:t>
      </w:r>
      <w:r w:rsidR="002115A3">
        <w:rPr>
          <w:rFonts w:ascii="Times New Roman" w:hAnsi="Times New Roman" w:cs="Times New Roman"/>
          <w:sz w:val="24"/>
        </w:rPr>
        <w:t>certada y una coherencia formal […]”.</w:t>
      </w:r>
    </w:p>
    <w:p w:rsidR="002115A3" w:rsidRPr="00C43B26" w:rsidRDefault="002115A3" w:rsidP="003D1EF8">
      <w:pPr>
        <w:rPr>
          <w:rFonts w:ascii="Times New Roman" w:hAnsi="Times New Roman" w:cs="Times New Roman"/>
          <w:sz w:val="24"/>
          <w:szCs w:val="24"/>
        </w:rPr>
      </w:pPr>
      <w:r w:rsidRPr="002115A3">
        <w:rPr>
          <w:rFonts w:ascii="Times New Roman" w:hAnsi="Times New Roman" w:cs="Times New Roman"/>
          <w:sz w:val="24"/>
        </w:rPr>
        <w:t xml:space="preserve">La </w:t>
      </w:r>
      <w:r>
        <w:rPr>
          <w:rFonts w:ascii="Times New Roman" w:hAnsi="Times New Roman" w:cs="Times New Roman"/>
          <w:sz w:val="24"/>
        </w:rPr>
        <w:t>“</w:t>
      </w:r>
      <w:r w:rsidRPr="002115A3">
        <w:rPr>
          <w:rFonts w:ascii="Times New Roman" w:hAnsi="Times New Roman" w:cs="Times New Roman"/>
          <w:sz w:val="24"/>
        </w:rPr>
        <w:t>ciudad feliz</w:t>
      </w:r>
      <w:r>
        <w:rPr>
          <w:rFonts w:ascii="Times New Roman" w:hAnsi="Times New Roman" w:cs="Times New Roman"/>
          <w:sz w:val="24"/>
        </w:rPr>
        <w:t>”</w:t>
      </w:r>
      <w:r w:rsidRPr="002115A3">
        <w:rPr>
          <w:rFonts w:ascii="Times New Roman" w:hAnsi="Times New Roman" w:cs="Times New Roman"/>
          <w:sz w:val="24"/>
        </w:rPr>
        <w:t xml:space="preserve"> de la propaganda de la época ya no era el único balneario argentino preferido por las capas medias. El sector más independiente iniciaba la exploración de Villa </w:t>
      </w:r>
      <w:proofErr w:type="spellStart"/>
      <w:r w:rsidRPr="002115A3">
        <w:rPr>
          <w:rFonts w:ascii="Times New Roman" w:hAnsi="Times New Roman" w:cs="Times New Roman"/>
          <w:sz w:val="24"/>
        </w:rPr>
        <w:t>Gesell</w:t>
      </w:r>
      <w:proofErr w:type="spellEnd"/>
      <w:r w:rsidRPr="002115A3">
        <w:rPr>
          <w:rFonts w:ascii="Times New Roman" w:hAnsi="Times New Roman" w:cs="Times New Roman"/>
          <w:sz w:val="24"/>
        </w:rPr>
        <w:t xml:space="preserve">, cuyos médanos, arbolados, calles arenosas y alta proporción de extranjeros autorizaban hábitos veraniegos más libres. La vecina </w:t>
      </w:r>
      <w:proofErr w:type="spellStart"/>
      <w:r w:rsidRPr="002115A3">
        <w:rPr>
          <w:rFonts w:ascii="Times New Roman" w:hAnsi="Times New Roman" w:cs="Times New Roman"/>
          <w:sz w:val="24"/>
        </w:rPr>
        <w:t>Pinamar</w:t>
      </w:r>
      <w:proofErr w:type="spellEnd"/>
      <w:r w:rsidRPr="002115A3">
        <w:rPr>
          <w:rFonts w:ascii="Times New Roman" w:hAnsi="Times New Roman" w:cs="Times New Roman"/>
          <w:sz w:val="24"/>
        </w:rPr>
        <w:t xml:space="preserve">, por el contrario, aparecía como el refugio de las familias tradicionales que huían del bullicio marplatense para vivir solitaria como en los buenos tiempos de </w:t>
      </w:r>
      <w:r w:rsidRPr="00C43B26">
        <w:rPr>
          <w:rFonts w:ascii="Times New Roman" w:hAnsi="Times New Roman" w:cs="Times New Roman"/>
          <w:sz w:val="24"/>
          <w:szCs w:val="24"/>
        </w:rPr>
        <w:t>antaño.</w:t>
      </w:r>
    </w:p>
    <w:p w:rsidR="00BD3FFD" w:rsidRPr="00C43B26" w:rsidRDefault="00BD3FFD" w:rsidP="003D1EF8">
      <w:pPr>
        <w:rPr>
          <w:rFonts w:ascii="Times New Roman" w:hAnsi="Times New Roman" w:cs="Times New Roman"/>
          <w:sz w:val="24"/>
          <w:szCs w:val="24"/>
        </w:rPr>
      </w:pPr>
    </w:p>
    <w:p w:rsidR="00BD3FFD" w:rsidRPr="00C43B26" w:rsidRDefault="00BD3FFD" w:rsidP="00BD3FFD">
      <w:pPr>
        <w:pStyle w:val="NormalWeb"/>
        <w:rPr>
          <w:b/>
        </w:rPr>
      </w:pPr>
      <w:r w:rsidRPr="00C43B26">
        <w:rPr>
          <w:b/>
        </w:rPr>
        <w:t xml:space="preserve">Fragmento 3: </w:t>
      </w:r>
      <w:r w:rsidR="00CF5579">
        <w:rPr>
          <w:b/>
        </w:rPr>
        <w:t xml:space="preserve">La juventud adquiere una nueva importancia social, cultural y política. </w:t>
      </w:r>
    </w:p>
    <w:p w:rsidR="00BD3FFD" w:rsidRPr="00C43B26" w:rsidRDefault="00B075DA" w:rsidP="00B075DA">
      <w:pPr>
        <w:rPr>
          <w:rFonts w:ascii="Times New Roman" w:hAnsi="Times New Roman" w:cs="Times New Roman"/>
          <w:sz w:val="24"/>
          <w:szCs w:val="24"/>
        </w:rPr>
      </w:pPr>
      <w:r w:rsidRPr="00C43B26">
        <w:rPr>
          <w:rFonts w:ascii="Times New Roman" w:hAnsi="Times New Roman" w:cs="Times New Roman"/>
          <w:sz w:val="24"/>
          <w:szCs w:val="24"/>
        </w:rPr>
        <w:t xml:space="preserve">Entre los rasgos del período 1955-1966 se encuentra la presencia de los jóvenes en la vida cotidiana, entendida como presencia diferenciada del mundo de los adultos, con sus modas y gustos propios, fomentados por la publicidad del creciente consumismo. Escribe Ernesto </w:t>
      </w:r>
      <w:proofErr w:type="spellStart"/>
      <w:r w:rsidRPr="00C43B26">
        <w:rPr>
          <w:rFonts w:ascii="Times New Roman" w:hAnsi="Times New Roman" w:cs="Times New Roman"/>
          <w:sz w:val="24"/>
          <w:szCs w:val="24"/>
        </w:rPr>
        <w:t>Goldar</w:t>
      </w:r>
      <w:proofErr w:type="spellEnd"/>
      <w:r w:rsidRPr="00C43B26">
        <w:rPr>
          <w:rFonts w:ascii="Times New Roman" w:hAnsi="Times New Roman" w:cs="Times New Roman"/>
          <w:sz w:val="24"/>
          <w:szCs w:val="24"/>
        </w:rPr>
        <w:t xml:space="preserve"> en su sabroso estudio Buenos Aires: vida cotidiana en la década del ’50: “A partir de 1956 la juventud comienza a ser protagonista de la indumentaria, una protagonista elegida pero creadora a la vez. Será en esos meses de faldas cortas y collares, de niñas bailando </w:t>
      </w:r>
      <w:r w:rsidRPr="00C43B26">
        <w:rPr>
          <w:rFonts w:ascii="Times New Roman" w:hAnsi="Times New Roman" w:cs="Times New Roman"/>
          <w:i/>
          <w:sz w:val="24"/>
          <w:szCs w:val="24"/>
        </w:rPr>
        <w:t>Charleston</w:t>
      </w:r>
      <w:r w:rsidRPr="00C43B26">
        <w:rPr>
          <w:rFonts w:ascii="Times New Roman" w:hAnsi="Times New Roman" w:cs="Times New Roman"/>
          <w:sz w:val="24"/>
          <w:szCs w:val="24"/>
        </w:rPr>
        <w:t xml:space="preserve"> en fugaz </w:t>
      </w:r>
      <w:r w:rsidRPr="00C43B26">
        <w:rPr>
          <w:rFonts w:ascii="Times New Roman" w:hAnsi="Times New Roman" w:cs="Times New Roman"/>
          <w:i/>
          <w:sz w:val="24"/>
          <w:szCs w:val="24"/>
        </w:rPr>
        <w:t>revival</w:t>
      </w:r>
      <w:r w:rsidRPr="00C43B26">
        <w:rPr>
          <w:rFonts w:ascii="Times New Roman" w:hAnsi="Times New Roman" w:cs="Times New Roman"/>
          <w:sz w:val="24"/>
          <w:szCs w:val="24"/>
        </w:rPr>
        <w:t xml:space="preserve"> de los años </w:t>
      </w:r>
      <w:proofErr w:type="spellStart"/>
      <w:r w:rsidRPr="00C43B26">
        <w:rPr>
          <w:rFonts w:ascii="Times New Roman" w:hAnsi="Times New Roman" w:cs="Times New Roman"/>
          <w:i/>
          <w:sz w:val="24"/>
          <w:szCs w:val="24"/>
        </w:rPr>
        <w:t>twenty</w:t>
      </w:r>
      <w:proofErr w:type="spellEnd"/>
      <w:r w:rsidRPr="00C43B26">
        <w:rPr>
          <w:rFonts w:ascii="Times New Roman" w:hAnsi="Times New Roman" w:cs="Times New Roman"/>
          <w:sz w:val="24"/>
          <w:szCs w:val="24"/>
        </w:rPr>
        <w:t xml:space="preserve">, cuando el maduro circunspecto comienza a </w:t>
      </w:r>
      <w:proofErr w:type="spellStart"/>
      <w:r w:rsidRPr="00C43B26">
        <w:rPr>
          <w:rFonts w:ascii="Times New Roman" w:hAnsi="Times New Roman" w:cs="Times New Roman"/>
          <w:sz w:val="24"/>
          <w:szCs w:val="24"/>
        </w:rPr>
        <w:t>juvenilizarse</w:t>
      </w:r>
      <w:proofErr w:type="spellEnd"/>
      <w:r w:rsidRPr="00C43B26">
        <w:rPr>
          <w:rFonts w:ascii="Times New Roman" w:hAnsi="Times New Roman" w:cs="Times New Roman"/>
          <w:sz w:val="24"/>
          <w:szCs w:val="24"/>
        </w:rPr>
        <w:t xml:space="preserve"> y empieza a aceptar lo joven como realidad, como manifestación de lo moderno. Pero la moda es la mujer –agrega–, pues el varón, salvo las controvertidas permisiones de hacerse </w:t>
      </w:r>
      <w:proofErr w:type="spellStart"/>
      <w:r w:rsidRPr="00C43B26">
        <w:rPr>
          <w:rFonts w:ascii="Times New Roman" w:hAnsi="Times New Roman" w:cs="Times New Roman"/>
          <w:i/>
          <w:sz w:val="24"/>
          <w:szCs w:val="24"/>
        </w:rPr>
        <w:t>teddy</w:t>
      </w:r>
      <w:proofErr w:type="spellEnd"/>
      <w:r w:rsidRPr="00C43B26">
        <w:rPr>
          <w:rFonts w:ascii="Times New Roman" w:hAnsi="Times New Roman" w:cs="Times New Roman"/>
          <w:i/>
          <w:sz w:val="24"/>
          <w:szCs w:val="24"/>
        </w:rPr>
        <w:t xml:space="preserve"> </w:t>
      </w:r>
      <w:proofErr w:type="spellStart"/>
      <w:r w:rsidRPr="00C43B26">
        <w:rPr>
          <w:rFonts w:ascii="Times New Roman" w:hAnsi="Times New Roman" w:cs="Times New Roman"/>
          <w:i/>
          <w:sz w:val="24"/>
          <w:szCs w:val="24"/>
        </w:rPr>
        <w:t>boy</w:t>
      </w:r>
      <w:proofErr w:type="spellEnd"/>
      <w:r w:rsidRPr="00C43B26">
        <w:rPr>
          <w:rFonts w:ascii="Times New Roman" w:hAnsi="Times New Roman" w:cs="Times New Roman"/>
          <w:sz w:val="24"/>
          <w:szCs w:val="24"/>
        </w:rPr>
        <w:t xml:space="preserve"> en 1958, sigue la penuria del adulto y la disciplina del saco, la camisa y el cuello como una maldición…” </w:t>
      </w:r>
    </w:p>
    <w:p w:rsidR="00B075DA" w:rsidRPr="00C43B26" w:rsidRDefault="00B075DA" w:rsidP="00B075DA">
      <w:pPr>
        <w:rPr>
          <w:rFonts w:ascii="Times New Roman" w:hAnsi="Times New Roman" w:cs="Times New Roman"/>
          <w:sz w:val="24"/>
          <w:szCs w:val="24"/>
        </w:rPr>
      </w:pPr>
      <w:r w:rsidRPr="00C43B26">
        <w:rPr>
          <w:rFonts w:ascii="Times New Roman" w:hAnsi="Times New Roman" w:cs="Times New Roman"/>
          <w:sz w:val="24"/>
          <w:szCs w:val="24"/>
        </w:rPr>
        <w:t>La vestimenta de los adolescentes se nutre de los modelos cinem</w:t>
      </w:r>
      <w:r w:rsidR="00C73FE1" w:rsidRPr="00C43B26">
        <w:rPr>
          <w:rFonts w:ascii="Times New Roman" w:hAnsi="Times New Roman" w:cs="Times New Roman"/>
          <w:sz w:val="24"/>
          <w:szCs w:val="24"/>
        </w:rPr>
        <w:t>atográficos, sigue a los ídolos:</w:t>
      </w:r>
      <w:r w:rsidRPr="00C43B26">
        <w:rPr>
          <w:rFonts w:ascii="Times New Roman" w:hAnsi="Times New Roman" w:cs="Times New Roman"/>
          <w:sz w:val="24"/>
          <w:szCs w:val="24"/>
        </w:rPr>
        <w:t xml:space="preserve"> a James </w:t>
      </w:r>
      <w:proofErr w:type="spellStart"/>
      <w:r w:rsidRPr="00C43B26">
        <w:rPr>
          <w:rFonts w:ascii="Times New Roman" w:hAnsi="Times New Roman" w:cs="Times New Roman"/>
          <w:sz w:val="24"/>
          <w:szCs w:val="24"/>
        </w:rPr>
        <w:t>Dean</w:t>
      </w:r>
      <w:proofErr w:type="spellEnd"/>
      <w:r w:rsidRPr="00C43B26">
        <w:rPr>
          <w:rFonts w:ascii="Times New Roman" w:hAnsi="Times New Roman" w:cs="Times New Roman"/>
          <w:sz w:val="24"/>
          <w:szCs w:val="24"/>
        </w:rPr>
        <w:t xml:space="preserve">, fallecido prematuramente en 1956 luego de tres éxitos de taquilla, y a </w:t>
      </w:r>
      <w:proofErr w:type="spellStart"/>
      <w:r w:rsidRPr="00C43B26">
        <w:rPr>
          <w:rFonts w:ascii="Times New Roman" w:hAnsi="Times New Roman" w:cs="Times New Roman"/>
          <w:sz w:val="24"/>
          <w:szCs w:val="24"/>
        </w:rPr>
        <w:t>Nat</w:t>
      </w:r>
      <w:r w:rsidR="00C73FE1" w:rsidRPr="00C43B26">
        <w:rPr>
          <w:rFonts w:ascii="Times New Roman" w:hAnsi="Times New Roman" w:cs="Times New Roman"/>
          <w:sz w:val="24"/>
          <w:szCs w:val="24"/>
        </w:rPr>
        <w:t>h</w:t>
      </w:r>
      <w:r w:rsidRPr="00C43B26">
        <w:rPr>
          <w:rFonts w:ascii="Times New Roman" w:hAnsi="Times New Roman" w:cs="Times New Roman"/>
          <w:sz w:val="24"/>
          <w:szCs w:val="24"/>
        </w:rPr>
        <w:t>alie</w:t>
      </w:r>
      <w:proofErr w:type="spellEnd"/>
      <w:r w:rsidRPr="00C43B26">
        <w:rPr>
          <w:rFonts w:ascii="Times New Roman" w:hAnsi="Times New Roman" w:cs="Times New Roman"/>
          <w:sz w:val="24"/>
          <w:szCs w:val="24"/>
        </w:rPr>
        <w:t xml:space="preserve"> Wood. Hay cierta rebeldía contra los convencionalismos de los adultos y se recupera el espacio cedido durante el peronismo a los niños, </w:t>
      </w:r>
      <w:r w:rsidR="00C73FE1" w:rsidRPr="00C43B26">
        <w:rPr>
          <w:rFonts w:ascii="Times New Roman" w:hAnsi="Times New Roman" w:cs="Times New Roman"/>
          <w:sz w:val="24"/>
          <w:szCs w:val="24"/>
        </w:rPr>
        <w:t>“</w:t>
      </w:r>
      <w:r w:rsidRPr="00C43B26">
        <w:rPr>
          <w:rFonts w:ascii="Times New Roman" w:hAnsi="Times New Roman" w:cs="Times New Roman"/>
          <w:sz w:val="24"/>
          <w:szCs w:val="24"/>
        </w:rPr>
        <w:t>los únicos privilegiados</w:t>
      </w:r>
      <w:r w:rsidR="00C73FE1" w:rsidRPr="00C43B26">
        <w:rPr>
          <w:rFonts w:ascii="Times New Roman" w:hAnsi="Times New Roman" w:cs="Times New Roman"/>
          <w:sz w:val="24"/>
          <w:szCs w:val="24"/>
        </w:rPr>
        <w:t>”</w:t>
      </w:r>
      <w:r w:rsidRPr="00C43B26">
        <w:rPr>
          <w:rFonts w:ascii="Times New Roman" w:hAnsi="Times New Roman" w:cs="Times New Roman"/>
          <w:sz w:val="24"/>
          <w:szCs w:val="24"/>
        </w:rPr>
        <w:t xml:space="preserve">, y a los adultos de la </w:t>
      </w:r>
      <w:r w:rsidR="00C73FE1" w:rsidRPr="00C43B26">
        <w:rPr>
          <w:rFonts w:ascii="Times New Roman" w:hAnsi="Times New Roman" w:cs="Times New Roman"/>
          <w:sz w:val="24"/>
          <w:szCs w:val="24"/>
        </w:rPr>
        <w:t>“</w:t>
      </w:r>
      <w:r w:rsidRPr="00C43B26">
        <w:rPr>
          <w:rFonts w:ascii="Times New Roman" w:hAnsi="Times New Roman" w:cs="Times New Roman"/>
          <w:sz w:val="24"/>
          <w:szCs w:val="24"/>
        </w:rPr>
        <w:t>comunidad organizada</w:t>
      </w:r>
      <w:r w:rsidR="00C73FE1" w:rsidRPr="00C43B26">
        <w:rPr>
          <w:rFonts w:ascii="Times New Roman" w:hAnsi="Times New Roman" w:cs="Times New Roman"/>
          <w:sz w:val="24"/>
          <w:szCs w:val="24"/>
        </w:rPr>
        <w:t>”</w:t>
      </w:r>
      <w:r w:rsidRPr="00C43B26">
        <w:rPr>
          <w:rFonts w:ascii="Times New Roman" w:hAnsi="Times New Roman" w:cs="Times New Roman"/>
          <w:sz w:val="24"/>
          <w:szCs w:val="24"/>
        </w:rPr>
        <w:t>.</w:t>
      </w:r>
      <w:r w:rsidR="00C73FE1" w:rsidRPr="00C43B26">
        <w:rPr>
          <w:rFonts w:ascii="Times New Roman" w:hAnsi="Times New Roman" w:cs="Times New Roman"/>
          <w:sz w:val="24"/>
          <w:szCs w:val="24"/>
        </w:rPr>
        <w:t xml:space="preserve"> </w:t>
      </w:r>
    </w:p>
    <w:p w:rsidR="00C43B26" w:rsidRPr="00C43B26" w:rsidRDefault="00C43B26" w:rsidP="00B075DA">
      <w:pPr>
        <w:rPr>
          <w:rFonts w:ascii="Times New Roman" w:hAnsi="Times New Roman" w:cs="Times New Roman"/>
          <w:sz w:val="24"/>
          <w:szCs w:val="24"/>
        </w:rPr>
      </w:pPr>
      <w:r w:rsidRPr="00C43B26">
        <w:rPr>
          <w:rFonts w:ascii="Times New Roman" w:hAnsi="Times New Roman" w:cs="Times New Roman"/>
          <w:sz w:val="24"/>
          <w:szCs w:val="24"/>
        </w:rPr>
        <w:t xml:space="preserve">La juventud, que ha empezado a vestirse a su manera, impone también su música y su modo de bailar. La difusión de la radio portátil permite emanciparse del aparato de uso familiar. El combinado para discos de larga duración es otro adelanto técnico que deja escuchar los lamentos de Elvis Presley y que recibirá gloriosamente en los años sesenta la música de los Beatles. Otros cantantes favoritos son </w:t>
      </w:r>
      <w:proofErr w:type="spellStart"/>
      <w:r w:rsidRPr="00C43B26">
        <w:rPr>
          <w:rFonts w:ascii="Times New Roman" w:hAnsi="Times New Roman" w:cs="Times New Roman"/>
          <w:sz w:val="24"/>
          <w:szCs w:val="24"/>
        </w:rPr>
        <w:t>Frankie</w:t>
      </w:r>
      <w:proofErr w:type="spellEnd"/>
      <w:r w:rsidRPr="00C43B26">
        <w:rPr>
          <w:rFonts w:ascii="Times New Roman" w:hAnsi="Times New Roman" w:cs="Times New Roman"/>
          <w:sz w:val="24"/>
          <w:szCs w:val="24"/>
        </w:rPr>
        <w:t xml:space="preserve"> </w:t>
      </w:r>
      <w:proofErr w:type="spellStart"/>
      <w:r w:rsidRPr="00C43B26">
        <w:rPr>
          <w:rFonts w:ascii="Times New Roman" w:hAnsi="Times New Roman" w:cs="Times New Roman"/>
          <w:sz w:val="24"/>
          <w:szCs w:val="24"/>
        </w:rPr>
        <w:t>Lane</w:t>
      </w:r>
      <w:proofErr w:type="spellEnd"/>
      <w:r w:rsidRPr="00C43B26">
        <w:rPr>
          <w:rFonts w:ascii="Times New Roman" w:hAnsi="Times New Roman" w:cs="Times New Roman"/>
          <w:sz w:val="24"/>
          <w:szCs w:val="24"/>
        </w:rPr>
        <w:t xml:space="preserve">, Paul </w:t>
      </w:r>
      <w:proofErr w:type="spellStart"/>
      <w:r w:rsidRPr="00C43B26">
        <w:rPr>
          <w:rFonts w:ascii="Times New Roman" w:hAnsi="Times New Roman" w:cs="Times New Roman"/>
          <w:sz w:val="24"/>
          <w:szCs w:val="24"/>
        </w:rPr>
        <w:t>Anka</w:t>
      </w:r>
      <w:proofErr w:type="spellEnd"/>
      <w:r w:rsidRPr="00C43B26">
        <w:rPr>
          <w:rFonts w:ascii="Times New Roman" w:hAnsi="Times New Roman" w:cs="Times New Roman"/>
          <w:sz w:val="24"/>
          <w:szCs w:val="24"/>
        </w:rPr>
        <w:t xml:space="preserve"> y </w:t>
      </w:r>
      <w:proofErr w:type="spellStart"/>
      <w:r w:rsidRPr="00C43B26">
        <w:rPr>
          <w:rFonts w:ascii="Times New Roman" w:hAnsi="Times New Roman" w:cs="Times New Roman"/>
          <w:sz w:val="24"/>
          <w:szCs w:val="24"/>
        </w:rPr>
        <w:t>Nat</w:t>
      </w:r>
      <w:proofErr w:type="spellEnd"/>
      <w:r w:rsidRPr="00C43B26">
        <w:rPr>
          <w:rFonts w:ascii="Times New Roman" w:hAnsi="Times New Roman" w:cs="Times New Roman"/>
          <w:sz w:val="24"/>
          <w:szCs w:val="24"/>
        </w:rPr>
        <w:t xml:space="preserve"> “King” Cole. Quedan atrás los conjuntos tropicales y el tango se relega a aquellas fiestas a donde concurren adultos.</w:t>
      </w:r>
    </w:p>
    <w:p w:rsidR="00C43B26" w:rsidRPr="00C43B26" w:rsidRDefault="00C43B26" w:rsidP="00B075DA">
      <w:pPr>
        <w:rPr>
          <w:rFonts w:ascii="Times New Roman" w:hAnsi="Times New Roman" w:cs="Times New Roman"/>
          <w:sz w:val="24"/>
          <w:szCs w:val="24"/>
        </w:rPr>
      </w:pPr>
    </w:p>
    <w:p w:rsidR="00C43B26" w:rsidRPr="00C43B26" w:rsidRDefault="00C43B26" w:rsidP="00C43B26">
      <w:pPr>
        <w:pStyle w:val="NormalWeb"/>
        <w:rPr>
          <w:b/>
        </w:rPr>
      </w:pPr>
      <w:r w:rsidRPr="00C43B26">
        <w:rPr>
          <w:b/>
        </w:rPr>
        <w:t xml:space="preserve">Fragmento 4: </w:t>
      </w:r>
      <w:r w:rsidR="00CF5579">
        <w:rPr>
          <w:b/>
        </w:rPr>
        <w:t>Situación de la mujer a partir de fines de los años ‘50</w:t>
      </w:r>
    </w:p>
    <w:p w:rsidR="00C43B26" w:rsidRDefault="00C43B26" w:rsidP="00C43B26">
      <w:pPr>
        <w:rPr>
          <w:rFonts w:ascii="Times New Roman" w:hAnsi="Times New Roman" w:cs="Times New Roman"/>
          <w:sz w:val="24"/>
          <w:szCs w:val="24"/>
        </w:rPr>
      </w:pPr>
      <w:r w:rsidRPr="00C43B26">
        <w:rPr>
          <w:rFonts w:ascii="Times New Roman" w:hAnsi="Times New Roman" w:cs="Times New Roman"/>
          <w:sz w:val="24"/>
          <w:szCs w:val="24"/>
        </w:rPr>
        <w:t xml:space="preserve">Hacia 1958 los programas de televisión destinados a las mujeres se ocupaban de modas y de tareas hogareñas. Ana María iniciaba su Buenas tardes, mucho gusto, que perduraría largos años en pantalla. Todo hacía suponer que nada había variado en la condición femenina, que oscilaba entre la adolescente inconformista que bailaba suelto y la señora gorda de clase media, lectora de revistas dedicadas a la mujer o espectadora de telenovelas. En materia política, la implantación del voto femenino había significado pocos cambios en la cantidad de mujeres en los cargos públicos con capacidad de decisión. Mujeres políticas de este período fueron la Radical del Pueblo Nélida </w:t>
      </w:r>
      <w:proofErr w:type="spellStart"/>
      <w:r w:rsidRPr="00C43B26">
        <w:rPr>
          <w:rFonts w:ascii="Times New Roman" w:hAnsi="Times New Roman" w:cs="Times New Roman"/>
          <w:sz w:val="24"/>
          <w:szCs w:val="24"/>
        </w:rPr>
        <w:lastRenderedPageBreak/>
        <w:t>Baigorria</w:t>
      </w:r>
      <w:proofErr w:type="spellEnd"/>
      <w:r w:rsidRPr="00C43B26">
        <w:rPr>
          <w:rFonts w:ascii="Times New Roman" w:hAnsi="Times New Roman" w:cs="Times New Roman"/>
          <w:sz w:val="24"/>
          <w:szCs w:val="24"/>
        </w:rPr>
        <w:t xml:space="preserve">, Marisa Liceaga, de la UCRI, la cívica-independiente Ana </w:t>
      </w:r>
      <w:proofErr w:type="spellStart"/>
      <w:r w:rsidRPr="00C43B26">
        <w:rPr>
          <w:rFonts w:ascii="Times New Roman" w:hAnsi="Times New Roman" w:cs="Times New Roman"/>
          <w:sz w:val="24"/>
          <w:szCs w:val="24"/>
        </w:rPr>
        <w:t>Zaefferer</w:t>
      </w:r>
      <w:proofErr w:type="spellEnd"/>
      <w:r w:rsidRPr="00C43B26">
        <w:rPr>
          <w:rFonts w:ascii="Times New Roman" w:hAnsi="Times New Roman" w:cs="Times New Roman"/>
          <w:sz w:val="24"/>
          <w:szCs w:val="24"/>
        </w:rPr>
        <w:t xml:space="preserve"> de Goyeneche y las figuras clásicas como Alicia </w:t>
      </w:r>
      <w:proofErr w:type="spellStart"/>
      <w:r w:rsidRPr="00C43B26">
        <w:rPr>
          <w:rFonts w:ascii="Times New Roman" w:hAnsi="Times New Roman" w:cs="Times New Roman"/>
          <w:sz w:val="24"/>
          <w:szCs w:val="24"/>
        </w:rPr>
        <w:t>Moreau</w:t>
      </w:r>
      <w:proofErr w:type="spellEnd"/>
      <w:r w:rsidRPr="00C43B26">
        <w:rPr>
          <w:rFonts w:ascii="Times New Roman" w:hAnsi="Times New Roman" w:cs="Times New Roman"/>
          <w:sz w:val="24"/>
          <w:szCs w:val="24"/>
        </w:rPr>
        <w:t xml:space="preserve"> de Justo. Pero el número de representantes mujeres fue menor en 1958 y 1963 de lo que había sido en 1952, el primer Congreso integrado por diputadas y senadoras.</w:t>
      </w:r>
      <w:r>
        <w:rPr>
          <w:rFonts w:ascii="Times New Roman" w:hAnsi="Times New Roman" w:cs="Times New Roman"/>
          <w:sz w:val="24"/>
          <w:szCs w:val="24"/>
        </w:rPr>
        <w:t xml:space="preserve"> […]</w:t>
      </w:r>
    </w:p>
    <w:p w:rsidR="00C43B26" w:rsidRDefault="00C43B26" w:rsidP="00C43B26">
      <w:pPr>
        <w:rPr>
          <w:rFonts w:ascii="Times New Roman" w:hAnsi="Times New Roman" w:cs="Times New Roman"/>
          <w:sz w:val="24"/>
          <w:szCs w:val="24"/>
        </w:rPr>
      </w:pPr>
      <w:r w:rsidRPr="00C43B26">
        <w:rPr>
          <w:rFonts w:ascii="Times New Roman" w:hAnsi="Times New Roman" w:cs="Times New Roman"/>
          <w:sz w:val="24"/>
          <w:szCs w:val="24"/>
        </w:rPr>
        <w:t xml:space="preserve">De acuerdo con un informe firmado por Horacio de Dios y publicado por la revista </w:t>
      </w:r>
      <w:r w:rsidRPr="0004347C">
        <w:rPr>
          <w:rFonts w:ascii="Times New Roman" w:hAnsi="Times New Roman" w:cs="Times New Roman"/>
          <w:i/>
          <w:sz w:val="24"/>
          <w:szCs w:val="24"/>
        </w:rPr>
        <w:t>Atlántida</w:t>
      </w:r>
      <w:r w:rsidRPr="00C43B26">
        <w:rPr>
          <w:rFonts w:ascii="Times New Roman" w:hAnsi="Times New Roman" w:cs="Times New Roman"/>
          <w:sz w:val="24"/>
          <w:szCs w:val="24"/>
        </w:rPr>
        <w:t xml:space="preserve"> en 1965, cien mil mujeres de Buenos Aires consumían mensualmente píldoras anticonceptivas de las tres marcas que se ofrecían en el mercado de medicamentos. Pero los ginecólogos no hacían publicidad abiertamente sobre el tema, pues temían el apelativo de </w:t>
      </w:r>
      <w:r w:rsidR="0004347C">
        <w:rPr>
          <w:rFonts w:ascii="Times New Roman" w:hAnsi="Times New Roman" w:cs="Times New Roman"/>
          <w:sz w:val="24"/>
          <w:szCs w:val="24"/>
        </w:rPr>
        <w:t>“</w:t>
      </w:r>
      <w:r w:rsidRPr="00C43B26">
        <w:rPr>
          <w:rFonts w:ascii="Times New Roman" w:hAnsi="Times New Roman" w:cs="Times New Roman"/>
          <w:sz w:val="24"/>
          <w:szCs w:val="24"/>
        </w:rPr>
        <w:t>pastilleros</w:t>
      </w:r>
      <w:r w:rsidR="0004347C">
        <w:rPr>
          <w:rFonts w:ascii="Times New Roman" w:hAnsi="Times New Roman" w:cs="Times New Roman"/>
          <w:sz w:val="24"/>
          <w:szCs w:val="24"/>
        </w:rPr>
        <w:t>”</w:t>
      </w:r>
      <w:r w:rsidRPr="00C43B26">
        <w:rPr>
          <w:rFonts w:ascii="Times New Roman" w:hAnsi="Times New Roman" w:cs="Times New Roman"/>
          <w:sz w:val="24"/>
          <w:szCs w:val="24"/>
        </w:rPr>
        <w:t xml:space="preserve">, que evocaba a distancia el más temido de </w:t>
      </w:r>
      <w:r w:rsidR="0004347C">
        <w:rPr>
          <w:rFonts w:ascii="Times New Roman" w:hAnsi="Times New Roman" w:cs="Times New Roman"/>
          <w:sz w:val="24"/>
          <w:szCs w:val="24"/>
        </w:rPr>
        <w:t>“</w:t>
      </w:r>
      <w:proofErr w:type="spellStart"/>
      <w:r w:rsidRPr="00C43B26">
        <w:rPr>
          <w:rFonts w:ascii="Times New Roman" w:hAnsi="Times New Roman" w:cs="Times New Roman"/>
          <w:sz w:val="24"/>
          <w:szCs w:val="24"/>
        </w:rPr>
        <w:t>abortero</w:t>
      </w:r>
      <w:proofErr w:type="spellEnd"/>
      <w:r w:rsidR="0004347C">
        <w:rPr>
          <w:rFonts w:ascii="Times New Roman" w:hAnsi="Times New Roman" w:cs="Times New Roman"/>
          <w:sz w:val="24"/>
          <w:szCs w:val="24"/>
        </w:rPr>
        <w:t>”</w:t>
      </w:r>
      <w:r w:rsidRPr="00C43B26">
        <w:rPr>
          <w:rFonts w:ascii="Times New Roman" w:hAnsi="Times New Roman" w:cs="Times New Roman"/>
          <w:sz w:val="24"/>
          <w:szCs w:val="24"/>
        </w:rPr>
        <w:t>. Estas mujeres pertenecían sin duda a los estratos medios más educados, que eran los que estaban en condiciones de aceptar la novedad, prohibida oficialmente por el papa Pío XII y mantenida por los cuatro pontífices que lo han sucedido a pesar de las expectativas creadas al respecto.</w:t>
      </w:r>
      <w:r w:rsidR="001C5867">
        <w:rPr>
          <w:rFonts w:ascii="Times New Roman" w:hAnsi="Times New Roman" w:cs="Times New Roman"/>
          <w:sz w:val="24"/>
          <w:szCs w:val="24"/>
        </w:rPr>
        <w:t xml:space="preserve"> </w:t>
      </w:r>
      <w:r w:rsidR="001C5867" w:rsidRPr="001C5867">
        <w:rPr>
          <w:rFonts w:ascii="Times New Roman" w:hAnsi="Times New Roman" w:cs="Times New Roman"/>
          <w:sz w:val="24"/>
          <w:szCs w:val="24"/>
        </w:rPr>
        <w:t xml:space="preserve">Las píldoras permitían que la mujer controlara su propia fecundidad y que la pareja decidiera el número de hijos deseado. Asimismo, contribuía a liberar sexualmente a las mujeres al permitirles el control de sus cuerpos. </w:t>
      </w:r>
      <w:r w:rsidR="001C5867">
        <w:rPr>
          <w:rFonts w:ascii="Times New Roman" w:hAnsi="Times New Roman" w:cs="Times New Roman"/>
          <w:sz w:val="24"/>
          <w:szCs w:val="24"/>
        </w:rPr>
        <w:t>[…]</w:t>
      </w:r>
    </w:p>
    <w:p w:rsidR="00192815" w:rsidRDefault="001C5867" w:rsidP="00C43B26">
      <w:pPr>
        <w:rPr>
          <w:rFonts w:ascii="Times New Roman" w:hAnsi="Times New Roman" w:cs="Times New Roman"/>
          <w:sz w:val="24"/>
          <w:szCs w:val="24"/>
        </w:rPr>
      </w:pPr>
      <w:r w:rsidRPr="001C5867">
        <w:rPr>
          <w:rFonts w:ascii="Times New Roman" w:hAnsi="Times New Roman" w:cs="Times New Roman"/>
          <w:sz w:val="24"/>
          <w:szCs w:val="24"/>
        </w:rPr>
        <w:t>En el campo del mercado laboral, entre 1955 y 1966 las oportunidades favorecieron a las mujeres con estudios medios o terciarios más que a las de menor escolaridad. La parte femenina de la población estudiaba en mayor proporción que sus madres y abuelas, contribuyendo así a la explosión de la matrícula universitaria característica de este período. También se extendieron los estudios secundarios gracias a la creación de muchos establecimientos de ese nivel en el interior.</w:t>
      </w:r>
      <w:r>
        <w:rPr>
          <w:rFonts w:ascii="Times New Roman" w:hAnsi="Times New Roman" w:cs="Times New Roman"/>
          <w:sz w:val="24"/>
          <w:szCs w:val="24"/>
        </w:rPr>
        <w:t xml:space="preserve"> […]</w:t>
      </w:r>
    </w:p>
    <w:p w:rsidR="00192815" w:rsidRDefault="00192815" w:rsidP="00C43B26">
      <w:pPr>
        <w:rPr>
          <w:rFonts w:ascii="Times New Roman" w:hAnsi="Times New Roman" w:cs="Times New Roman"/>
          <w:sz w:val="24"/>
          <w:szCs w:val="24"/>
        </w:rPr>
      </w:pPr>
    </w:p>
    <w:p w:rsidR="00E16920" w:rsidRPr="00E16920" w:rsidRDefault="00E16920" w:rsidP="00E16920">
      <w:pPr>
        <w:rPr>
          <w:rFonts w:ascii="Times New Roman" w:hAnsi="Times New Roman" w:cs="Times New Roman"/>
          <w:b/>
          <w:sz w:val="24"/>
        </w:rPr>
      </w:pPr>
      <w:r w:rsidRPr="00E16920">
        <w:rPr>
          <w:rFonts w:ascii="Times New Roman" w:hAnsi="Times New Roman" w:cs="Times New Roman"/>
          <w:b/>
          <w:sz w:val="24"/>
        </w:rPr>
        <w:t xml:space="preserve">FUENTE 2: Material audiovisual: “Sociedad y cultura en los '60”. Disponible en: </w:t>
      </w:r>
      <w:hyperlink r:id="rId4" w:history="1">
        <w:r w:rsidRPr="00E16920">
          <w:rPr>
            <w:rStyle w:val="Hyperlink"/>
            <w:rFonts w:ascii="Times New Roman" w:hAnsi="Times New Roman" w:cs="Times New Roman"/>
            <w:b/>
            <w:sz w:val="24"/>
          </w:rPr>
          <w:t>https://www.youtube.com/watch?v=xtidao--kb4</w:t>
        </w:r>
      </w:hyperlink>
      <w:r w:rsidRPr="00E16920">
        <w:rPr>
          <w:rFonts w:ascii="Times New Roman" w:hAnsi="Times New Roman" w:cs="Times New Roman"/>
          <w:b/>
          <w:sz w:val="24"/>
        </w:rPr>
        <w:t xml:space="preserve">. </w:t>
      </w:r>
    </w:p>
    <w:p w:rsidR="00E16920" w:rsidRPr="00E16920" w:rsidRDefault="00E16920" w:rsidP="00E16920">
      <w:pPr>
        <w:rPr>
          <w:rFonts w:ascii="Times New Roman" w:hAnsi="Times New Roman" w:cs="Times New Roman"/>
          <w:sz w:val="24"/>
        </w:rPr>
      </w:pPr>
      <w:r w:rsidRPr="00E16920">
        <w:rPr>
          <w:rFonts w:ascii="Times New Roman" w:hAnsi="Times New Roman" w:cs="Times New Roman"/>
          <w:sz w:val="24"/>
        </w:rPr>
        <w:t>El video analiza las profundas transformaciones sociales y culturales ocurridas en Argentina durante la década de 1960. Analizar estos temas</w:t>
      </w:r>
      <w:r>
        <w:rPr>
          <w:rFonts w:ascii="Times New Roman" w:hAnsi="Times New Roman" w:cs="Times New Roman"/>
          <w:sz w:val="24"/>
        </w:rPr>
        <w:t xml:space="preserve"> que el video plantea</w:t>
      </w:r>
      <w:r w:rsidRPr="00E16920">
        <w:rPr>
          <w:rFonts w:ascii="Times New Roman" w:hAnsi="Times New Roman" w:cs="Times New Roman"/>
          <w:sz w:val="24"/>
        </w:rPr>
        <w:t xml:space="preserve">: a) Impulso industrial y avances intelectuales; b) Vanguardismo y renovación artística; c) Masificación de los medios; d) Transformaciones generacionales y de género; e) Represión política y censura; y f) Activismo y resistencia popular. </w:t>
      </w:r>
      <w:bookmarkStart w:id="0" w:name="_GoBack"/>
      <w:bookmarkEnd w:id="0"/>
    </w:p>
    <w:p w:rsidR="00192815" w:rsidRPr="00C43B26" w:rsidRDefault="00192815" w:rsidP="00C43B26">
      <w:pPr>
        <w:rPr>
          <w:rFonts w:ascii="Times New Roman" w:hAnsi="Times New Roman" w:cs="Times New Roman"/>
          <w:sz w:val="24"/>
          <w:szCs w:val="24"/>
        </w:rPr>
      </w:pPr>
    </w:p>
    <w:sectPr w:rsidR="00192815" w:rsidRPr="00C43B26" w:rsidSect="00251ECB">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ECB"/>
    <w:rsid w:val="0004347C"/>
    <w:rsid w:val="00192815"/>
    <w:rsid w:val="001C5867"/>
    <w:rsid w:val="002115A3"/>
    <w:rsid w:val="00251ECB"/>
    <w:rsid w:val="003D1EF8"/>
    <w:rsid w:val="0066777B"/>
    <w:rsid w:val="00B075DA"/>
    <w:rsid w:val="00BD3FFD"/>
    <w:rsid w:val="00C43B26"/>
    <w:rsid w:val="00C73FE1"/>
    <w:rsid w:val="00CF5579"/>
    <w:rsid w:val="00E16920"/>
    <w:rsid w:val="00F003B6"/>
    <w:rsid w:val="00F476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9230B"/>
  <w15:chartTrackingRefBased/>
  <w15:docId w15:val="{52333A5F-9E0D-4066-8AB6-1B843FDB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16920"/>
    <w:pPr>
      <w:spacing w:before="100" w:beforeAutospacing="1" w:after="100" w:afterAutospacing="1" w:line="240" w:lineRule="auto"/>
      <w:outlineLvl w:val="0"/>
    </w:pPr>
    <w:rPr>
      <w:rFonts w:ascii="Times New Roman" w:eastAsia="Times New Roman" w:hAnsi="Times New Roman" w:cs="Times New Roman"/>
      <w:b/>
      <w:bCs/>
      <w:kern w:val="36"/>
      <w:sz w:val="48"/>
      <w:szCs w:val="48"/>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 w:type="paragraph" w:styleId="NormalWeb">
    <w:name w:val="Normal (Web)"/>
    <w:basedOn w:val="Normal"/>
    <w:uiPriority w:val="99"/>
    <w:semiHidden/>
    <w:unhideWhenUsed/>
    <w:rsid w:val="00251EC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Heading1Char">
    <w:name w:val="Heading 1 Char"/>
    <w:basedOn w:val="DefaultParagraphFont"/>
    <w:link w:val="Heading1"/>
    <w:uiPriority w:val="9"/>
    <w:rsid w:val="00E16920"/>
    <w:rPr>
      <w:rFonts w:ascii="Times New Roman" w:eastAsia="Times New Roman" w:hAnsi="Times New Roman" w:cs="Times New Roman"/>
      <w:b/>
      <w:bCs/>
      <w:kern w:val="36"/>
      <w:sz w:val="48"/>
      <w:szCs w:val="48"/>
      <w:lang w:val="es-ES" w:eastAsia="es-ES"/>
    </w:rPr>
  </w:style>
  <w:style w:type="character" w:styleId="Hyperlink">
    <w:name w:val="Hyperlink"/>
    <w:basedOn w:val="DefaultParagraphFont"/>
    <w:uiPriority w:val="99"/>
    <w:unhideWhenUsed/>
    <w:rsid w:val="00E16920"/>
    <w:rPr>
      <w:color w:val="0563C1" w:themeColor="hyperlink"/>
      <w:u w:val="single"/>
    </w:rPr>
  </w:style>
  <w:style w:type="character" w:styleId="Strong">
    <w:name w:val="Strong"/>
    <w:basedOn w:val="DefaultParagraphFont"/>
    <w:uiPriority w:val="22"/>
    <w:qFormat/>
    <w:rsid w:val="00E169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611098">
      <w:bodyDiv w:val="1"/>
      <w:marLeft w:val="0"/>
      <w:marRight w:val="0"/>
      <w:marTop w:val="0"/>
      <w:marBottom w:val="0"/>
      <w:divBdr>
        <w:top w:val="none" w:sz="0" w:space="0" w:color="auto"/>
        <w:left w:val="none" w:sz="0" w:space="0" w:color="auto"/>
        <w:bottom w:val="none" w:sz="0" w:space="0" w:color="auto"/>
        <w:right w:val="none" w:sz="0" w:space="0" w:color="auto"/>
      </w:divBdr>
    </w:div>
    <w:div w:id="1664354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xtidao--kb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3</Pages>
  <Words>1426</Words>
  <Characters>7845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7</cp:revision>
  <dcterms:created xsi:type="dcterms:W3CDTF">2026-10-04T00:41:00Z</dcterms:created>
  <dcterms:modified xsi:type="dcterms:W3CDTF">2026-10-13T05:27:00Z</dcterms:modified>
</cp:coreProperties>
</file>