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524" w:rsidRPr="00EE5C61" w:rsidRDefault="00C16E1E" w:rsidP="00C16E1E">
      <w:pPr>
        <w:pBdr>
          <w:top w:val="single" w:sz="4" w:space="1" w:color="auto"/>
          <w:left w:val="single" w:sz="4" w:space="4" w:color="auto"/>
          <w:bottom w:val="single" w:sz="4" w:space="1" w:color="auto"/>
          <w:right w:val="single" w:sz="4" w:space="4" w:color="auto"/>
        </w:pBdr>
        <w:rPr>
          <w:rFonts w:ascii="Times New Roman" w:hAnsi="Times New Roman" w:cs="Times New Roman"/>
          <w:b/>
          <w:sz w:val="24"/>
        </w:rPr>
      </w:pPr>
      <w:r w:rsidRPr="00EE5C61">
        <w:rPr>
          <w:rFonts w:ascii="Times New Roman" w:hAnsi="Times New Roman" w:cs="Times New Roman"/>
          <w:b/>
          <w:sz w:val="24"/>
        </w:rPr>
        <w:t>EL CORDOBAZO: COND</w:t>
      </w:r>
      <w:r w:rsidR="00EE5C61">
        <w:rPr>
          <w:rFonts w:ascii="Times New Roman" w:hAnsi="Times New Roman" w:cs="Times New Roman"/>
          <w:b/>
          <w:sz w:val="24"/>
        </w:rPr>
        <w:t>ICIONES QUE LO HICIERON POSIBLE</w:t>
      </w:r>
      <w:r w:rsidRPr="00EE5C61">
        <w:rPr>
          <w:rFonts w:ascii="Times New Roman" w:hAnsi="Times New Roman" w:cs="Times New Roman"/>
          <w:b/>
          <w:sz w:val="24"/>
        </w:rPr>
        <w:t xml:space="preserve"> Y RUPTURAS QUE PROVOCÓ DENTRO Y FUERA DEL MOVIMIENTO O</w:t>
      </w:r>
      <w:bookmarkStart w:id="0" w:name="_GoBack"/>
      <w:bookmarkEnd w:id="0"/>
      <w:r w:rsidRPr="00EE5C61">
        <w:rPr>
          <w:rFonts w:ascii="Times New Roman" w:hAnsi="Times New Roman" w:cs="Times New Roman"/>
          <w:b/>
          <w:sz w:val="24"/>
        </w:rPr>
        <w:t>BRERO ARGENTINO</w:t>
      </w:r>
    </w:p>
    <w:p w:rsidR="00C16E1E" w:rsidRPr="00EE5C61" w:rsidRDefault="00C16E1E">
      <w:pPr>
        <w:rPr>
          <w:rFonts w:ascii="Times New Roman" w:hAnsi="Times New Roman" w:cs="Times New Roman"/>
          <w:b/>
          <w:sz w:val="24"/>
          <w:szCs w:val="24"/>
        </w:rPr>
      </w:pPr>
      <w:r w:rsidRPr="00EE5C61">
        <w:rPr>
          <w:rFonts w:ascii="Times New Roman" w:hAnsi="Times New Roman" w:cs="Times New Roman"/>
          <w:b/>
          <w:sz w:val="24"/>
          <w:szCs w:val="24"/>
        </w:rPr>
        <w:t xml:space="preserve">FUENTE 1: Selección de fragmentos del artículo “Antes y después del Cordobazo: en torno a la radicalización </w:t>
      </w:r>
      <w:proofErr w:type="spellStart"/>
      <w:r w:rsidRPr="00EE5C61">
        <w:rPr>
          <w:rFonts w:ascii="Times New Roman" w:hAnsi="Times New Roman" w:cs="Times New Roman"/>
          <w:b/>
          <w:sz w:val="24"/>
          <w:szCs w:val="24"/>
        </w:rPr>
        <w:t>policéntrica</w:t>
      </w:r>
      <w:proofErr w:type="spellEnd"/>
      <w:r w:rsidRPr="00EE5C61">
        <w:rPr>
          <w:rFonts w:ascii="Times New Roman" w:hAnsi="Times New Roman" w:cs="Times New Roman"/>
          <w:b/>
          <w:sz w:val="24"/>
          <w:szCs w:val="24"/>
        </w:rPr>
        <w:t xml:space="preserve"> de las prácticas políticas”, César </w:t>
      </w:r>
      <w:proofErr w:type="spellStart"/>
      <w:r w:rsidRPr="00EE5C61">
        <w:rPr>
          <w:rFonts w:ascii="Times New Roman" w:hAnsi="Times New Roman" w:cs="Times New Roman"/>
          <w:b/>
          <w:sz w:val="24"/>
          <w:szCs w:val="24"/>
        </w:rPr>
        <w:t>Tcach</w:t>
      </w:r>
      <w:proofErr w:type="spellEnd"/>
      <w:r w:rsidRPr="00EE5C61">
        <w:rPr>
          <w:rFonts w:ascii="Times New Roman" w:hAnsi="Times New Roman" w:cs="Times New Roman"/>
          <w:b/>
          <w:sz w:val="24"/>
          <w:szCs w:val="24"/>
        </w:rPr>
        <w:t xml:space="preserve">, Revista Euro Latinoamericana de Análisis Social y Político (RELASP), 1(1), 177–185. </w:t>
      </w:r>
      <w:hyperlink r:id="rId8" w:history="1">
        <w:r w:rsidRPr="00EE5C61">
          <w:rPr>
            <w:rStyle w:val="Hyperlink"/>
            <w:rFonts w:ascii="Times New Roman" w:hAnsi="Times New Roman" w:cs="Times New Roman"/>
            <w:b/>
            <w:color w:val="auto"/>
            <w:sz w:val="24"/>
            <w:szCs w:val="24"/>
          </w:rPr>
          <w:t>https://doi.org/10.35305/rr.v1i1.44</w:t>
        </w:r>
      </w:hyperlink>
      <w:r w:rsidRPr="00EE5C61">
        <w:rPr>
          <w:rFonts w:ascii="Times New Roman" w:hAnsi="Times New Roman" w:cs="Times New Roman"/>
          <w:b/>
          <w:sz w:val="24"/>
          <w:szCs w:val="24"/>
        </w:rPr>
        <w:t xml:space="preserve"> (Accedido en fecha 20 de enero de 2026). </w:t>
      </w:r>
    </w:p>
    <w:p w:rsidR="00C4642B" w:rsidRPr="00EE5C61" w:rsidRDefault="00C4642B">
      <w:pPr>
        <w:rPr>
          <w:rFonts w:ascii="Times New Roman" w:hAnsi="Times New Roman" w:cs="Times New Roman"/>
          <w:b/>
          <w:sz w:val="24"/>
          <w:szCs w:val="24"/>
        </w:rPr>
      </w:pPr>
      <w:r w:rsidRPr="00EE5C61">
        <w:rPr>
          <w:rFonts w:ascii="Times New Roman" w:hAnsi="Times New Roman" w:cs="Times New Roman"/>
          <w:b/>
          <w:sz w:val="24"/>
          <w:szCs w:val="24"/>
        </w:rPr>
        <w:t>Fragmento 1: Determinantes histórico-políticos del Cordobazo (1930-1969)</w:t>
      </w:r>
    </w:p>
    <w:p w:rsidR="003F2A1C" w:rsidRPr="00EE5C61" w:rsidRDefault="00C16E1E" w:rsidP="00C16E1E">
      <w:pPr>
        <w:rPr>
          <w:rFonts w:ascii="Times New Roman" w:hAnsi="Times New Roman" w:cs="Times New Roman"/>
          <w:sz w:val="24"/>
          <w:szCs w:val="24"/>
        </w:rPr>
      </w:pPr>
      <w:r w:rsidRPr="00EE5C61">
        <w:rPr>
          <w:rFonts w:ascii="Times New Roman" w:hAnsi="Times New Roman" w:cs="Times New Roman"/>
          <w:sz w:val="24"/>
          <w:szCs w:val="24"/>
        </w:rPr>
        <w:t xml:space="preserve">La violencia como factor de evolución social fue el título de la conferencia que una semana después del golpe militar del 6 de septiembre de 1930 que derrocó al presidente Hipólito Yrigoyen brindó el influyente sacerdote Gustavo </w:t>
      </w:r>
      <w:proofErr w:type="spellStart"/>
      <w:r w:rsidRPr="00EE5C61">
        <w:rPr>
          <w:rFonts w:ascii="Times New Roman" w:hAnsi="Times New Roman" w:cs="Times New Roman"/>
          <w:sz w:val="24"/>
          <w:szCs w:val="24"/>
        </w:rPr>
        <w:t>Franceschi</w:t>
      </w:r>
      <w:proofErr w:type="spellEnd"/>
      <w:r w:rsidRPr="00EE5C61">
        <w:rPr>
          <w:rFonts w:ascii="Times New Roman" w:hAnsi="Times New Roman" w:cs="Times New Roman"/>
          <w:sz w:val="24"/>
          <w:szCs w:val="24"/>
        </w:rPr>
        <w:t xml:space="preserve"> en el aristocrático Jockey Club de la ciudad de Buenos Aires (</w:t>
      </w:r>
      <w:proofErr w:type="spellStart"/>
      <w:r w:rsidRPr="00EE5C61">
        <w:rPr>
          <w:rFonts w:ascii="Times New Roman" w:hAnsi="Times New Roman" w:cs="Times New Roman"/>
          <w:sz w:val="24"/>
          <w:szCs w:val="24"/>
        </w:rPr>
        <w:t>Zanatta</w:t>
      </w:r>
      <w:proofErr w:type="spellEnd"/>
      <w:r w:rsidRPr="00EE5C61">
        <w:rPr>
          <w:rFonts w:ascii="Times New Roman" w:hAnsi="Times New Roman" w:cs="Times New Roman"/>
          <w:sz w:val="24"/>
          <w:szCs w:val="24"/>
        </w:rPr>
        <w:t xml:space="preserve">, 1996: 40). </w:t>
      </w:r>
    </w:p>
    <w:p w:rsidR="003F2A1C" w:rsidRDefault="00C16E1E" w:rsidP="00C16E1E">
      <w:pPr>
        <w:rPr>
          <w:rFonts w:ascii="Times New Roman" w:hAnsi="Times New Roman" w:cs="Times New Roman"/>
          <w:sz w:val="24"/>
          <w:szCs w:val="24"/>
        </w:rPr>
      </w:pPr>
      <w:r w:rsidRPr="00EE5C61">
        <w:rPr>
          <w:rFonts w:ascii="Times New Roman" w:hAnsi="Times New Roman" w:cs="Times New Roman"/>
          <w:sz w:val="24"/>
          <w:szCs w:val="24"/>
        </w:rPr>
        <w:t>En rigor, las campanadas de las iglesias y sus fachadas iluminadas para celebrar la caída del presidente radical, ponían blanco sobre negro la comunión entre Iglesia y Ejército, las dos instituciones que se preciaban de ser anteriores a la nación misma. El consenso extendido entre sectores civiles, militares y eclesiásticos para suministrar legitimidad al primer golpe de Estado de la historia argentina del siglo XX, abrió un amplio torrente para afianzar en las décadas siguientes una cultura pretoriana, a saber, que identificaba a los militares como un actor político legítimo para intervenir e incluso gobernar en situaciones de crisis. […] en agosto de 1948, el presidente Perón</w:t>
      </w:r>
      <w:r w:rsidRPr="00C16E1E">
        <w:rPr>
          <w:rFonts w:ascii="Times New Roman" w:hAnsi="Times New Roman" w:cs="Times New Roman"/>
          <w:sz w:val="24"/>
          <w:szCs w:val="24"/>
        </w:rPr>
        <w:t xml:space="preserve"> hizo aprobar la Ley de Organización de la Nación para Tiempos de Guerra que autorizaba la participación de los militares en la represión interna. Esta ley fue aplicada por primera vez a los obreros ferroviarios en la huelga de 1951. </w:t>
      </w:r>
    </w:p>
    <w:p w:rsidR="003F2A1C" w:rsidRDefault="00C16E1E" w:rsidP="00C16E1E">
      <w:pPr>
        <w:rPr>
          <w:rFonts w:ascii="Times New Roman" w:hAnsi="Times New Roman" w:cs="Times New Roman"/>
          <w:sz w:val="24"/>
          <w:szCs w:val="24"/>
        </w:rPr>
      </w:pPr>
      <w:r w:rsidRPr="00C16E1E">
        <w:rPr>
          <w:rFonts w:ascii="Times New Roman" w:hAnsi="Times New Roman" w:cs="Times New Roman"/>
          <w:sz w:val="24"/>
          <w:szCs w:val="24"/>
        </w:rPr>
        <w:t xml:space="preserve">Con este antecedente, en 1958 el presidente </w:t>
      </w:r>
      <w:proofErr w:type="spellStart"/>
      <w:r w:rsidRPr="00C16E1E">
        <w:rPr>
          <w:rFonts w:ascii="Times New Roman" w:hAnsi="Times New Roman" w:cs="Times New Roman"/>
          <w:sz w:val="24"/>
          <w:szCs w:val="24"/>
        </w:rPr>
        <w:t>Frondizi</w:t>
      </w:r>
      <w:proofErr w:type="spellEnd"/>
      <w:r w:rsidRPr="00C16E1E">
        <w:rPr>
          <w:rFonts w:ascii="Times New Roman" w:hAnsi="Times New Roman" w:cs="Times New Roman"/>
          <w:sz w:val="24"/>
          <w:szCs w:val="24"/>
        </w:rPr>
        <w:t xml:space="preserve"> implementó el Plan CONINTES (Conmoción Interna del Estado) que habilitó la intervención militar y consiguiente encarcelamiento -a disposición del PEN- de millares de militantes peronistas y de izquierda. El mencionado plan puso al descubierto, tempranamente, la fragilidad de la fórmula </w:t>
      </w:r>
      <w:proofErr w:type="spellStart"/>
      <w:r w:rsidRPr="00C16E1E">
        <w:rPr>
          <w:rFonts w:ascii="Times New Roman" w:hAnsi="Times New Roman" w:cs="Times New Roman"/>
          <w:sz w:val="24"/>
          <w:szCs w:val="24"/>
        </w:rPr>
        <w:t>frondicista</w:t>
      </w:r>
      <w:proofErr w:type="spellEnd"/>
      <w:r w:rsidRPr="00C16E1E">
        <w:rPr>
          <w:rFonts w:ascii="Times New Roman" w:hAnsi="Times New Roman" w:cs="Times New Roman"/>
          <w:sz w:val="24"/>
          <w:szCs w:val="24"/>
        </w:rPr>
        <w:t>, interesada en conciliar desarrollo capitalista y expansión industrial con el funcionamiento pleno de las instituciones democráticas (</w:t>
      </w:r>
      <w:proofErr w:type="spellStart"/>
      <w:r w:rsidRPr="00C16E1E">
        <w:rPr>
          <w:rFonts w:ascii="Times New Roman" w:hAnsi="Times New Roman" w:cs="Times New Roman"/>
          <w:sz w:val="24"/>
          <w:szCs w:val="24"/>
        </w:rPr>
        <w:t>Cavarozzi</w:t>
      </w:r>
      <w:proofErr w:type="spellEnd"/>
      <w:r w:rsidRPr="00C16E1E">
        <w:rPr>
          <w:rFonts w:ascii="Times New Roman" w:hAnsi="Times New Roman" w:cs="Times New Roman"/>
          <w:sz w:val="24"/>
          <w:szCs w:val="24"/>
        </w:rPr>
        <w:t xml:space="preserve">, 1996: 87). </w:t>
      </w:r>
    </w:p>
    <w:p w:rsidR="003F2A1C" w:rsidRDefault="00C16E1E" w:rsidP="00C16E1E">
      <w:pPr>
        <w:rPr>
          <w:rFonts w:ascii="Times New Roman" w:hAnsi="Times New Roman" w:cs="Times New Roman"/>
          <w:sz w:val="24"/>
          <w:szCs w:val="24"/>
        </w:rPr>
      </w:pPr>
      <w:r w:rsidRPr="00C16E1E">
        <w:rPr>
          <w:rFonts w:ascii="Times New Roman" w:hAnsi="Times New Roman" w:cs="Times New Roman"/>
          <w:sz w:val="24"/>
          <w:szCs w:val="24"/>
        </w:rPr>
        <w:t>Ilustraba esta militarización de la política, la facultad de cada uno de los secretarios de tres armas (Ejército, Fuerza Aérea y Armada) de participar, en su condición de secretarios de Estado, en las re</w:t>
      </w:r>
      <w:r w:rsidR="003F2A1C">
        <w:rPr>
          <w:rFonts w:ascii="Times New Roman" w:hAnsi="Times New Roman" w:cs="Times New Roman"/>
          <w:sz w:val="24"/>
          <w:szCs w:val="24"/>
        </w:rPr>
        <w:t xml:space="preserve">uniones del gabinete nacional. </w:t>
      </w:r>
      <w:r w:rsidRPr="00C16E1E">
        <w:rPr>
          <w:rFonts w:ascii="Times New Roman" w:hAnsi="Times New Roman" w:cs="Times New Roman"/>
          <w:sz w:val="24"/>
          <w:szCs w:val="24"/>
        </w:rPr>
        <w:t>En 1960, los Partidos Comunista y Socialista -ambos pacíficos y de sesgo más moderado que radical- seguían dominando el escenario de la izquierda, pero en el discurso de los jefes militares, la Argentina ya era un país en guerra y quienes pretendían negar este hecho eran ignorantes o cómplices (</w:t>
      </w:r>
      <w:proofErr w:type="spellStart"/>
      <w:r w:rsidRPr="00C16E1E">
        <w:rPr>
          <w:rFonts w:ascii="Times New Roman" w:hAnsi="Times New Roman" w:cs="Times New Roman"/>
          <w:sz w:val="24"/>
          <w:szCs w:val="24"/>
        </w:rPr>
        <w:t>Tcach</w:t>
      </w:r>
      <w:proofErr w:type="spellEnd"/>
      <w:r w:rsidRPr="00C16E1E">
        <w:rPr>
          <w:rFonts w:ascii="Times New Roman" w:hAnsi="Times New Roman" w:cs="Times New Roman"/>
          <w:sz w:val="24"/>
          <w:szCs w:val="24"/>
        </w:rPr>
        <w:t>, 2006: 136). A la proscripción de Perón en 1955, se le sumó la del Parti</w:t>
      </w:r>
      <w:r w:rsidR="003F2A1C">
        <w:rPr>
          <w:rFonts w:ascii="Times New Roman" w:hAnsi="Times New Roman" w:cs="Times New Roman"/>
          <w:sz w:val="24"/>
          <w:szCs w:val="24"/>
        </w:rPr>
        <w:t>do Comunista entre 1959 y 1964.</w:t>
      </w:r>
    </w:p>
    <w:p w:rsidR="003F2A1C" w:rsidRDefault="00C16E1E" w:rsidP="00C16E1E">
      <w:pPr>
        <w:rPr>
          <w:rFonts w:ascii="Times New Roman" w:hAnsi="Times New Roman" w:cs="Times New Roman"/>
          <w:sz w:val="24"/>
          <w:szCs w:val="24"/>
        </w:rPr>
      </w:pPr>
      <w:r w:rsidRPr="00C16E1E">
        <w:rPr>
          <w:rFonts w:ascii="Times New Roman" w:hAnsi="Times New Roman" w:cs="Times New Roman"/>
          <w:sz w:val="24"/>
          <w:szCs w:val="24"/>
        </w:rPr>
        <w:t xml:space="preserve">Coetáneamente a esta radicalización presente en el discurso militar y su creciente intervencionismo en el escenario político, la clase obrera comenzaba a dar sus primeros pasos hacia una salida de tipo disruptivo. En 1964, con motivo del Plan de Lucha organizado por la CGT y las 62 Organizaciones -durante la presidencia constitucional de Arturo </w:t>
      </w:r>
      <w:proofErr w:type="spellStart"/>
      <w:r w:rsidRPr="00C16E1E">
        <w:rPr>
          <w:rFonts w:ascii="Times New Roman" w:hAnsi="Times New Roman" w:cs="Times New Roman"/>
          <w:sz w:val="24"/>
          <w:szCs w:val="24"/>
        </w:rPr>
        <w:t>Illia</w:t>
      </w:r>
      <w:proofErr w:type="spellEnd"/>
      <w:r w:rsidRPr="00C16E1E">
        <w:rPr>
          <w:rFonts w:ascii="Times New Roman" w:hAnsi="Times New Roman" w:cs="Times New Roman"/>
          <w:sz w:val="24"/>
          <w:szCs w:val="24"/>
        </w:rPr>
        <w:t xml:space="preserve"> -no sólo se tomaron cientos de fábricas, sino que, por primera vez, se retuvo a ejecutivos y capataces en su interior. </w:t>
      </w:r>
    </w:p>
    <w:p w:rsidR="003F2A1C" w:rsidRDefault="00C16E1E" w:rsidP="00C16E1E">
      <w:pPr>
        <w:rPr>
          <w:rFonts w:ascii="Times New Roman" w:hAnsi="Times New Roman" w:cs="Times New Roman"/>
          <w:sz w:val="24"/>
          <w:szCs w:val="24"/>
        </w:rPr>
      </w:pPr>
      <w:r w:rsidRPr="00C16E1E">
        <w:rPr>
          <w:rFonts w:ascii="Times New Roman" w:hAnsi="Times New Roman" w:cs="Times New Roman"/>
          <w:sz w:val="24"/>
          <w:szCs w:val="24"/>
        </w:rPr>
        <w:t xml:space="preserve">La radicalización en los métodos de lucha se correspondía, en rigor, con el programa obrero de La Falda, aprobado dos años antes por la central sindical, el cual lejos de ser una plataforma de reivindicaciones inmediatas, delineaba las llaves maestras que debería emplear un gobierno revolucionario. El apoyo obtenido de las agrupaciones estudiantiles universitarias (nacionalistas, cristianas y comunistas) marcó el inicio de la superación del divorcio entre clase obrera y sectores </w:t>
      </w:r>
      <w:r w:rsidRPr="00C16E1E">
        <w:rPr>
          <w:rFonts w:ascii="Times New Roman" w:hAnsi="Times New Roman" w:cs="Times New Roman"/>
          <w:sz w:val="24"/>
          <w:szCs w:val="24"/>
        </w:rPr>
        <w:lastRenderedPageBreak/>
        <w:t xml:space="preserve">medios que había atravesado las décadas precedentes. A esta primera conciliación se añadió otra: el acercamiento entre cristianismo y marxismo. Pero ambas se construyeron sobre la fórmula de la radicalización política e ideológica. […] </w:t>
      </w:r>
    </w:p>
    <w:p w:rsidR="00C16E1E" w:rsidRDefault="00C16E1E" w:rsidP="00C16E1E">
      <w:pPr>
        <w:rPr>
          <w:rFonts w:ascii="Times New Roman" w:hAnsi="Times New Roman" w:cs="Times New Roman"/>
          <w:sz w:val="24"/>
          <w:szCs w:val="24"/>
        </w:rPr>
      </w:pPr>
      <w:r w:rsidRPr="00C16E1E">
        <w:rPr>
          <w:rFonts w:ascii="Times New Roman" w:hAnsi="Times New Roman" w:cs="Times New Roman"/>
          <w:sz w:val="24"/>
          <w:szCs w:val="24"/>
        </w:rPr>
        <w:t xml:space="preserve">Este embrionario proceso de radicalización </w:t>
      </w:r>
      <w:proofErr w:type="spellStart"/>
      <w:r w:rsidRPr="00C16E1E">
        <w:rPr>
          <w:rFonts w:ascii="Times New Roman" w:hAnsi="Times New Roman" w:cs="Times New Roman"/>
          <w:sz w:val="24"/>
          <w:szCs w:val="24"/>
        </w:rPr>
        <w:t>policéntrica</w:t>
      </w:r>
      <w:proofErr w:type="spellEnd"/>
      <w:r w:rsidRPr="00C16E1E">
        <w:rPr>
          <w:rFonts w:ascii="Times New Roman" w:hAnsi="Times New Roman" w:cs="Times New Roman"/>
          <w:sz w:val="24"/>
          <w:szCs w:val="24"/>
        </w:rPr>
        <w:t xml:space="preserve"> tuvo su corolario en el golpe militar del general Onganía en junio de 1966. Su pretensión de eliminar para siempre la democracia de partidos se asoció a la ilusión corporativa: el reemplazo del parlamento por consejos y juntas consultivas asesoras integradas por civiles que habrían de representar a las fuerzas vivas de la comunidad. Se ilegalizaron todos los partidos y se eliminaron las libertades de prensa y asociación. Los centros de estudiantes fueron prohibidos. La dictadura fue legitimada por la Iglesia Católica, cuyo involucramiento en la política nacional había ido in crescendo a partir de su protagonismo en la organización del golpe que derrocó a Perón. </w:t>
      </w:r>
      <w:r w:rsidRPr="00C16E1E">
        <w:rPr>
          <w:rFonts w:ascii="Times New Roman" w:hAnsi="Times New Roman" w:cs="Times New Roman"/>
          <w:sz w:val="24"/>
          <w:szCs w:val="24"/>
        </w:rPr>
        <w:cr/>
      </w:r>
    </w:p>
    <w:p w:rsidR="00251507" w:rsidRPr="00F86CF3" w:rsidRDefault="00D64C48" w:rsidP="00F86CF3">
      <w:pPr>
        <w:pStyle w:val="Heading3"/>
        <w:rPr>
          <w:sz w:val="24"/>
          <w:szCs w:val="24"/>
        </w:rPr>
      </w:pPr>
      <w:r w:rsidRPr="00F86CF3">
        <w:rPr>
          <w:sz w:val="24"/>
          <w:szCs w:val="24"/>
        </w:rPr>
        <w:t xml:space="preserve">FUENTE 2: </w:t>
      </w:r>
      <w:r w:rsidR="00F86CF3" w:rsidRPr="00F86CF3">
        <w:rPr>
          <w:sz w:val="24"/>
          <w:szCs w:val="24"/>
        </w:rPr>
        <w:t xml:space="preserve">La división de la CGT: </w:t>
      </w:r>
      <w:proofErr w:type="spellStart"/>
      <w:r w:rsidR="00F86CF3" w:rsidRPr="00F86CF3">
        <w:rPr>
          <w:sz w:val="24"/>
          <w:szCs w:val="24"/>
        </w:rPr>
        <w:t>Ongaro</w:t>
      </w:r>
      <w:proofErr w:type="spellEnd"/>
      <w:r w:rsidR="00F86CF3" w:rsidRPr="00F86CF3">
        <w:rPr>
          <w:sz w:val="24"/>
          <w:szCs w:val="24"/>
        </w:rPr>
        <w:t xml:space="preserve"> desafía el poder de </w:t>
      </w:r>
      <w:proofErr w:type="spellStart"/>
      <w:r w:rsidR="00F86CF3" w:rsidRPr="00F86CF3">
        <w:rPr>
          <w:sz w:val="24"/>
          <w:szCs w:val="24"/>
        </w:rPr>
        <w:t>Vandor</w:t>
      </w:r>
      <w:proofErr w:type="spellEnd"/>
      <w:r w:rsidR="00F86CF3" w:rsidRPr="00F86CF3">
        <w:rPr>
          <w:sz w:val="24"/>
          <w:szCs w:val="24"/>
        </w:rPr>
        <w:t xml:space="preserve"> (1968)</w:t>
      </w:r>
      <w:r w:rsidR="00F86CF3">
        <w:rPr>
          <w:sz w:val="24"/>
          <w:szCs w:val="24"/>
        </w:rPr>
        <w:t xml:space="preserve">. Elaborado por el Prof. Claudio Sacco para uso escolar. </w:t>
      </w:r>
    </w:p>
    <w:p w:rsidR="00F86CF3" w:rsidRDefault="00F86CF3" w:rsidP="00F86CF3">
      <w:pPr>
        <w:pStyle w:val="NormalWeb"/>
      </w:pPr>
      <w:r>
        <w:t>Cuando el general Onganía tomó el poder en junio de 1966, numerosos dirigentes sindicales peronistas apoyaron el golpe militar. Sin embargo, pronto comenzaron los conflictos: la dictadura congeló los salarios, intervino sindicatos y reprimió las protestas obreras.</w:t>
      </w:r>
    </w:p>
    <w:p w:rsidR="00F86CF3" w:rsidRDefault="00F86CF3" w:rsidP="00F86CF3">
      <w:pPr>
        <w:pStyle w:val="NormalWeb"/>
      </w:pPr>
      <w:r>
        <w:t xml:space="preserve">Dentro de la CGT aparecieron diferencias cada vez más profundas. Augusto </w:t>
      </w:r>
      <w:proofErr w:type="spellStart"/>
      <w:r>
        <w:t>Vandor</w:t>
      </w:r>
      <w:proofErr w:type="spellEnd"/>
      <w:r>
        <w:t xml:space="preserve">, poderoso dirigente de los metalúrgicos, defendía una estrategia que combinaba la presión sindical con la negociación con el gobierno. Otros dirigentes, conocidos como </w:t>
      </w:r>
      <w:proofErr w:type="spellStart"/>
      <w:r>
        <w:t>participacionistas</w:t>
      </w:r>
      <w:proofErr w:type="spellEnd"/>
      <w:r>
        <w:t xml:space="preserve">, estaban dispuestos a colaborar más abiertamente con la dictadura. En cambio, un sector combativo, integrado por dirigentes como Raimundo </w:t>
      </w:r>
      <w:proofErr w:type="spellStart"/>
      <w:r>
        <w:t>Ongaro</w:t>
      </w:r>
      <w:proofErr w:type="spellEnd"/>
      <w:r>
        <w:t xml:space="preserve"> y Agustín Tosco, proponía enfrentar al gobierno mediante la movilización obrera.</w:t>
      </w:r>
    </w:p>
    <w:p w:rsidR="00F86CF3" w:rsidRDefault="00F86CF3" w:rsidP="00F86CF3">
      <w:pPr>
        <w:pStyle w:val="NormalWeb"/>
      </w:pPr>
      <w:r>
        <w:t>En marzo de 1968 se reunió un Congreso Normalizador para elegir nuevas autoridades de la CGT</w:t>
      </w:r>
      <w:r>
        <w:rPr>
          <w:rStyle w:val="FootnoteReference"/>
        </w:rPr>
        <w:footnoteReference w:id="1"/>
      </w:r>
      <w:r>
        <w:t xml:space="preserve">. </w:t>
      </w:r>
      <w:proofErr w:type="spellStart"/>
      <w:r>
        <w:t>Vandor</w:t>
      </w:r>
      <w:proofErr w:type="spellEnd"/>
      <w:r>
        <w:t xml:space="preserve"> esperaba conservar su influencia sobre la central sindical, pero se encontró con una fuerte oposición. El conflicto estalló cuando los dirigentes combativos exigieron que pudieran votar también los representantes de los sindicatos intervenidos por la dictadura.</w:t>
      </w:r>
    </w:p>
    <w:p w:rsidR="00F86CF3" w:rsidRDefault="00F86CF3" w:rsidP="00F86CF3">
      <w:pPr>
        <w:pStyle w:val="NormalWeb"/>
      </w:pPr>
      <w:r>
        <w:t xml:space="preserve">Los </w:t>
      </w:r>
      <w:proofErr w:type="spellStart"/>
      <w:r>
        <w:t>vandoristas</w:t>
      </w:r>
      <w:proofErr w:type="spellEnd"/>
      <w:r>
        <w:t xml:space="preserve"> intentaron impedirlo y finalmente abandonaron el Congreso, esperando que no pudiera continuar. Sin embargo, los delegados que permanecieron reunidos consiguieron mantener el número necesario para sesionar y eligieron secretario general a Raimundo </w:t>
      </w:r>
      <w:proofErr w:type="spellStart"/>
      <w:r>
        <w:t>Ongaro</w:t>
      </w:r>
      <w:proofErr w:type="spellEnd"/>
      <w:r>
        <w:t xml:space="preserve">, dirigente del sindicato de los trabajadores gráficos. </w:t>
      </w:r>
    </w:p>
    <w:p w:rsidR="00F86CF3" w:rsidRDefault="00F86CF3" w:rsidP="00F86CF3">
      <w:pPr>
        <w:pStyle w:val="NormalWeb"/>
      </w:pPr>
      <w:r>
        <w:lastRenderedPageBreak/>
        <w:t xml:space="preserve">Así, </w:t>
      </w:r>
      <w:proofErr w:type="spellStart"/>
      <w:r>
        <w:t>Ongaro</w:t>
      </w:r>
      <w:proofErr w:type="spellEnd"/>
      <w:r>
        <w:t xml:space="preserve"> consiguió desplazar al </w:t>
      </w:r>
      <w:proofErr w:type="spellStart"/>
      <w:r>
        <w:t>vandorismo</w:t>
      </w:r>
      <w:proofErr w:type="spellEnd"/>
      <w:r>
        <w:t xml:space="preserve"> de la conducción elegida en aquel Congreso. Pero </w:t>
      </w:r>
      <w:proofErr w:type="spellStart"/>
      <w:r>
        <w:t>Vandor</w:t>
      </w:r>
      <w:proofErr w:type="spellEnd"/>
      <w:r>
        <w:t xml:space="preserve"> y sus aliados desconocieron el resultado y conservaron el control de la sede tradicional de la CGT. Desde entonces quedaron enfrentadas dos centrales sindicales:</w:t>
      </w:r>
    </w:p>
    <w:p w:rsidR="00F86CF3" w:rsidRDefault="00F86CF3" w:rsidP="00F86CF3">
      <w:pPr>
        <w:pStyle w:val="NormalWeb"/>
        <w:numPr>
          <w:ilvl w:val="0"/>
          <w:numId w:val="1"/>
        </w:numPr>
      </w:pPr>
      <w:r>
        <w:t xml:space="preserve">La CGT de </w:t>
      </w:r>
      <w:proofErr w:type="spellStart"/>
      <w:r>
        <w:t>Azopardo</w:t>
      </w:r>
      <w:proofErr w:type="spellEnd"/>
      <w:r>
        <w:t xml:space="preserve">, vinculada con </w:t>
      </w:r>
      <w:proofErr w:type="spellStart"/>
      <w:r>
        <w:t>Vandor</w:t>
      </w:r>
      <w:proofErr w:type="spellEnd"/>
      <w:r>
        <w:t>, que buscaba conservar su poder sindical y mantener abiertas las negociaciones con el gobierno.</w:t>
      </w:r>
    </w:p>
    <w:p w:rsidR="00F86CF3" w:rsidRDefault="00F86CF3" w:rsidP="00F86CF3">
      <w:pPr>
        <w:pStyle w:val="NormalWeb"/>
        <w:numPr>
          <w:ilvl w:val="0"/>
          <w:numId w:val="1"/>
        </w:numPr>
      </w:pPr>
      <w:r>
        <w:t xml:space="preserve">La CGT de los Argentinos (CGTA), dirigida por </w:t>
      </w:r>
      <w:proofErr w:type="spellStart"/>
      <w:r>
        <w:t>Ongaro</w:t>
      </w:r>
      <w:proofErr w:type="spellEnd"/>
      <w:r>
        <w:t>, que impulsaba la lucha contra la dictadura y proponía transformaciones económicas y sociales profundas.</w:t>
      </w:r>
    </w:p>
    <w:p w:rsidR="00F86CF3" w:rsidRDefault="00F86CF3" w:rsidP="00F86CF3">
      <w:pPr>
        <w:pStyle w:val="NormalWeb"/>
      </w:pPr>
      <w:r>
        <w:t xml:space="preserve">La CGTA recibió el apoyo de dirigentes como Agustín Tosco y buscó unir a los trabajadores con los estudiantes y otros sectores opositores. En mayo de 1968 publicó un programa que denunciaba el poder de las grandes empresas y la dependencia económica argentina. </w:t>
      </w:r>
    </w:p>
    <w:p w:rsidR="00F86CF3" w:rsidRDefault="00F86CF3" w:rsidP="00F86CF3">
      <w:pPr>
        <w:pStyle w:val="NormalWeb"/>
      </w:pPr>
      <w:r>
        <w:t>La división de la CGT mostró que el poder de las conducciones sindicales tradicionales estaba siendo cuestionado. También fue una señal de la creciente radicalización del movimiento obrero, que alcanzaría una de sus expresiones más importantes durante el Cordobazo de mayo de 1969.</w:t>
      </w:r>
    </w:p>
    <w:p w:rsidR="00F86CF3" w:rsidRDefault="00F86CF3" w:rsidP="00827AC2">
      <w:pPr>
        <w:spacing w:after="0" w:line="240" w:lineRule="auto"/>
        <w:outlineLvl w:val="1"/>
        <w:rPr>
          <w:rFonts w:ascii="Times New Roman" w:hAnsi="Times New Roman" w:cs="Times New Roman"/>
          <w:sz w:val="24"/>
          <w:szCs w:val="24"/>
          <w:lang w:val="es-ES"/>
        </w:rPr>
      </w:pPr>
    </w:p>
    <w:p w:rsidR="00827AC2" w:rsidRPr="00827AC2" w:rsidRDefault="00827AC2" w:rsidP="00827AC2">
      <w:pPr>
        <w:spacing w:after="0" w:line="240" w:lineRule="auto"/>
        <w:outlineLvl w:val="1"/>
        <w:rPr>
          <w:rFonts w:ascii="Times New Roman" w:eastAsia="Times New Roman" w:hAnsi="Times New Roman" w:cs="Times New Roman"/>
          <w:b/>
          <w:bCs/>
          <w:sz w:val="24"/>
          <w:szCs w:val="24"/>
          <w:lang w:val="es-ES" w:eastAsia="es-ES"/>
        </w:rPr>
      </w:pPr>
      <w:r w:rsidRPr="00827AC2">
        <w:rPr>
          <w:rFonts w:ascii="Times New Roman" w:hAnsi="Times New Roman" w:cs="Times New Roman"/>
          <w:b/>
          <w:sz w:val="24"/>
          <w:szCs w:val="24"/>
        </w:rPr>
        <w:t xml:space="preserve">FUENTE </w:t>
      </w:r>
      <w:r w:rsidR="00D64C48">
        <w:rPr>
          <w:rFonts w:ascii="Times New Roman" w:hAnsi="Times New Roman" w:cs="Times New Roman"/>
          <w:b/>
          <w:sz w:val="24"/>
          <w:szCs w:val="24"/>
        </w:rPr>
        <w:t>3</w:t>
      </w:r>
      <w:r w:rsidRPr="00827AC2">
        <w:rPr>
          <w:rFonts w:ascii="Times New Roman" w:hAnsi="Times New Roman" w:cs="Times New Roman"/>
          <w:b/>
          <w:sz w:val="24"/>
          <w:szCs w:val="24"/>
        </w:rPr>
        <w:t xml:space="preserve">: </w:t>
      </w:r>
      <w:r w:rsidRPr="00827AC2">
        <w:rPr>
          <w:rFonts w:ascii="Times New Roman" w:eastAsia="Times New Roman" w:hAnsi="Times New Roman" w:cs="Times New Roman"/>
          <w:b/>
          <w:bCs/>
          <w:sz w:val="24"/>
          <w:szCs w:val="24"/>
          <w:lang w:val="es-ES" w:eastAsia="es-ES"/>
        </w:rPr>
        <w:t xml:space="preserve">La radicalización del movimiento obrero argentino antes y después del Cordobazo (1964-1975). Elaborada por el Prof. Claudio Sacco para uso escolar. </w:t>
      </w:r>
    </w:p>
    <w:p w:rsid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p>
    <w:p w:rsidR="00827AC2" w:rsidRP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r w:rsidRPr="00827AC2">
        <w:rPr>
          <w:rFonts w:ascii="Times New Roman" w:eastAsia="Times New Roman" w:hAnsi="Times New Roman" w:cs="Times New Roman"/>
          <w:b/>
          <w:bCs/>
          <w:sz w:val="24"/>
          <w:szCs w:val="24"/>
          <w:lang w:val="es-ES" w:eastAsia="es-ES"/>
        </w:rPr>
        <w:t>¿Qué dicen las investigaciones históricas?</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Durante la década de 1960, una parte de los trabajadores argentinos comenzó a cuestionar no solamente los bajos salarios y las condiciones laborales, sino también el poder de los empresarios, las políticas del gobierno y la autoridad de los dirigentes sindicales tradicionales. Este proceso se conoce como radicalización obrera.</w:t>
      </w:r>
      <w:r>
        <w:rPr>
          <w:rFonts w:ascii="Times New Roman" w:eastAsia="Times New Roman" w:hAnsi="Times New Roman" w:cs="Times New Roman"/>
          <w:sz w:val="24"/>
          <w:szCs w:val="24"/>
          <w:lang w:val="es-ES" w:eastAsia="es-ES"/>
        </w:rPr>
        <w:t xml:space="preserve"> </w:t>
      </w:r>
      <w:r w:rsidRPr="00827AC2">
        <w:rPr>
          <w:rFonts w:ascii="Times New Roman" w:eastAsia="Times New Roman" w:hAnsi="Times New Roman" w:cs="Times New Roman"/>
          <w:sz w:val="24"/>
          <w:szCs w:val="24"/>
          <w:lang w:val="es-ES" w:eastAsia="es-ES"/>
        </w:rPr>
        <w:t>Los historiadores coinciden en que el Cordobazo, ocurrido en mayo de 1969, fue un momento decisivo. Sin embargo, sus investigaciones muestran que la radicalización había comenzado antes y que no todos los trabajadores siguieron el mismo camino.</w:t>
      </w:r>
    </w:p>
    <w:p w:rsid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p>
    <w:p w:rsidR="00827AC2" w:rsidRP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r w:rsidRPr="00827AC2">
        <w:rPr>
          <w:rFonts w:ascii="Times New Roman" w:eastAsia="Times New Roman" w:hAnsi="Times New Roman" w:cs="Times New Roman"/>
          <w:b/>
          <w:bCs/>
          <w:sz w:val="24"/>
          <w:szCs w:val="24"/>
          <w:lang w:val="es-ES" w:eastAsia="es-ES"/>
        </w:rPr>
        <w:t>La radicalización comenzó antes del Cordobazo</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José Barraza estudió las fábricas Fiat de Córdoba y la trayectoria del dirigente Gregorio Flores. Sus investigaciones muestran que, desde mediados de los años sesenta, algunos trabajadores comenzaron a acercarse a organizaciones políticas de izquierda.</w:t>
      </w:r>
      <w:r>
        <w:rPr>
          <w:rFonts w:ascii="Times New Roman" w:eastAsia="Times New Roman" w:hAnsi="Times New Roman" w:cs="Times New Roman"/>
          <w:sz w:val="24"/>
          <w:szCs w:val="24"/>
          <w:lang w:val="es-ES" w:eastAsia="es-ES"/>
        </w:rPr>
        <w:t xml:space="preserve"> </w:t>
      </w:r>
      <w:r w:rsidRPr="00827AC2">
        <w:rPr>
          <w:rFonts w:ascii="Times New Roman" w:eastAsia="Times New Roman" w:hAnsi="Times New Roman" w:cs="Times New Roman"/>
          <w:sz w:val="24"/>
          <w:szCs w:val="24"/>
          <w:lang w:val="es-ES" w:eastAsia="es-ES"/>
        </w:rPr>
        <w:t>Flores, por ejemplo, pasó de sostener ideas nacionalistas y católicas a identificarse progresivamente con posiciones socialistas. Este cambio fue resultado de sus experiencias laborales, sus relaciones personales y su participación sindical.</w:t>
      </w:r>
    </w:p>
    <w:p w:rsid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p>
    <w:p w:rsidR="00827AC2" w:rsidRP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r w:rsidRPr="00827AC2">
        <w:rPr>
          <w:rFonts w:ascii="Times New Roman" w:eastAsia="Times New Roman" w:hAnsi="Times New Roman" w:cs="Times New Roman"/>
          <w:b/>
          <w:bCs/>
          <w:sz w:val="24"/>
          <w:szCs w:val="24"/>
          <w:lang w:val="es-ES" w:eastAsia="es-ES"/>
        </w:rPr>
        <w:t>Los sindicatos por empresa: un resultado inesperado</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 xml:space="preserve">Durante el gobierno de Arturo </w:t>
      </w:r>
      <w:proofErr w:type="spellStart"/>
      <w:r w:rsidRPr="00827AC2">
        <w:rPr>
          <w:rFonts w:ascii="Times New Roman" w:eastAsia="Times New Roman" w:hAnsi="Times New Roman" w:cs="Times New Roman"/>
          <w:sz w:val="24"/>
          <w:szCs w:val="24"/>
          <w:lang w:val="es-ES" w:eastAsia="es-ES"/>
        </w:rPr>
        <w:t>Frondizi</w:t>
      </w:r>
      <w:proofErr w:type="spellEnd"/>
      <w:r w:rsidRPr="00827AC2">
        <w:rPr>
          <w:rFonts w:ascii="Times New Roman" w:eastAsia="Times New Roman" w:hAnsi="Times New Roman" w:cs="Times New Roman"/>
          <w:sz w:val="24"/>
          <w:szCs w:val="24"/>
          <w:lang w:val="es-ES" w:eastAsia="es-ES"/>
        </w:rPr>
        <w:t xml:space="preserve"> (1958-1962) se alentó la formación de sindicatos por empresa, una política que favorecía la división de los trabajadores en organizaciones más pequeñas.</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En Córdoba, Fiat impulsó sindicatos propios en sus establecimientos para evitar la influencia de grandes organizaciones como SMATA</w:t>
      </w:r>
      <w:r>
        <w:rPr>
          <w:rStyle w:val="FootnoteReference"/>
          <w:rFonts w:ascii="Times New Roman" w:eastAsia="Times New Roman" w:hAnsi="Times New Roman" w:cs="Times New Roman"/>
          <w:sz w:val="24"/>
          <w:szCs w:val="24"/>
          <w:lang w:val="es-ES" w:eastAsia="es-ES"/>
        </w:rPr>
        <w:footnoteReference w:id="2"/>
      </w:r>
      <w:r w:rsidRPr="00827AC2">
        <w:rPr>
          <w:rFonts w:ascii="Times New Roman" w:eastAsia="Times New Roman" w:hAnsi="Times New Roman" w:cs="Times New Roman"/>
          <w:sz w:val="24"/>
          <w:szCs w:val="24"/>
          <w:lang w:val="es-ES" w:eastAsia="es-ES"/>
        </w:rPr>
        <w:t xml:space="preserve"> y la UOM</w:t>
      </w:r>
      <w:r>
        <w:rPr>
          <w:rStyle w:val="FootnoteReference"/>
          <w:rFonts w:ascii="Times New Roman" w:eastAsia="Times New Roman" w:hAnsi="Times New Roman" w:cs="Times New Roman"/>
          <w:sz w:val="24"/>
          <w:szCs w:val="24"/>
          <w:lang w:val="es-ES" w:eastAsia="es-ES"/>
        </w:rPr>
        <w:footnoteReference w:id="3"/>
      </w:r>
      <w:r w:rsidRPr="00827AC2">
        <w:rPr>
          <w:rFonts w:ascii="Times New Roman" w:eastAsia="Times New Roman" w:hAnsi="Times New Roman" w:cs="Times New Roman"/>
          <w:sz w:val="24"/>
          <w:szCs w:val="24"/>
          <w:lang w:val="es-ES" w:eastAsia="es-ES"/>
        </w:rPr>
        <w:t>.</w:t>
      </w:r>
      <w:r>
        <w:rPr>
          <w:rFonts w:ascii="Times New Roman" w:eastAsia="Times New Roman" w:hAnsi="Times New Roman" w:cs="Times New Roman"/>
          <w:sz w:val="24"/>
          <w:szCs w:val="24"/>
          <w:lang w:val="es-ES" w:eastAsia="es-ES"/>
        </w:rPr>
        <w:t xml:space="preserve"> </w:t>
      </w:r>
      <w:r w:rsidRPr="00827AC2">
        <w:rPr>
          <w:rFonts w:ascii="Times New Roman" w:eastAsia="Times New Roman" w:hAnsi="Times New Roman" w:cs="Times New Roman"/>
          <w:sz w:val="24"/>
          <w:szCs w:val="24"/>
          <w:lang w:val="es-ES" w:eastAsia="es-ES"/>
        </w:rPr>
        <w:t>Sin embargo, la estrategia terminó produciendo resultados contrarios a los esperados. En 1970, los trabajadores desplazaron a las conducciones cercanas a la empresa y eligieron dirigentes mucho más combativos. Así, sindicatos inicialmente promovidos para controlar los conflictos laborales se convirtieron en centros de oposición a los empresarios y a la dictadura.</w:t>
      </w:r>
    </w:p>
    <w:p w:rsid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p>
    <w:p w:rsidR="00D12C86" w:rsidRDefault="00D12C86" w:rsidP="00827AC2">
      <w:pPr>
        <w:spacing w:after="0" w:line="240" w:lineRule="auto"/>
        <w:outlineLvl w:val="2"/>
        <w:rPr>
          <w:rFonts w:ascii="Times New Roman" w:eastAsia="Times New Roman" w:hAnsi="Times New Roman" w:cs="Times New Roman"/>
          <w:b/>
          <w:bCs/>
          <w:sz w:val="24"/>
          <w:szCs w:val="24"/>
          <w:lang w:val="es-ES" w:eastAsia="es-ES"/>
        </w:rPr>
      </w:pPr>
    </w:p>
    <w:p w:rsidR="00827AC2" w:rsidRP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r w:rsidRPr="00827AC2">
        <w:rPr>
          <w:rFonts w:ascii="Times New Roman" w:eastAsia="Times New Roman" w:hAnsi="Times New Roman" w:cs="Times New Roman"/>
          <w:b/>
          <w:bCs/>
          <w:sz w:val="24"/>
          <w:szCs w:val="24"/>
          <w:lang w:val="es-ES" w:eastAsia="es-ES"/>
        </w:rPr>
        <w:lastRenderedPageBreak/>
        <w:t>Después del Cordobazo: nuevas formas de lucha</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 xml:space="preserve">Carlos </w:t>
      </w:r>
      <w:proofErr w:type="spellStart"/>
      <w:r w:rsidRPr="00827AC2">
        <w:rPr>
          <w:rFonts w:ascii="Times New Roman" w:eastAsia="Times New Roman" w:hAnsi="Times New Roman" w:cs="Times New Roman"/>
          <w:sz w:val="24"/>
          <w:szCs w:val="24"/>
          <w:lang w:val="es-ES" w:eastAsia="es-ES"/>
        </w:rPr>
        <w:t>Mignón</w:t>
      </w:r>
      <w:proofErr w:type="spellEnd"/>
      <w:r w:rsidRPr="00827AC2">
        <w:rPr>
          <w:rFonts w:ascii="Times New Roman" w:eastAsia="Times New Roman" w:hAnsi="Times New Roman" w:cs="Times New Roman"/>
          <w:sz w:val="24"/>
          <w:szCs w:val="24"/>
          <w:lang w:val="es-ES" w:eastAsia="es-ES"/>
        </w:rPr>
        <w:t xml:space="preserve"> investigó las llamadas «huelgas salvajes» de 1970 y 1971: protestas organizadas por los propios trabajadores, muchas veces sin autorización de sus dirigentes sindicales.</w:t>
      </w:r>
      <w:r>
        <w:rPr>
          <w:rFonts w:ascii="Times New Roman" w:eastAsia="Times New Roman" w:hAnsi="Times New Roman" w:cs="Times New Roman"/>
          <w:sz w:val="24"/>
          <w:szCs w:val="24"/>
          <w:lang w:val="es-ES" w:eastAsia="es-ES"/>
        </w:rPr>
        <w:t xml:space="preserve"> Por su parte, </w:t>
      </w:r>
      <w:r w:rsidRPr="00827AC2">
        <w:rPr>
          <w:rFonts w:ascii="Times New Roman" w:eastAsia="Times New Roman" w:hAnsi="Times New Roman" w:cs="Times New Roman"/>
          <w:sz w:val="24"/>
          <w:szCs w:val="24"/>
          <w:lang w:val="es-ES" w:eastAsia="es-ES"/>
        </w:rPr>
        <w:t xml:space="preserve">Rodolfo </w:t>
      </w:r>
      <w:proofErr w:type="spellStart"/>
      <w:r w:rsidRPr="00827AC2">
        <w:rPr>
          <w:rFonts w:ascii="Times New Roman" w:eastAsia="Times New Roman" w:hAnsi="Times New Roman" w:cs="Times New Roman"/>
          <w:sz w:val="24"/>
          <w:szCs w:val="24"/>
          <w:lang w:val="es-ES" w:eastAsia="es-ES"/>
        </w:rPr>
        <w:t>Laufer</w:t>
      </w:r>
      <w:proofErr w:type="spellEnd"/>
      <w:r w:rsidRPr="00827AC2">
        <w:rPr>
          <w:rFonts w:ascii="Times New Roman" w:eastAsia="Times New Roman" w:hAnsi="Times New Roman" w:cs="Times New Roman"/>
          <w:sz w:val="24"/>
          <w:szCs w:val="24"/>
          <w:lang w:val="es-ES" w:eastAsia="es-ES"/>
        </w:rPr>
        <w:t xml:space="preserve"> estudió las ocupaciones de la fábrica </w:t>
      </w:r>
      <w:proofErr w:type="spellStart"/>
      <w:r w:rsidRPr="00827AC2">
        <w:rPr>
          <w:rFonts w:ascii="Times New Roman" w:eastAsia="Times New Roman" w:hAnsi="Times New Roman" w:cs="Times New Roman"/>
          <w:sz w:val="24"/>
          <w:szCs w:val="24"/>
          <w:lang w:val="es-ES" w:eastAsia="es-ES"/>
        </w:rPr>
        <w:t>Perdriel</w:t>
      </w:r>
      <w:proofErr w:type="spellEnd"/>
      <w:r w:rsidRPr="00827AC2">
        <w:rPr>
          <w:rFonts w:ascii="Times New Roman" w:eastAsia="Times New Roman" w:hAnsi="Times New Roman" w:cs="Times New Roman"/>
          <w:sz w:val="24"/>
          <w:szCs w:val="24"/>
          <w:lang w:val="es-ES" w:eastAsia="es-ES"/>
        </w:rPr>
        <w:t xml:space="preserve"> en 1970. Destaca que los trabajadores comenzaron a cuestionar simultáneamente a los empresarios, a la dictadura militar y a las conducciones sindicales tradicionales.</w:t>
      </w:r>
    </w:p>
    <w:p w:rsid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p>
    <w:p w:rsidR="00827AC2" w:rsidRP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r w:rsidRPr="00827AC2">
        <w:rPr>
          <w:rFonts w:ascii="Times New Roman" w:eastAsia="Times New Roman" w:hAnsi="Times New Roman" w:cs="Times New Roman"/>
          <w:b/>
          <w:bCs/>
          <w:sz w:val="24"/>
          <w:szCs w:val="24"/>
          <w:lang w:val="es-ES" w:eastAsia="es-ES"/>
        </w:rPr>
        <w:t>El surgimiento del sindicalismo clasista</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Una de las principales novedades fue el clasismo, una corriente que defendía la participación directa de los trabajadores en las decisiones sindicales y cuestionaba el sistema capitalista.</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En las fábricas Fiat surgieron los sindicatos SITRAC</w:t>
      </w:r>
      <w:r>
        <w:rPr>
          <w:rStyle w:val="FootnoteReference"/>
          <w:rFonts w:ascii="Times New Roman" w:eastAsia="Times New Roman" w:hAnsi="Times New Roman" w:cs="Times New Roman"/>
          <w:sz w:val="24"/>
          <w:szCs w:val="24"/>
          <w:lang w:val="es-ES" w:eastAsia="es-ES"/>
        </w:rPr>
        <w:footnoteReference w:id="4"/>
      </w:r>
      <w:r w:rsidRPr="00827AC2">
        <w:rPr>
          <w:rFonts w:ascii="Times New Roman" w:eastAsia="Times New Roman" w:hAnsi="Times New Roman" w:cs="Times New Roman"/>
          <w:sz w:val="24"/>
          <w:szCs w:val="24"/>
          <w:lang w:val="es-ES" w:eastAsia="es-ES"/>
        </w:rPr>
        <w:t xml:space="preserve"> y SITRAM</w:t>
      </w:r>
      <w:r w:rsidR="00BA0749">
        <w:rPr>
          <w:rStyle w:val="FootnoteReference"/>
          <w:rFonts w:ascii="Times New Roman" w:eastAsia="Times New Roman" w:hAnsi="Times New Roman" w:cs="Times New Roman"/>
          <w:sz w:val="24"/>
          <w:szCs w:val="24"/>
          <w:lang w:val="es-ES" w:eastAsia="es-ES"/>
        </w:rPr>
        <w:footnoteReference w:id="5"/>
      </w:r>
      <w:r w:rsidRPr="00827AC2">
        <w:rPr>
          <w:rFonts w:ascii="Times New Roman" w:eastAsia="Times New Roman" w:hAnsi="Times New Roman" w:cs="Times New Roman"/>
          <w:sz w:val="24"/>
          <w:szCs w:val="24"/>
          <w:lang w:val="es-ES" w:eastAsia="es-ES"/>
        </w:rPr>
        <w:t>, que impulsaron una orientación combativa y revolucionaria.</w:t>
      </w:r>
      <w:r>
        <w:rPr>
          <w:rFonts w:ascii="Times New Roman" w:eastAsia="Times New Roman" w:hAnsi="Times New Roman" w:cs="Times New Roman"/>
          <w:sz w:val="24"/>
          <w:szCs w:val="24"/>
          <w:lang w:val="es-ES" w:eastAsia="es-ES"/>
        </w:rPr>
        <w:t xml:space="preserve"> </w:t>
      </w:r>
      <w:r w:rsidRPr="00827AC2">
        <w:rPr>
          <w:rFonts w:ascii="Times New Roman" w:eastAsia="Times New Roman" w:hAnsi="Times New Roman" w:cs="Times New Roman"/>
          <w:sz w:val="24"/>
          <w:szCs w:val="24"/>
          <w:lang w:val="es-ES" w:eastAsia="es-ES"/>
        </w:rPr>
        <w:t>En 1971 intentaron construir un frente sindical clasista de alcance nacional. Sin embargo, las divisiones internas y la represión dificultaron el proyecto.</w:t>
      </w:r>
    </w:p>
    <w:p w:rsid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p>
    <w:p w:rsidR="00827AC2" w:rsidRP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r w:rsidRPr="00827AC2">
        <w:rPr>
          <w:rFonts w:ascii="Times New Roman" w:eastAsia="Times New Roman" w:hAnsi="Times New Roman" w:cs="Times New Roman"/>
          <w:b/>
          <w:bCs/>
          <w:sz w:val="24"/>
          <w:szCs w:val="24"/>
          <w:lang w:val="es-ES" w:eastAsia="es-ES"/>
        </w:rPr>
        <w:t>¿Fue un fenómeno exclusivamente metalúrgico?</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María Laura Ortiz demuestra que no. Su investigación sobre las fábricas de calzado de Córdoba señala que también aparecieron agrupaciones clasistas en otras industrias, donde los trabajadores enfrentaron tanto a los empresarios como a las conducciones sindicales tradicionales.</w:t>
      </w:r>
    </w:p>
    <w:p w:rsid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p>
    <w:p w:rsidR="00827AC2" w:rsidRPr="00827AC2" w:rsidRDefault="00827AC2" w:rsidP="00827AC2">
      <w:pPr>
        <w:spacing w:after="0" w:line="240" w:lineRule="auto"/>
        <w:outlineLvl w:val="2"/>
        <w:rPr>
          <w:rFonts w:ascii="Times New Roman" w:eastAsia="Times New Roman" w:hAnsi="Times New Roman" w:cs="Times New Roman"/>
          <w:b/>
          <w:bCs/>
          <w:sz w:val="24"/>
          <w:szCs w:val="24"/>
          <w:lang w:val="es-ES" w:eastAsia="es-ES"/>
        </w:rPr>
      </w:pPr>
      <w:r w:rsidRPr="00827AC2">
        <w:rPr>
          <w:rFonts w:ascii="Times New Roman" w:eastAsia="Times New Roman" w:hAnsi="Times New Roman" w:cs="Times New Roman"/>
          <w:b/>
          <w:bCs/>
          <w:sz w:val="24"/>
          <w:szCs w:val="24"/>
          <w:lang w:val="es-ES" w:eastAsia="es-ES"/>
        </w:rPr>
        <w:t>Conclusión</w:t>
      </w:r>
    </w:p>
    <w:p w:rsidR="00827AC2" w:rsidRPr="00827AC2" w:rsidRDefault="00827AC2" w:rsidP="00827AC2">
      <w:pPr>
        <w:spacing w:after="0" w:line="240" w:lineRule="auto"/>
        <w:rPr>
          <w:rFonts w:ascii="Times New Roman" w:eastAsia="Times New Roman" w:hAnsi="Times New Roman" w:cs="Times New Roman"/>
          <w:sz w:val="24"/>
          <w:szCs w:val="24"/>
          <w:lang w:val="es-ES" w:eastAsia="es-ES"/>
        </w:rPr>
      </w:pPr>
      <w:r w:rsidRPr="00827AC2">
        <w:rPr>
          <w:rFonts w:ascii="Times New Roman" w:eastAsia="Times New Roman" w:hAnsi="Times New Roman" w:cs="Times New Roman"/>
          <w:sz w:val="24"/>
          <w:szCs w:val="24"/>
          <w:lang w:val="es-ES" w:eastAsia="es-ES"/>
        </w:rPr>
        <w:t>Estas investigaciones muestran que el Cordobazo no creó la radicalización obrera, sino que contribuyó a acelerarla.</w:t>
      </w:r>
      <w:r>
        <w:rPr>
          <w:rFonts w:ascii="Times New Roman" w:eastAsia="Times New Roman" w:hAnsi="Times New Roman" w:cs="Times New Roman"/>
          <w:sz w:val="24"/>
          <w:szCs w:val="24"/>
          <w:lang w:val="es-ES" w:eastAsia="es-ES"/>
        </w:rPr>
        <w:t xml:space="preserve"> </w:t>
      </w:r>
      <w:r w:rsidRPr="00827AC2">
        <w:rPr>
          <w:rFonts w:ascii="Times New Roman" w:eastAsia="Times New Roman" w:hAnsi="Times New Roman" w:cs="Times New Roman"/>
          <w:sz w:val="24"/>
          <w:szCs w:val="24"/>
          <w:lang w:val="es-ES" w:eastAsia="es-ES"/>
        </w:rPr>
        <w:t>Mientras algunos historiadores destacan las experiencias laborales y las iniciativas de los propios trabajadores, otros subrayan la influencia de las organizaciones políticas de izquierda.</w:t>
      </w:r>
      <w:r>
        <w:rPr>
          <w:rFonts w:ascii="Times New Roman" w:eastAsia="Times New Roman" w:hAnsi="Times New Roman" w:cs="Times New Roman"/>
          <w:sz w:val="24"/>
          <w:szCs w:val="24"/>
          <w:lang w:val="es-ES" w:eastAsia="es-ES"/>
        </w:rPr>
        <w:t xml:space="preserve"> </w:t>
      </w:r>
      <w:r w:rsidRPr="00827AC2">
        <w:rPr>
          <w:rFonts w:ascii="Times New Roman" w:eastAsia="Times New Roman" w:hAnsi="Times New Roman" w:cs="Times New Roman"/>
          <w:sz w:val="24"/>
          <w:szCs w:val="24"/>
          <w:lang w:val="es-ES" w:eastAsia="es-ES"/>
        </w:rPr>
        <w:t>En conjunto, describen un movimiento obrero en el que una parte de los trabajadores comenzó a luchar no solamente por mejores salarios, sino también por transformar las relaciones de poder dentro de las fábricas, los sindicatos y la sociedad.</w:t>
      </w:r>
    </w:p>
    <w:p w:rsidR="00827AC2" w:rsidRDefault="00827AC2" w:rsidP="00C16E1E">
      <w:pPr>
        <w:rPr>
          <w:rFonts w:ascii="Times New Roman" w:hAnsi="Times New Roman" w:cs="Times New Roman"/>
          <w:sz w:val="24"/>
          <w:szCs w:val="24"/>
          <w:lang w:val="es-ES"/>
        </w:rPr>
      </w:pPr>
    </w:p>
    <w:p w:rsidR="00D12C86" w:rsidRDefault="00182D5F" w:rsidP="00182D5F">
      <w:pPr>
        <w:rPr>
          <w:rFonts w:ascii="Times New Roman" w:hAnsi="Times New Roman" w:cs="Times New Roman"/>
          <w:b/>
          <w:sz w:val="24"/>
          <w:szCs w:val="24"/>
        </w:rPr>
      </w:pPr>
      <w:r w:rsidRPr="00182D5F">
        <w:rPr>
          <w:rFonts w:ascii="Times New Roman" w:hAnsi="Times New Roman" w:cs="Times New Roman"/>
          <w:b/>
          <w:sz w:val="24"/>
          <w:szCs w:val="24"/>
        </w:rPr>
        <w:t>Fuente</w:t>
      </w:r>
      <w:r w:rsidR="00D12C86">
        <w:rPr>
          <w:rFonts w:ascii="Times New Roman" w:hAnsi="Times New Roman" w:cs="Times New Roman"/>
          <w:b/>
          <w:sz w:val="24"/>
          <w:szCs w:val="24"/>
        </w:rPr>
        <w:t xml:space="preserve"> 4: Material</w:t>
      </w:r>
      <w:r w:rsidRPr="00182D5F">
        <w:rPr>
          <w:rFonts w:ascii="Times New Roman" w:hAnsi="Times New Roman" w:cs="Times New Roman"/>
          <w:b/>
          <w:sz w:val="24"/>
          <w:szCs w:val="24"/>
        </w:rPr>
        <w:t xml:space="preserve"> audiovisual</w:t>
      </w:r>
      <w:r w:rsidR="00D12C86">
        <w:rPr>
          <w:rFonts w:ascii="Times New Roman" w:hAnsi="Times New Roman" w:cs="Times New Roman"/>
          <w:b/>
          <w:sz w:val="24"/>
          <w:szCs w:val="24"/>
        </w:rPr>
        <w:t xml:space="preserve"> sobre “El Cordobazo”, disponible en: </w:t>
      </w:r>
      <w:r w:rsidR="00D12C86" w:rsidRPr="00D12C86">
        <w:t>https://www.youtube.com/watch?v=aKbIXuwR8iY</w:t>
      </w:r>
      <w:r w:rsidRPr="00182D5F">
        <w:rPr>
          <w:rFonts w:ascii="Times New Roman" w:hAnsi="Times New Roman" w:cs="Times New Roman"/>
          <w:b/>
          <w:sz w:val="24"/>
          <w:szCs w:val="24"/>
        </w:rPr>
        <w:t xml:space="preserve"> </w:t>
      </w:r>
    </w:p>
    <w:p w:rsidR="00D12C86" w:rsidRPr="00D12C86" w:rsidRDefault="00D12C86" w:rsidP="00D12C86">
      <w:pPr>
        <w:spacing w:before="100" w:beforeAutospacing="1" w:after="100" w:afterAutospacing="1" w:line="240" w:lineRule="auto"/>
        <w:rPr>
          <w:rFonts w:ascii="Times New Roman" w:eastAsia="Times New Roman" w:hAnsi="Times New Roman" w:cs="Times New Roman"/>
          <w:sz w:val="24"/>
          <w:szCs w:val="24"/>
          <w:lang w:val="es-ES" w:eastAsia="es-ES"/>
        </w:rPr>
      </w:pPr>
      <w:r w:rsidRPr="00D12C86">
        <w:rPr>
          <w:rFonts w:ascii="Times New Roman" w:eastAsia="Times New Roman" w:hAnsi="Times New Roman" w:cs="Times New Roman"/>
          <w:sz w:val="24"/>
          <w:szCs w:val="24"/>
          <w:lang w:val="es-ES" w:eastAsia="es-ES"/>
        </w:rPr>
        <w:t>El video reconstruye los acontecimientos del 29 y 30 de mayo de 1969, cuando una masiva movilización de trabajadores y estudiantes, conocida como el Cordobazo, sacudió la ciudad de Córdoba y se convirtió en una de las principales expresiones de resistencia popular contra la dictadura militar de Juan Carlos Onganía.</w:t>
      </w:r>
    </w:p>
    <w:p w:rsidR="00182D5F" w:rsidRPr="00D12C86" w:rsidRDefault="00D12C86" w:rsidP="00182D5F">
      <w:pPr>
        <w:rPr>
          <w:rFonts w:ascii="Times New Roman" w:hAnsi="Times New Roman" w:cs="Times New Roman"/>
          <w:sz w:val="24"/>
          <w:szCs w:val="24"/>
        </w:rPr>
      </w:pPr>
      <w:r w:rsidRPr="00D12C86">
        <w:rPr>
          <w:rFonts w:ascii="Times New Roman" w:hAnsi="Times New Roman" w:cs="Times New Roman"/>
          <w:sz w:val="24"/>
          <w:szCs w:val="24"/>
        </w:rPr>
        <w:t xml:space="preserve">Analizar del video: a) cómo empezó el Cordobazo; b) qué sectores se movilizaron; c) qué exigían los sectores movilizados; d) cómo respondió la dictadura de Onganía; e) tiempo que la ciudad de Córdoba estuvo en manos de obreros y estudiantes; f) legado </w:t>
      </w:r>
      <w:r w:rsidR="007968E5">
        <w:rPr>
          <w:rFonts w:ascii="Times New Roman" w:hAnsi="Times New Roman" w:cs="Times New Roman"/>
          <w:sz w:val="24"/>
          <w:szCs w:val="24"/>
        </w:rPr>
        <w:t>d</w:t>
      </w:r>
      <w:r w:rsidRPr="00D12C86">
        <w:rPr>
          <w:rFonts w:ascii="Times New Roman" w:hAnsi="Times New Roman" w:cs="Times New Roman"/>
          <w:sz w:val="24"/>
          <w:szCs w:val="24"/>
        </w:rPr>
        <w:t xml:space="preserve">el Cordobazo para los años siguientes.  </w:t>
      </w:r>
    </w:p>
    <w:p w:rsidR="00BA0749" w:rsidRPr="00182D5F" w:rsidRDefault="00BA0749" w:rsidP="00182D5F">
      <w:pPr>
        <w:rPr>
          <w:rFonts w:ascii="Times New Roman" w:hAnsi="Times New Roman" w:cs="Times New Roman"/>
        </w:rPr>
      </w:pPr>
    </w:p>
    <w:p w:rsidR="00BA0749" w:rsidRPr="00827AC2" w:rsidRDefault="00BA0749" w:rsidP="00C16E1E">
      <w:pPr>
        <w:rPr>
          <w:rFonts w:ascii="Times New Roman" w:hAnsi="Times New Roman" w:cs="Times New Roman"/>
          <w:sz w:val="24"/>
          <w:szCs w:val="24"/>
          <w:lang w:val="es-ES"/>
        </w:rPr>
      </w:pPr>
    </w:p>
    <w:sectPr w:rsidR="00BA0749" w:rsidRPr="00827AC2" w:rsidSect="00C16E1E">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0C51" w:rsidRDefault="00E20C51" w:rsidP="00827AC2">
      <w:pPr>
        <w:spacing w:after="0" w:line="240" w:lineRule="auto"/>
      </w:pPr>
      <w:r>
        <w:separator/>
      </w:r>
    </w:p>
  </w:endnote>
  <w:endnote w:type="continuationSeparator" w:id="0">
    <w:p w:rsidR="00E20C51" w:rsidRDefault="00E20C51" w:rsidP="00827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0C51" w:rsidRDefault="00E20C51" w:rsidP="00827AC2">
      <w:pPr>
        <w:spacing w:after="0" w:line="240" w:lineRule="auto"/>
      </w:pPr>
      <w:r>
        <w:separator/>
      </w:r>
    </w:p>
  </w:footnote>
  <w:footnote w:type="continuationSeparator" w:id="0">
    <w:p w:rsidR="00E20C51" w:rsidRDefault="00E20C51" w:rsidP="00827AC2">
      <w:pPr>
        <w:spacing w:after="0" w:line="240" w:lineRule="auto"/>
      </w:pPr>
      <w:r>
        <w:continuationSeparator/>
      </w:r>
    </w:p>
  </w:footnote>
  <w:footnote w:id="1">
    <w:p w:rsidR="00F86CF3" w:rsidRPr="00F86CF3" w:rsidRDefault="00F86CF3" w:rsidP="00F86CF3">
      <w:pPr>
        <w:pStyle w:val="NormalWeb"/>
        <w:rPr>
          <w:sz w:val="20"/>
          <w:szCs w:val="20"/>
        </w:rPr>
      </w:pPr>
      <w:r w:rsidRPr="00F86CF3">
        <w:rPr>
          <w:rStyle w:val="FootnoteReference"/>
          <w:sz w:val="20"/>
          <w:szCs w:val="20"/>
        </w:rPr>
        <w:footnoteRef/>
      </w:r>
      <w:r w:rsidRPr="00F86CF3">
        <w:rPr>
          <w:sz w:val="20"/>
          <w:szCs w:val="20"/>
        </w:rPr>
        <w:t xml:space="preserve"> Ahora bien, hay un detalle muy interesante: </w:t>
      </w:r>
      <w:proofErr w:type="spellStart"/>
      <w:r w:rsidRPr="00F86CF3">
        <w:rPr>
          <w:sz w:val="20"/>
          <w:szCs w:val="20"/>
        </w:rPr>
        <w:t>Vandor</w:t>
      </w:r>
      <w:proofErr w:type="spellEnd"/>
      <w:r w:rsidRPr="00F86CF3">
        <w:rPr>
          <w:sz w:val="20"/>
          <w:szCs w:val="20"/>
        </w:rPr>
        <w:t xml:space="preserve"> había participado en la creación del organismo encargado de organizar la normalización. Por lo tanto, no fue </w:t>
      </w:r>
      <w:proofErr w:type="spellStart"/>
      <w:r w:rsidRPr="00F86CF3">
        <w:rPr>
          <w:sz w:val="20"/>
          <w:szCs w:val="20"/>
        </w:rPr>
        <w:t>Ongaro</w:t>
      </w:r>
      <w:proofErr w:type="spellEnd"/>
      <w:r w:rsidRPr="00F86CF3">
        <w:rPr>
          <w:sz w:val="20"/>
          <w:szCs w:val="20"/>
        </w:rPr>
        <w:t xml:space="preserve"> quien convocó un congreso para desplazarlo. Lo que ocurrió fue que </w:t>
      </w:r>
      <w:proofErr w:type="spellStart"/>
      <w:r w:rsidRPr="00F86CF3">
        <w:rPr>
          <w:sz w:val="20"/>
          <w:szCs w:val="20"/>
        </w:rPr>
        <w:t>Ongaro</w:t>
      </w:r>
      <w:proofErr w:type="spellEnd"/>
      <w:r w:rsidRPr="00F86CF3">
        <w:rPr>
          <w:sz w:val="20"/>
          <w:szCs w:val="20"/>
        </w:rPr>
        <w:t xml:space="preserve"> y los dirigentes combativos aprovecharon aquella instancia institucional para disputar la conducción. Cuando los </w:t>
      </w:r>
      <w:proofErr w:type="spellStart"/>
      <w:r w:rsidRPr="00F86CF3">
        <w:rPr>
          <w:sz w:val="20"/>
          <w:szCs w:val="20"/>
        </w:rPr>
        <w:t>vandoristas</w:t>
      </w:r>
      <w:proofErr w:type="spellEnd"/>
      <w:r w:rsidRPr="00F86CF3">
        <w:rPr>
          <w:sz w:val="20"/>
          <w:szCs w:val="20"/>
        </w:rPr>
        <w:t xml:space="preserve"> intentaron impedir la participación de los sindicatos intervenidos por la dictadura y se retiraron del Congreso, los restantes delegados continuaron sesionando y eligieron a </w:t>
      </w:r>
      <w:proofErr w:type="spellStart"/>
      <w:r w:rsidRPr="00F86CF3">
        <w:rPr>
          <w:sz w:val="20"/>
          <w:szCs w:val="20"/>
        </w:rPr>
        <w:t>Ongaro</w:t>
      </w:r>
      <w:proofErr w:type="spellEnd"/>
      <w:r w:rsidRPr="00F86CF3">
        <w:rPr>
          <w:sz w:val="20"/>
          <w:szCs w:val="20"/>
        </w:rPr>
        <w:t xml:space="preserve">. De ahí que pueda decirse que a </w:t>
      </w:r>
      <w:proofErr w:type="spellStart"/>
      <w:r w:rsidRPr="00F86CF3">
        <w:rPr>
          <w:sz w:val="20"/>
          <w:szCs w:val="20"/>
        </w:rPr>
        <w:t>Vandor</w:t>
      </w:r>
      <w:proofErr w:type="spellEnd"/>
      <w:r w:rsidRPr="00F86CF3">
        <w:rPr>
          <w:sz w:val="20"/>
          <w:szCs w:val="20"/>
        </w:rPr>
        <w:t xml:space="preserve"> le salió el tiro por la culata: el Congreso destinado a normalizar una CGT sobre la que esperaba conservar su influencia terminó dando lugar a una conducción rival. Las bases obreras no convocaron formalmente el Congreso, pero su creciente descontento con las conducciones tradicionales contribuyó a fortalecer a los dirigentes combativos. Y como era de esperarse, la dictadura de Onganía terminó desconociendo la legitimidad del Congreso que eligió a </w:t>
      </w:r>
      <w:proofErr w:type="spellStart"/>
      <w:r w:rsidRPr="00F86CF3">
        <w:rPr>
          <w:sz w:val="20"/>
          <w:szCs w:val="20"/>
        </w:rPr>
        <w:t>Ongaro</w:t>
      </w:r>
      <w:proofErr w:type="spellEnd"/>
      <w:r w:rsidRPr="00F86CF3">
        <w:rPr>
          <w:sz w:val="20"/>
          <w:szCs w:val="20"/>
        </w:rPr>
        <w:t>.</w:t>
      </w:r>
    </w:p>
    <w:p w:rsidR="00F86CF3" w:rsidRPr="00F86CF3" w:rsidRDefault="00F86CF3">
      <w:pPr>
        <w:pStyle w:val="FootnoteText"/>
        <w:rPr>
          <w:lang w:val="es-ES"/>
        </w:rPr>
      </w:pPr>
    </w:p>
  </w:footnote>
  <w:footnote w:id="2">
    <w:p w:rsidR="00827AC2" w:rsidRDefault="00827AC2">
      <w:pPr>
        <w:pStyle w:val="FootnoteText"/>
      </w:pPr>
      <w:r>
        <w:rPr>
          <w:rStyle w:val="FootnoteReference"/>
        </w:rPr>
        <w:footnoteRef/>
      </w:r>
      <w:r>
        <w:t xml:space="preserve"> Sindicato de Mecánicos y Afines del Transporte Automotor, fundado el 1 de junio de 1945, durante el gobierno militar iniciado en 1943. Su primer secretario general fue Adolfo García.</w:t>
      </w:r>
    </w:p>
  </w:footnote>
  <w:footnote w:id="3">
    <w:p w:rsidR="00827AC2" w:rsidRDefault="00827AC2">
      <w:pPr>
        <w:pStyle w:val="FootnoteText"/>
      </w:pPr>
      <w:r>
        <w:rPr>
          <w:rStyle w:val="FootnoteReference"/>
        </w:rPr>
        <w:footnoteRef/>
      </w:r>
      <w:r>
        <w:t xml:space="preserve"> Unión Obrera Metalúrgica, nació el 20 de abril de 1943, mediante la unión de trabajadores de distintas ramas de la industria metalúrgica. Su primer secretario general fue Nicolás </w:t>
      </w:r>
      <w:proofErr w:type="spellStart"/>
      <w:r>
        <w:t>Giuliani</w:t>
      </w:r>
      <w:proofErr w:type="spellEnd"/>
      <w:r>
        <w:t>.</w:t>
      </w:r>
    </w:p>
  </w:footnote>
  <w:footnote w:id="4">
    <w:p w:rsidR="00827AC2" w:rsidRPr="00433DA9" w:rsidRDefault="00827AC2" w:rsidP="00BA0749">
      <w:pPr>
        <w:pStyle w:val="FootnoteText"/>
        <w:jc w:val="both"/>
        <w:rPr>
          <w:sz w:val="18"/>
        </w:rPr>
      </w:pPr>
      <w:r w:rsidRPr="00433DA9">
        <w:rPr>
          <w:rStyle w:val="FootnoteReference"/>
          <w:sz w:val="18"/>
        </w:rPr>
        <w:footnoteRef/>
      </w:r>
      <w:r w:rsidRPr="00433DA9">
        <w:rPr>
          <w:sz w:val="18"/>
        </w:rPr>
        <w:t xml:space="preserve"> </w:t>
      </w:r>
      <w:r w:rsidR="00BA0749" w:rsidRPr="00433DA9">
        <w:rPr>
          <w:sz w:val="18"/>
        </w:rPr>
        <w:t>Sindicato de Trabajadores de Concord, surgió hacia 1960 en Córdoba, como sindicato por empresa de los trabajadores de Fiat Concord, dedicada a la fabricación de automóviles. En 1970 adoptó una conducción clasista y combativa.</w:t>
      </w:r>
    </w:p>
  </w:footnote>
  <w:footnote w:id="5">
    <w:p w:rsidR="00BA0749" w:rsidRDefault="00BA0749" w:rsidP="00BA0749">
      <w:pPr>
        <w:pStyle w:val="FootnoteText"/>
        <w:jc w:val="both"/>
      </w:pPr>
      <w:r w:rsidRPr="00433DA9">
        <w:rPr>
          <w:rStyle w:val="FootnoteReference"/>
          <w:sz w:val="18"/>
        </w:rPr>
        <w:footnoteRef/>
      </w:r>
      <w:r w:rsidRPr="00433DA9">
        <w:rPr>
          <w:sz w:val="18"/>
        </w:rPr>
        <w:t xml:space="preserve"> Sindicato de Trabajadores de </w:t>
      </w:r>
      <w:proofErr w:type="spellStart"/>
      <w:r w:rsidRPr="00433DA9">
        <w:rPr>
          <w:sz w:val="18"/>
        </w:rPr>
        <w:t>Materfer</w:t>
      </w:r>
      <w:proofErr w:type="spellEnd"/>
      <w:r w:rsidRPr="00433DA9">
        <w:rPr>
          <w:sz w:val="18"/>
        </w:rPr>
        <w:t xml:space="preserve">, también surgió hacia 1960 en Córdoba, como sindicato por empresa de los trabajadores de Fiat </w:t>
      </w:r>
      <w:proofErr w:type="spellStart"/>
      <w:r w:rsidRPr="00433DA9">
        <w:rPr>
          <w:sz w:val="18"/>
        </w:rPr>
        <w:t>Materfer</w:t>
      </w:r>
      <w:proofErr w:type="spellEnd"/>
      <w:r w:rsidRPr="00433DA9">
        <w:rPr>
          <w:sz w:val="18"/>
        </w:rPr>
        <w:t>, dedicada a la fabricación de material ferroviario. En 1970 también pasó a manos de una conducción sindical clasista.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C51974"/>
    <w:multiLevelType w:val="multilevel"/>
    <w:tmpl w:val="63A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E1E"/>
    <w:rsid w:val="00182D5F"/>
    <w:rsid w:val="00251507"/>
    <w:rsid w:val="00341224"/>
    <w:rsid w:val="003B2E8C"/>
    <w:rsid w:val="003C6DCE"/>
    <w:rsid w:val="003F2A1C"/>
    <w:rsid w:val="00433DA9"/>
    <w:rsid w:val="0066777B"/>
    <w:rsid w:val="007968E5"/>
    <w:rsid w:val="00827AC2"/>
    <w:rsid w:val="00BA0749"/>
    <w:rsid w:val="00C16E1E"/>
    <w:rsid w:val="00C4642B"/>
    <w:rsid w:val="00CF38D9"/>
    <w:rsid w:val="00D12C86"/>
    <w:rsid w:val="00D64C48"/>
    <w:rsid w:val="00D77109"/>
    <w:rsid w:val="00E20C51"/>
    <w:rsid w:val="00EE5C61"/>
    <w:rsid w:val="00F003B6"/>
    <w:rsid w:val="00F47688"/>
    <w:rsid w:val="00F86C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6E45"/>
  <w15:chartTrackingRefBased/>
  <w15:docId w15:val="{CEB91CC4-754D-478B-BA83-77A83A0F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2D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27AC2"/>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Heading3">
    <w:name w:val="heading 3"/>
    <w:basedOn w:val="Normal"/>
    <w:link w:val="Heading3Char"/>
    <w:uiPriority w:val="9"/>
    <w:qFormat/>
    <w:rsid w:val="00827AC2"/>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character" w:styleId="Hyperlink">
    <w:name w:val="Hyperlink"/>
    <w:basedOn w:val="DefaultParagraphFont"/>
    <w:uiPriority w:val="99"/>
    <w:unhideWhenUsed/>
    <w:rsid w:val="00C16E1E"/>
    <w:rPr>
      <w:color w:val="0563C1" w:themeColor="hyperlink"/>
      <w:u w:val="single"/>
    </w:rPr>
  </w:style>
  <w:style w:type="character" w:customStyle="1" w:styleId="Heading2Char">
    <w:name w:val="Heading 2 Char"/>
    <w:basedOn w:val="DefaultParagraphFont"/>
    <w:link w:val="Heading2"/>
    <w:uiPriority w:val="9"/>
    <w:rsid w:val="00827AC2"/>
    <w:rPr>
      <w:rFonts w:ascii="Times New Roman" w:eastAsia="Times New Roman" w:hAnsi="Times New Roman" w:cs="Times New Roman"/>
      <w:b/>
      <w:bCs/>
      <w:sz w:val="36"/>
      <w:szCs w:val="36"/>
      <w:lang w:val="es-ES" w:eastAsia="es-ES"/>
    </w:rPr>
  </w:style>
  <w:style w:type="character" w:customStyle="1" w:styleId="Heading3Char">
    <w:name w:val="Heading 3 Char"/>
    <w:basedOn w:val="DefaultParagraphFont"/>
    <w:link w:val="Heading3"/>
    <w:uiPriority w:val="9"/>
    <w:rsid w:val="00827AC2"/>
    <w:rPr>
      <w:rFonts w:ascii="Times New Roman" w:eastAsia="Times New Roman" w:hAnsi="Times New Roman" w:cs="Times New Roman"/>
      <w:b/>
      <w:bCs/>
      <w:sz w:val="27"/>
      <w:szCs w:val="27"/>
      <w:lang w:val="es-ES" w:eastAsia="es-ES"/>
    </w:rPr>
  </w:style>
  <w:style w:type="paragraph" w:styleId="NormalWeb">
    <w:name w:val="Normal (Web)"/>
    <w:basedOn w:val="Normal"/>
    <w:uiPriority w:val="99"/>
    <w:unhideWhenUsed/>
    <w:rsid w:val="00827AC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FootnoteText">
    <w:name w:val="footnote text"/>
    <w:basedOn w:val="Normal"/>
    <w:link w:val="FootnoteTextChar"/>
    <w:uiPriority w:val="99"/>
    <w:semiHidden/>
    <w:unhideWhenUsed/>
    <w:rsid w:val="00827A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7AC2"/>
    <w:rPr>
      <w:sz w:val="20"/>
      <w:szCs w:val="20"/>
    </w:rPr>
  </w:style>
  <w:style w:type="character" w:styleId="FootnoteReference">
    <w:name w:val="footnote reference"/>
    <w:basedOn w:val="DefaultParagraphFont"/>
    <w:uiPriority w:val="99"/>
    <w:semiHidden/>
    <w:unhideWhenUsed/>
    <w:rsid w:val="00827AC2"/>
    <w:rPr>
      <w:vertAlign w:val="superscript"/>
    </w:rPr>
  </w:style>
  <w:style w:type="character" w:customStyle="1" w:styleId="Heading1Char">
    <w:name w:val="Heading 1 Char"/>
    <w:basedOn w:val="DefaultParagraphFont"/>
    <w:link w:val="Heading1"/>
    <w:uiPriority w:val="9"/>
    <w:rsid w:val="00182D5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25141">
      <w:bodyDiv w:val="1"/>
      <w:marLeft w:val="0"/>
      <w:marRight w:val="0"/>
      <w:marTop w:val="0"/>
      <w:marBottom w:val="0"/>
      <w:divBdr>
        <w:top w:val="none" w:sz="0" w:space="0" w:color="auto"/>
        <w:left w:val="none" w:sz="0" w:space="0" w:color="auto"/>
        <w:bottom w:val="none" w:sz="0" w:space="0" w:color="auto"/>
        <w:right w:val="none" w:sz="0" w:space="0" w:color="auto"/>
      </w:divBdr>
    </w:div>
    <w:div w:id="619848678">
      <w:bodyDiv w:val="1"/>
      <w:marLeft w:val="0"/>
      <w:marRight w:val="0"/>
      <w:marTop w:val="0"/>
      <w:marBottom w:val="0"/>
      <w:divBdr>
        <w:top w:val="none" w:sz="0" w:space="0" w:color="auto"/>
        <w:left w:val="none" w:sz="0" w:space="0" w:color="auto"/>
        <w:bottom w:val="none" w:sz="0" w:space="0" w:color="auto"/>
        <w:right w:val="none" w:sz="0" w:space="0" w:color="auto"/>
      </w:divBdr>
      <w:divsChild>
        <w:div w:id="1324820150">
          <w:marLeft w:val="0"/>
          <w:marRight w:val="0"/>
          <w:marTop w:val="0"/>
          <w:marBottom w:val="0"/>
          <w:divBdr>
            <w:top w:val="none" w:sz="0" w:space="0" w:color="auto"/>
            <w:left w:val="none" w:sz="0" w:space="0" w:color="auto"/>
            <w:bottom w:val="none" w:sz="0" w:space="0" w:color="auto"/>
            <w:right w:val="none" w:sz="0" w:space="0" w:color="auto"/>
          </w:divBdr>
          <w:divsChild>
            <w:div w:id="327832721">
              <w:marLeft w:val="0"/>
              <w:marRight w:val="0"/>
              <w:marTop w:val="0"/>
              <w:marBottom w:val="0"/>
              <w:divBdr>
                <w:top w:val="none" w:sz="0" w:space="0" w:color="auto"/>
                <w:left w:val="none" w:sz="0" w:space="0" w:color="auto"/>
                <w:bottom w:val="none" w:sz="0" w:space="0" w:color="auto"/>
                <w:right w:val="none" w:sz="0" w:space="0" w:color="auto"/>
              </w:divBdr>
              <w:divsChild>
                <w:div w:id="14902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462671">
      <w:bodyDiv w:val="1"/>
      <w:marLeft w:val="0"/>
      <w:marRight w:val="0"/>
      <w:marTop w:val="0"/>
      <w:marBottom w:val="0"/>
      <w:divBdr>
        <w:top w:val="none" w:sz="0" w:space="0" w:color="auto"/>
        <w:left w:val="none" w:sz="0" w:space="0" w:color="auto"/>
        <w:bottom w:val="none" w:sz="0" w:space="0" w:color="auto"/>
        <w:right w:val="none" w:sz="0" w:space="0" w:color="auto"/>
      </w:divBdr>
    </w:div>
    <w:div w:id="1481462404">
      <w:bodyDiv w:val="1"/>
      <w:marLeft w:val="0"/>
      <w:marRight w:val="0"/>
      <w:marTop w:val="0"/>
      <w:marBottom w:val="0"/>
      <w:divBdr>
        <w:top w:val="none" w:sz="0" w:space="0" w:color="auto"/>
        <w:left w:val="none" w:sz="0" w:space="0" w:color="auto"/>
        <w:bottom w:val="none" w:sz="0" w:space="0" w:color="auto"/>
        <w:right w:val="none" w:sz="0" w:space="0" w:color="auto"/>
      </w:divBdr>
    </w:div>
    <w:div w:id="181017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5305/rr.v1i1.4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E1AF1-D399-4D96-831E-8838BBF5C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Pages>
  <Words>1882</Words>
  <Characters>10356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9</cp:revision>
  <dcterms:created xsi:type="dcterms:W3CDTF">2026-10-08T04:31:00Z</dcterms:created>
  <dcterms:modified xsi:type="dcterms:W3CDTF">2026-10-13T05:50:00Z</dcterms:modified>
</cp:coreProperties>
</file>