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FD9" w:rsidRPr="006A4B07" w:rsidRDefault="00BF2883" w:rsidP="00CA7FD9">
      <w:pPr>
        <w:pBdr>
          <w:top w:val="single" w:sz="4" w:space="1" w:color="auto"/>
          <w:left w:val="single" w:sz="4" w:space="4" w:color="auto"/>
          <w:bottom w:val="single" w:sz="4" w:space="1" w:color="auto"/>
          <w:right w:val="single" w:sz="4" w:space="4" w:color="auto"/>
        </w:pBdr>
        <w:rPr>
          <w:rFonts w:ascii="Times New Roman" w:hAnsi="Times New Roman" w:cs="Times New Roman"/>
          <w:b/>
          <w:sz w:val="24"/>
          <w:szCs w:val="24"/>
        </w:rPr>
      </w:pPr>
      <w:r>
        <w:rPr>
          <w:rFonts w:ascii="Times New Roman" w:hAnsi="Times New Roman" w:cs="Times New Roman"/>
          <w:b/>
          <w:sz w:val="24"/>
          <w:szCs w:val="24"/>
        </w:rPr>
        <w:t xml:space="preserve">SITUACIÓN </w:t>
      </w:r>
      <w:bookmarkStart w:id="0" w:name="_GoBack"/>
      <w:bookmarkEnd w:id="0"/>
      <w:r w:rsidR="00CA7FD9" w:rsidRPr="006A4B07">
        <w:rPr>
          <w:rFonts w:ascii="Times New Roman" w:hAnsi="Times New Roman" w:cs="Times New Roman"/>
          <w:b/>
          <w:sz w:val="24"/>
          <w:szCs w:val="24"/>
        </w:rPr>
        <w:t xml:space="preserve">POLÍTICA ARGENTINA AÑOS 1955-1966. DE LA REVOLUCIÓN LIBERTADORA A LA REVOLUCIÓN ARGENTINA. </w:t>
      </w:r>
    </w:p>
    <w:p w:rsidR="00CA7FD9" w:rsidRPr="006A4B07" w:rsidRDefault="00CA7FD9" w:rsidP="00CA7FD9">
      <w:pPr>
        <w:pStyle w:val="NormalWeb"/>
        <w:rPr>
          <w:b/>
        </w:rPr>
      </w:pPr>
      <w:r w:rsidRPr="006A4B07">
        <w:rPr>
          <w:b/>
        </w:rPr>
        <w:t xml:space="preserve">FUENTE 1: Selección de fragmentos de la obra “Historia de la Argentina. El estallido de los partidos”, AA.VV., Félix Luna (Dir.), Hyspamérica Ediciones Argentina S.A. y Editorial Sarmiento S. A., 1992. </w:t>
      </w:r>
    </w:p>
    <w:p w:rsidR="000D624E" w:rsidRPr="000D624E" w:rsidRDefault="000D624E" w:rsidP="000D624E">
      <w:pPr>
        <w:pStyle w:val="NormalWeb"/>
        <w:rPr>
          <w:b/>
        </w:rPr>
      </w:pPr>
      <w:r w:rsidRPr="000D624E">
        <w:rPr>
          <w:b/>
        </w:rPr>
        <w:t>Fragmento 1: La caída de Perón y la fragmentación de los partidos políticos (1955)</w:t>
      </w:r>
    </w:p>
    <w:p w:rsidR="00677524" w:rsidRPr="006A4B07" w:rsidRDefault="00CA7FD9" w:rsidP="00CA7FD9">
      <w:pPr>
        <w:rPr>
          <w:rFonts w:ascii="Times New Roman" w:hAnsi="Times New Roman" w:cs="Times New Roman"/>
          <w:sz w:val="24"/>
          <w:szCs w:val="24"/>
        </w:rPr>
      </w:pPr>
      <w:r w:rsidRPr="006A4B07">
        <w:rPr>
          <w:rFonts w:ascii="Times New Roman" w:hAnsi="Times New Roman" w:cs="Times New Roman"/>
          <w:sz w:val="24"/>
          <w:szCs w:val="24"/>
        </w:rPr>
        <w:t>[Entre 1945 y 1955] El antiperonismo sirvió para cohesionar a los partidos de la oposición y al mismo tiempo mantuvo congelada la actividad política hasta 1955. Una vez derrocado el justicialismo, los partidos se dividieron porque las fracciones internas discutían la forma de encarar la relación con el peronismo, la gran fuerza popular que había quedado desmantelada. Este debate culminó dentro del radicalismo con la división del viejo tronco partidario: de un lado la UCRI, del otro lado la UCRP. Por razones similares se separaron los demócratas de los conservadores populares y el partido socialista volvió a dividirse en dos sectores, ahora llamados PS Argentino y PS Democrático. En cambio, el comunismo no tuvo escisiones y en la derecha surgió la democracia cristiana, cuya fuerza electoral era una incógnita.</w:t>
      </w:r>
    </w:p>
    <w:p w:rsidR="00C66365" w:rsidRPr="006A4B07" w:rsidRDefault="00C66365" w:rsidP="00CA7FD9">
      <w:pPr>
        <w:rPr>
          <w:rFonts w:ascii="Times New Roman" w:hAnsi="Times New Roman" w:cs="Times New Roman"/>
          <w:sz w:val="24"/>
          <w:szCs w:val="24"/>
        </w:rPr>
      </w:pPr>
      <w:r w:rsidRPr="006A4B07">
        <w:rPr>
          <w:rFonts w:ascii="Times New Roman" w:hAnsi="Times New Roman" w:cs="Times New Roman"/>
          <w:sz w:val="24"/>
          <w:szCs w:val="24"/>
        </w:rPr>
        <w:t xml:space="preserve">Durante el régimen peronista los partidos políticos padecieron tribulaciones de toda laya. La primera, su aparentemente insuperable condición minoritaria. Pero, además, los partidos habían visto silenciados o asfixiados sus órganos de expresión, impedidos de usar los medios de difusión masiva, dificultadas sus campañas electorales, distorsionada su representación legislativa por leyes mañosas. Casi todos los dirigentes políticos opositores habían pasado períodos más o menos largos en la cárcel, varios de sus diputados fueron expulsados del Congreso o de las legislaturas provinciales y muchos habían debido exiliarse. </w:t>
      </w:r>
    </w:p>
    <w:p w:rsidR="00C66365" w:rsidRPr="006A4B07" w:rsidRDefault="00C66365" w:rsidP="00CA7FD9">
      <w:pPr>
        <w:rPr>
          <w:rFonts w:ascii="Times New Roman" w:hAnsi="Times New Roman" w:cs="Times New Roman"/>
          <w:sz w:val="24"/>
          <w:szCs w:val="24"/>
        </w:rPr>
      </w:pPr>
      <w:r w:rsidRPr="006A4B07">
        <w:rPr>
          <w:rFonts w:ascii="Times New Roman" w:hAnsi="Times New Roman" w:cs="Times New Roman"/>
          <w:sz w:val="24"/>
          <w:szCs w:val="24"/>
        </w:rPr>
        <w:t xml:space="preserve">Todos estos padecimientos se habían operado en lo interno, partidario, como elementos cohesionantes. Dentro del radicalismo, por ejemplo, intransigentes y unionistas podían hacerse mutuamente las más grandes perrerías, pero todos se unían férreamente para enfrentar al enemigo común. Comunistas y socialistas podían debatir con vehemencia sus dudas respecto de la naturaleza del peronismo y las estrategias a seguir, pero no había fisuras en sus luchas contra el oficialismo. </w:t>
      </w:r>
    </w:p>
    <w:p w:rsidR="00C66365" w:rsidRPr="006A4B07" w:rsidRDefault="00C66365" w:rsidP="00CA7FD9">
      <w:pPr>
        <w:rPr>
          <w:rFonts w:ascii="Times New Roman" w:hAnsi="Times New Roman" w:cs="Times New Roman"/>
          <w:sz w:val="24"/>
          <w:szCs w:val="24"/>
        </w:rPr>
      </w:pPr>
      <w:r w:rsidRPr="006A4B07">
        <w:rPr>
          <w:rFonts w:ascii="Times New Roman" w:hAnsi="Times New Roman" w:cs="Times New Roman"/>
          <w:sz w:val="24"/>
          <w:szCs w:val="24"/>
        </w:rPr>
        <w:t xml:space="preserve">Radicales, conservadores, socialistas, demoprogresistas y comunistas, todos sabían que el primer y más importante objetivo bajo el régimen peronista consistía en sobrevivir y esta necesidad de supervivencia relativizaba las diferencias internas, producía su virtual congelamiento y las minimizaba. </w:t>
      </w:r>
    </w:p>
    <w:p w:rsidR="00CA7FD9" w:rsidRPr="006A4B07" w:rsidRDefault="00C66365" w:rsidP="00CA7FD9">
      <w:pPr>
        <w:rPr>
          <w:rFonts w:ascii="Times New Roman" w:hAnsi="Times New Roman" w:cs="Times New Roman"/>
          <w:sz w:val="24"/>
          <w:szCs w:val="24"/>
        </w:rPr>
      </w:pPr>
      <w:r w:rsidRPr="006A4B07">
        <w:rPr>
          <w:rFonts w:ascii="Times New Roman" w:hAnsi="Times New Roman" w:cs="Times New Roman"/>
          <w:sz w:val="24"/>
          <w:szCs w:val="24"/>
        </w:rPr>
        <w:t>Con la caída de Perón el hecho cohesionante desapareció. Las tendencias y ambiciones que hasta entonces estaban reprimidas se desataron libremente. Habían sobrevivido, efectivamente, y hasta podían considerarse vencedoras en esa dura lucha de nueve años cuya definición habíase debido más a los errores de Perón que a los aciertos de sus opositores. Pero ahora, llegada la hora de la verdad, el momento en que debía revelarse si las colectividades políticas resistirían la prueba de la libertad, capaces de mantenerse homogéneas, o si las fuerzas disociadoras que se agazapaban en su seno terminarían por prevalecer.</w:t>
      </w:r>
    </w:p>
    <w:p w:rsidR="000D624E" w:rsidRPr="000D624E" w:rsidRDefault="000D624E" w:rsidP="000D624E">
      <w:pPr>
        <w:pStyle w:val="NormalWeb"/>
        <w:rPr>
          <w:b/>
        </w:rPr>
      </w:pPr>
      <w:r w:rsidRPr="000D624E">
        <w:rPr>
          <w:b/>
        </w:rPr>
        <w:t>Fragmento 2: La incertidumbre sobre el futuro político argentino en 1955</w:t>
      </w:r>
    </w:p>
    <w:p w:rsidR="00C66365" w:rsidRPr="006A4B07" w:rsidRDefault="00C66365" w:rsidP="00CA7FD9">
      <w:pPr>
        <w:rPr>
          <w:rFonts w:ascii="Times New Roman" w:hAnsi="Times New Roman" w:cs="Times New Roman"/>
          <w:sz w:val="24"/>
          <w:szCs w:val="24"/>
        </w:rPr>
      </w:pPr>
      <w:r w:rsidRPr="006A4B07">
        <w:rPr>
          <w:rFonts w:ascii="Times New Roman" w:hAnsi="Times New Roman" w:cs="Times New Roman"/>
          <w:sz w:val="24"/>
          <w:szCs w:val="24"/>
        </w:rPr>
        <w:t xml:space="preserve">Cuando triunfó la Revolución Libertadora, las cosas se pusieron a fojas cero en materia política. Es decir que cada fuerza cívica se encontró en una situación muy difícil de evaluar. ¿Con qué caudal contaba cada una? La pregunta debía aplicarse en primer lugar al peronismo. La ingenua creencia </w:t>
      </w:r>
      <w:r w:rsidRPr="006A4B07">
        <w:rPr>
          <w:rFonts w:ascii="Times New Roman" w:hAnsi="Times New Roman" w:cs="Times New Roman"/>
          <w:sz w:val="24"/>
          <w:szCs w:val="24"/>
        </w:rPr>
        <w:lastRenderedPageBreak/>
        <w:t>de algunos dirigentes de la Revolución Libertadora en el sentido de que bastaría una campaña de “desperonización” para borrar en el pueblo todo sentimiento de adhesión al presidente caído pronto se reveló equivocada. Pero nadie podía saber con certeza si las huestes justicialistas, burocratizadas y anquilosadas en una organización verticalista durante los últimos años del régimen, seguían siendo tan numerosas como antes de 1955.</w:t>
      </w:r>
    </w:p>
    <w:p w:rsidR="00C66365" w:rsidRPr="006A4B07" w:rsidRDefault="00704418" w:rsidP="00CA7FD9">
      <w:pPr>
        <w:rPr>
          <w:rFonts w:ascii="Times New Roman" w:hAnsi="Times New Roman" w:cs="Times New Roman"/>
          <w:sz w:val="24"/>
          <w:szCs w:val="24"/>
        </w:rPr>
      </w:pPr>
      <w:r w:rsidRPr="006A4B07">
        <w:rPr>
          <w:rFonts w:ascii="Times New Roman" w:hAnsi="Times New Roman" w:cs="Times New Roman"/>
          <w:sz w:val="24"/>
          <w:szCs w:val="24"/>
        </w:rPr>
        <w:t>De igual modo, en los partidos tradicionales existía idéntica incógnita. Desde el advenimiento de Perón en 1946, la oposición se había canalizado electoralmente en la UCR. Las elecciones de 1948, 1952 y 1954 mostraban que el radicalismo llevaba enormes diferencias a los otros partidos opositores, pero nadie ignoraba que se trataba de votos prestados, otorgados a la fuerza que se oponía con mayores posibilidades a Perón. Desaparecido Perón, las adhesiones, –suponíase– retornarían a su origen. No era la numérica la única incógnita. Era indudable que entre 1946 y 1955 la sociedad argentina había cambiado y en consecuencia también habían variado sus apetencias y expectativas. ¿Traducían estas los partidos actuantes? La UCR, el PD, conservadores, el PS, el PDP, el PC, las corrientes que habían sobrevivido, ¿alcanzaban a expresar políticamente la nueva complejidad de la comunidad nacional? ¿No existirían tendencias que deseaban tener presencia política para representar intereses o ideales que no tenían cabida en los partidos tradicionales? Y, sobre todo, ¿en qué medida y con qué profundidad había transformado el peronismo a la sociedad?</w:t>
      </w:r>
    </w:p>
    <w:p w:rsidR="004B4AAE" w:rsidRPr="000D624E" w:rsidRDefault="004B4AAE" w:rsidP="00CA7FD9">
      <w:pPr>
        <w:rPr>
          <w:rFonts w:ascii="Times New Roman" w:hAnsi="Times New Roman" w:cs="Times New Roman"/>
          <w:sz w:val="2"/>
          <w:szCs w:val="24"/>
        </w:rPr>
      </w:pPr>
    </w:p>
    <w:p w:rsidR="000D624E" w:rsidRPr="000D624E" w:rsidRDefault="000D624E" w:rsidP="000D624E">
      <w:pPr>
        <w:pStyle w:val="NormalWeb"/>
        <w:rPr>
          <w:b/>
        </w:rPr>
      </w:pPr>
      <w:r w:rsidRPr="000D624E">
        <w:rPr>
          <w:b/>
        </w:rPr>
        <w:t>Fragmento 3: La ruptura del radicalismo: la disputa entre Frondizi y Balbín (1956-1957)</w:t>
      </w:r>
    </w:p>
    <w:p w:rsidR="004B4AAE" w:rsidRPr="006A4B07" w:rsidRDefault="004B4AAE" w:rsidP="00CA7FD9">
      <w:pPr>
        <w:rPr>
          <w:rFonts w:ascii="Times New Roman" w:hAnsi="Times New Roman" w:cs="Times New Roman"/>
          <w:sz w:val="24"/>
          <w:szCs w:val="24"/>
        </w:rPr>
      </w:pPr>
      <w:r w:rsidRPr="006A4B07">
        <w:rPr>
          <w:rFonts w:ascii="Times New Roman" w:hAnsi="Times New Roman" w:cs="Times New Roman"/>
          <w:sz w:val="24"/>
          <w:szCs w:val="24"/>
        </w:rPr>
        <w:t>Es obvio que el proceso divisionista más espectacular y trascendente fue el del radicalismo. Al imposibilitar el acceso del peronismo a las urnas, la Revolución Libertadora hacía de la UCR la fuerza con mayores perspectivas electorales y por lo tanto no es de extrañar que la nueva situación pusiera en marcha tensiones inexistentes hasta entonces. El Movimiento de Intransigencia y Renovación, MIR, liderado por Balbín y Frondizi, aspiraba a facilitar el tránsito del pueblo peronista hacia las filas radicales. El sector unionista y, en cierta medida el sabatinismo, coincidían, en cambio, con la intención gubernativa de desmantelar el peronismo y colaboraban con la gestión de Aramburu.</w:t>
      </w:r>
    </w:p>
    <w:p w:rsidR="004B4AAE" w:rsidRPr="006A4B07" w:rsidRDefault="004B4AAE" w:rsidP="00CA7FD9">
      <w:pPr>
        <w:rPr>
          <w:rFonts w:ascii="Times New Roman" w:hAnsi="Times New Roman" w:cs="Times New Roman"/>
          <w:sz w:val="24"/>
          <w:szCs w:val="24"/>
        </w:rPr>
      </w:pPr>
      <w:r w:rsidRPr="006A4B07">
        <w:rPr>
          <w:rFonts w:ascii="Times New Roman" w:hAnsi="Times New Roman" w:cs="Times New Roman"/>
          <w:sz w:val="24"/>
          <w:szCs w:val="24"/>
        </w:rPr>
        <w:t>En marzo de 1956 se renovó el Comité Nacional de la UCR y Frondizi fue reelecto presidente. En esa oportunidad Balbín derramó palabras de elogio y confianza sobre su antiguo compañero de fórmula. Sería el último acto político en el que coincidieron, porque paralelamente al agrandamiento de la figura de Frondizi […], también crecían sus opositores. Zabala Ortiz, Santiago Fassi y otros unionistas acusaban a Frondizi de emplear conceptos doctrinarios de raíz marxista y le reprochaban usar métodos autoritarios en su conducción.</w:t>
      </w:r>
    </w:p>
    <w:p w:rsidR="00C66365" w:rsidRPr="006A4B07" w:rsidRDefault="00AA05C9" w:rsidP="00CA7FD9">
      <w:pPr>
        <w:rPr>
          <w:rFonts w:ascii="Times New Roman" w:hAnsi="Times New Roman" w:cs="Times New Roman"/>
          <w:sz w:val="24"/>
          <w:szCs w:val="24"/>
        </w:rPr>
      </w:pPr>
      <w:r w:rsidRPr="006A4B07">
        <w:rPr>
          <w:rFonts w:ascii="Times New Roman" w:hAnsi="Times New Roman" w:cs="Times New Roman"/>
          <w:sz w:val="24"/>
          <w:szCs w:val="24"/>
        </w:rPr>
        <w:t xml:space="preserve">[En el invierno de 1957 se produjo un movimiento de ruptura dentro de las filas del MIR de l UCR] Sucedía que, ante la eventualidad de una convocatoria electoral, los dirigentes del MIR realizaron una encuesta para establecer quién debería ser el candidato presidencial del radicalismo. Era el sistema que se había usado en 1951 para definir la fórmula Balbín-Frondizi. Pero ahora Balbín se opuso. Quería que el candidato surgiera del voto de los afiliados. Esta postulación recogía una vieja bandera del MIR, pero además convenía a Balbín debido al peso de su distrito en la masa de inscriptos. Por su lado, los amigos de Frondizi mantenían que el candidato radical debía surgir de la convención nacional, según la carta orgánica y uso invariable del partido, y lograron que el cuerpo se reuniera en Tucumán, en septiembre de 1956. En ausencia de los balbinistas, los unionistas y los sabatinistas, la convención nacional, con quórum estricto, proclamó a Arturo Frondizi y a Alejandro Gómez como candidatos a presidente y vicepresidente de la Nación y reafirmó la plataforma </w:t>
      </w:r>
      <w:r w:rsidRPr="006A4B07">
        <w:rPr>
          <w:rFonts w:ascii="Times New Roman" w:hAnsi="Times New Roman" w:cs="Times New Roman"/>
          <w:sz w:val="24"/>
          <w:szCs w:val="24"/>
        </w:rPr>
        <w:lastRenderedPageBreak/>
        <w:t>electoral basada en la Declaración de Avellaneda de 1945, un programa antimperialista, antioligárquico, revolucionario y estatista. […]</w:t>
      </w:r>
    </w:p>
    <w:p w:rsidR="00AA05C9" w:rsidRPr="006A4B07" w:rsidRDefault="00AA05C9" w:rsidP="00CA7FD9">
      <w:pPr>
        <w:rPr>
          <w:rFonts w:ascii="Times New Roman" w:hAnsi="Times New Roman" w:cs="Times New Roman"/>
          <w:sz w:val="24"/>
          <w:szCs w:val="24"/>
        </w:rPr>
      </w:pPr>
      <w:r w:rsidRPr="006A4B07">
        <w:rPr>
          <w:rFonts w:ascii="Times New Roman" w:hAnsi="Times New Roman" w:cs="Times New Roman"/>
          <w:sz w:val="24"/>
          <w:szCs w:val="24"/>
        </w:rPr>
        <w:t>[Muchos dirigentes de peso de la UCR se opusieron a la elección de Frondizi como futuro candidato presidencial por la UCR] En enero de 1957 el propio Balbín renunciaba a su cargo de delegado al comité nacional y días más tarde se reunía con Sabatini, Zabala Ortiz, Santiago Nudelman y Crisólogo Larralde, todos los cuales resolvieron crear una junta reorganizadora de la UCR. Ante esta ofensiva Frondizi, que hasta entonces había tratado de no cortar todos los puentes con sus adversarios internos, pronunció una alocución radial marcando que la división ya era irreversible. “Hablamos dos lenguajes distintos, experimentamos sentimientos opuestos”, afirmó. Fue en esa ocasión cuando acuñó su famosa frase: “No renunciaré, no me suicidaré, no me iré del país”.</w:t>
      </w:r>
      <w:r w:rsidR="003F2F62">
        <w:rPr>
          <w:rFonts w:ascii="Times New Roman" w:hAnsi="Times New Roman" w:cs="Times New Roman"/>
          <w:sz w:val="24"/>
          <w:szCs w:val="24"/>
        </w:rPr>
        <w:t xml:space="preserve"> […] </w:t>
      </w:r>
    </w:p>
    <w:p w:rsidR="00C66365" w:rsidRPr="006A4B07" w:rsidRDefault="00747858" w:rsidP="00CA7FD9">
      <w:pPr>
        <w:rPr>
          <w:rFonts w:ascii="Times New Roman" w:hAnsi="Times New Roman" w:cs="Times New Roman"/>
          <w:sz w:val="24"/>
          <w:szCs w:val="24"/>
        </w:rPr>
      </w:pPr>
      <w:r w:rsidRPr="006A4B07">
        <w:rPr>
          <w:rFonts w:ascii="Times New Roman" w:hAnsi="Times New Roman" w:cs="Times New Roman"/>
          <w:sz w:val="24"/>
          <w:szCs w:val="24"/>
        </w:rPr>
        <w:t>La división quedó legalmente formalizada con la decisión judicial que obligó a ambas versiones a agregar a la sigla tradicional un aditamento que las distinguiera. Los frondicistas adoptaron e impusieron rápidamente la calificación de “intransigente”, grata al pasado yrigoyenista del partido. La otra facción se denominó “del pueblo”. Así la UCR Intransigente y la UCR del Pueblo concurrieron separadamente a las elecciones de constituyentes [de 1957, convocada por el gobierno de Aramburu para derogar la Constitución de 1949]. Cada fracción expresaba a un electorado diferente y la escisión resultó irreversible.</w:t>
      </w:r>
    </w:p>
    <w:p w:rsidR="00C66365" w:rsidRDefault="00C66365" w:rsidP="00CA7FD9"/>
    <w:p w:rsidR="00C74B59" w:rsidRPr="00C74B59" w:rsidRDefault="00C74B59" w:rsidP="00C74B59">
      <w:pPr>
        <w:spacing w:before="100" w:beforeAutospacing="1" w:after="100" w:afterAutospacing="1" w:line="240" w:lineRule="auto"/>
        <w:outlineLvl w:val="2"/>
        <w:rPr>
          <w:rFonts w:ascii="Times New Roman" w:eastAsia="Times New Roman" w:hAnsi="Times New Roman" w:cs="Times New Roman"/>
          <w:b/>
          <w:bCs/>
          <w:sz w:val="24"/>
          <w:szCs w:val="24"/>
          <w:lang w:val="es-ES" w:eastAsia="es-ES"/>
        </w:rPr>
      </w:pPr>
      <w:r w:rsidRPr="00C74B59">
        <w:rPr>
          <w:rFonts w:ascii="Times New Roman" w:hAnsi="Times New Roman" w:cs="Times New Roman"/>
          <w:b/>
          <w:sz w:val="24"/>
          <w:szCs w:val="24"/>
        </w:rPr>
        <w:t xml:space="preserve">FUENTE 2: </w:t>
      </w:r>
      <w:r w:rsidRPr="00C74B59">
        <w:rPr>
          <w:rFonts w:ascii="Times New Roman" w:eastAsia="Times New Roman" w:hAnsi="Times New Roman" w:cs="Times New Roman"/>
          <w:b/>
          <w:bCs/>
          <w:sz w:val="24"/>
          <w:szCs w:val="24"/>
          <w:lang w:val="es-ES" w:eastAsia="es-ES"/>
        </w:rPr>
        <w:t xml:space="preserve">Argentina entre dos golpes de Estado: política, economía y sociedad (1955-1966). Elaboración del Prof. Claudio Sacco para uso escolar. </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 xml:space="preserve">En septiembre de 1955, un golpe militar derrocó al presidente Juan Domingo Perón e instauró una dictadura autodenominada Revolución Libertadora. El general Eduardo Lonardi fue reemplazado </w:t>
      </w:r>
      <w:r>
        <w:rPr>
          <w:rFonts w:ascii="Times New Roman" w:eastAsia="Times New Roman" w:hAnsi="Times New Roman" w:cs="Times New Roman"/>
          <w:sz w:val="24"/>
          <w:szCs w:val="24"/>
          <w:lang w:val="es-ES" w:eastAsia="es-ES"/>
        </w:rPr>
        <w:t xml:space="preserve">(mes de noviembre de 1955) </w:t>
      </w:r>
      <w:r w:rsidRPr="00C74B59">
        <w:rPr>
          <w:rFonts w:ascii="Times New Roman" w:eastAsia="Times New Roman" w:hAnsi="Times New Roman" w:cs="Times New Roman"/>
          <w:sz w:val="24"/>
          <w:szCs w:val="24"/>
          <w:lang w:val="es-ES" w:eastAsia="es-ES"/>
        </w:rPr>
        <w:t xml:space="preserve">por </w:t>
      </w:r>
      <w:r>
        <w:rPr>
          <w:rFonts w:ascii="Times New Roman" w:eastAsia="Times New Roman" w:hAnsi="Times New Roman" w:cs="Times New Roman"/>
          <w:sz w:val="24"/>
          <w:szCs w:val="24"/>
          <w:lang w:val="es-ES" w:eastAsia="es-ES"/>
        </w:rPr>
        <w:t xml:space="preserve">el general </w:t>
      </w:r>
      <w:r w:rsidRPr="00C74B59">
        <w:rPr>
          <w:rFonts w:ascii="Times New Roman" w:eastAsia="Times New Roman" w:hAnsi="Times New Roman" w:cs="Times New Roman"/>
          <w:sz w:val="24"/>
          <w:szCs w:val="24"/>
          <w:lang w:val="es-ES" w:eastAsia="es-ES"/>
        </w:rPr>
        <w:t xml:space="preserve">Pedro Eugenio Aramburu, quien impulsó una política de persecución contra el peronismo. Se prohibieron sus símbolos y actividades políticas, se intervinieron los sindicatos y se encarceló a numerosos dirigentes. En junio de 1956, un levantamiento </w:t>
      </w:r>
      <w:r>
        <w:rPr>
          <w:rFonts w:ascii="Times New Roman" w:eastAsia="Times New Roman" w:hAnsi="Times New Roman" w:cs="Times New Roman"/>
          <w:sz w:val="24"/>
          <w:szCs w:val="24"/>
          <w:lang w:val="es-ES" w:eastAsia="es-ES"/>
        </w:rPr>
        <w:t xml:space="preserve">de oficiales, suboficiales y civiles peronistas, que encabezó el general Juan José Valle, fue duramente reprimido por Aramburu </w:t>
      </w:r>
      <w:r w:rsidRPr="00C74B59">
        <w:rPr>
          <w:rFonts w:ascii="Times New Roman" w:eastAsia="Times New Roman" w:hAnsi="Times New Roman" w:cs="Times New Roman"/>
          <w:sz w:val="24"/>
          <w:szCs w:val="24"/>
          <w:lang w:val="es-ES" w:eastAsia="es-ES"/>
        </w:rPr>
        <w:t>con fusilamientos de militares y civiles.</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 xml:space="preserve">La proscripción del peronismo dividió a los partidos políticos. En 1957, la Unión Cívica Radical se separó en dos organizaciones: la UCRI, encabezada por Arturo Frondizi, y la UCRP, dirigida por Ricardo Balbín. </w:t>
      </w:r>
      <w:r w:rsidR="00C454B6" w:rsidRPr="00C454B6">
        <w:rPr>
          <w:rFonts w:ascii="Times New Roman" w:eastAsia="Times New Roman" w:hAnsi="Times New Roman" w:cs="Times New Roman"/>
          <w:sz w:val="24"/>
          <w:szCs w:val="24"/>
          <w:lang w:val="es-ES" w:eastAsia="es-ES"/>
        </w:rPr>
        <w:t xml:space="preserve">El </w:t>
      </w:r>
      <w:r w:rsidR="00C454B6" w:rsidRPr="00C454B6">
        <w:rPr>
          <w:rFonts w:ascii="Times New Roman" w:hAnsi="Times New Roman" w:cs="Times New Roman"/>
          <w:sz w:val="24"/>
          <w:szCs w:val="24"/>
        </w:rPr>
        <w:t>23 de febrero de 1958</w:t>
      </w:r>
      <w:r w:rsidRPr="00C74B59">
        <w:rPr>
          <w:rFonts w:ascii="Times New Roman" w:eastAsia="Times New Roman" w:hAnsi="Times New Roman" w:cs="Times New Roman"/>
          <w:sz w:val="24"/>
          <w:szCs w:val="24"/>
          <w:lang w:val="es-ES" w:eastAsia="es-ES"/>
        </w:rPr>
        <w:t>, Frondizi ganó las elecciones con el apoyo de los votantes peronistas, pero no consiguió terminar con su exclusión política.</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 xml:space="preserve">En economía, Frondizi impulsó el desarrollismo, una política que buscaba acelerar la industrialización mediante inversiones extranjeras, especialmente en petróleo, automóviles y siderurgia. Aunque aumentó la producción industrial, también crecieron las tensiones sociales. Los ajustes económicos, la inflación y los conflictos salariales provocaron huelgas y movilizaciones. En 1959, la ocupación del frigorífico Lisandro de la Torre terminó con una violenta intervención policial. Posteriormente, el Plan CONINTES </w:t>
      </w:r>
      <w:r w:rsidR="00F010AD" w:rsidRPr="00F010AD">
        <w:rPr>
          <w:rFonts w:ascii="Times New Roman" w:eastAsia="Times New Roman" w:hAnsi="Times New Roman" w:cs="Times New Roman"/>
          <w:sz w:val="24"/>
          <w:szCs w:val="24"/>
          <w:lang w:val="es-ES" w:eastAsia="es-ES"/>
        </w:rPr>
        <w:t>(</w:t>
      </w:r>
      <w:r w:rsidR="00F010AD" w:rsidRPr="00F010AD">
        <w:rPr>
          <w:rFonts w:ascii="Times New Roman" w:hAnsi="Times New Roman" w:cs="Times New Roman"/>
          <w:sz w:val="24"/>
          <w:szCs w:val="24"/>
        </w:rPr>
        <w:t>14 de noviembre de 1958)</w:t>
      </w:r>
      <w:r w:rsidR="00F010AD">
        <w:rPr>
          <w:rStyle w:val="FootnoteReference"/>
          <w:rFonts w:ascii="Times New Roman" w:hAnsi="Times New Roman" w:cs="Times New Roman"/>
          <w:sz w:val="24"/>
          <w:szCs w:val="24"/>
        </w:rPr>
        <w:footnoteReference w:id="1"/>
      </w:r>
      <w:r w:rsidR="00F010AD" w:rsidRPr="00F010AD">
        <w:rPr>
          <w:rFonts w:ascii="Times New Roman" w:hAnsi="Times New Roman" w:cs="Times New Roman"/>
          <w:sz w:val="24"/>
          <w:szCs w:val="24"/>
        </w:rPr>
        <w:t xml:space="preserve"> </w:t>
      </w:r>
      <w:r w:rsidRPr="00C74B59">
        <w:rPr>
          <w:rFonts w:ascii="Times New Roman" w:eastAsia="Times New Roman" w:hAnsi="Times New Roman" w:cs="Times New Roman"/>
          <w:sz w:val="24"/>
          <w:szCs w:val="24"/>
          <w:lang w:val="es-ES" w:eastAsia="es-ES"/>
        </w:rPr>
        <w:t>permitió utilizar a las Fuerzas Armadas para reprimir conflictos internos.</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 xml:space="preserve">Mientras tanto, el peronismo desarrolló distintas formas de resistencia, desde huelgas y acciones clandestinas hasta la reorganización sindical. En marzo de 1962, los candidatos peronistas triunfaron en varias provincias. Los militares presionaron a Frondizi para anular esos resultados y </w:t>
      </w:r>
      <w:r w:rsidRPr="00C74B59">
        <w:rPr>
          <w:rFonts w:ascii="Times New Roman" w:eastAsia="Times New Roman" w:hAnsi="Times New Roman" w:cs="Times New Roman"/>
          <w:sz w:val="24"/>
          <w:szCs w:val="24"/>
          <w:lang w:val="es-ES" w:eastAsia="es-ES"/>
        </w:rPr>
        <w:lastRenderedPageBreak/>
        <w:t>finalmente lo derrocaron. Asumió José María Guido, cuyo gobierno estuvo sometido a la tutela militar.</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En 1963 fue elegido presidente Arturo Illia, de la UCRP, nuevamente con el peronismo proscripto. Su gobierno promovió el crecimiento económico, aumentó la inversión educativa y anuló contratos petroleros firmados por Frondizi. Sin embargo, enfrentó la oposición de sectores empresariales, sindicales y militares. La CGT organizó importantes protestas y ocupaciones de fábricas durante 1964.</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Estos conflictos se desarrollaban en plena Guerra Fría. La Revolución cubana de 1959, la creciente intervención estadounidense en América Latina y la guerra de Vietnam alimentaron debates sobre el capitalismo, el socialismo y la revolución.</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También se produjo una profunda renovación cultural. La expansión universitaria, la televisión, el rock y nuevas formas de pensamiento dieron mayor protagonismo a la juventud. Las mujeres ampliaron su participación en la educación superior, el trabajo y la política, mientras cuestionaban los papeles tradicionales que les asignaba la sociedad. Estudiantes, intelectuales y jóvenes trabajadores comenzaron a reclamar transformaciones sociales más profundas.</w:t>
      </w:r>
    </w:p>
    <w:p w:rsidR="00C74B59" w:rsidRPr="00C74B59" w:rsidRDefault="00C74B59" w:rsidP="00C74B59">
      <w:pPr>
        <w:spacing w:before="100" w:beforeAutospacing="1" w:after="100" w:afterAutospacing="1" w:line="240" w:lineRule="auto"/>
        <w:rPr>
          <w:rFonts w:ascii="Times New Roman" w:eastAsia="Times New Roman" w:hAnsi="Times New Roman" w:cs="Times New Roman"/>
          <w:sz w:val="24"/>
          <w:szCs w:val="24"/>
          <w:lang w:val="es-ES" w:eastAsia="es-ES"/>
        </w:rPr>
      </w:pPr>
      <w:r w:rsidRPr="00C74B59">
        <w:rPr>
          <w:rFonts w:ascii="Times New Roman" w:eastAsia="Times New Roman" w:hAnsi="Times New Roman" w:cs="Times New Roman"/>
          <w:sz w:val="24"/>
          <w:szCs w:val="24"/>
          <w:lang w:val="es-ES" w:eastAsia="es-ES"/>
        </w:rPr>
        <w:t>Finalmente, el 28 de junio de 1966, las Fuerzas Armadas derrocaron a Illia e instauraron la llamada Revolución Argentina, encabezada por Juan Carlos Onganía. Terminaba así una década marcada por la inestabilidad política, los conflictos sociales y la imposibilidad de consolidar una democracia sin proscripciones.</w:t>
      </w:r>
    </w:p>
    <w:p w:rsidR="00FF40FF" w:rsidRDefault="00FF40FF" w:rsidP="00FF40FF">
      <w:pPr>
        <w:spacing w:before="100" w:beforeAutospacing="1" w:after="100" w:afterAutospacing="1" w:line="240" w:lineRule="auto"/>
        <w:outlineLvl w:val="2"/>
        <w:rPr>
          <w:rFonts w:ascii="Times New Roman" w:eastAsia="Times New Roman" w:hAnsi="Times New Roman" w:cs="Times New Roman"/>
          <w:b/>
          <w:bCs/>
          <w:sz w:val="24"/>
          <w:szCs w:val="24"/>
          <w:lang w:val="es-ES" w:eastAsia="es-ES"/>
        </w:rPr>
      </w:pPr>
      <w:r w:rsidRPr="00C74B59">
        <w:rPr>
          <w:rFonts w:ascii="Times New Roman" w:hAnsi="Times New Roman" w:cs="Times New Roman"/>
          <w:b/>
          <w:sz w:val="24"/>
          <w:szCs w:val="24"/>
        </w:rPr>
        <w:t xml:space="preserve">FUENTE </w:t>
      </w:r>
      <w:r>
        <w:rPr>
          <w:rFonts w:ascii="Times New Roman" w:hAnsi="Times New Roman" w:cs="Times New Roman"/>
          <w:b/>
          <w:sz w:val="24"/>
          <w:szCs w:val="24"/>
        </w:rPr>
        <w:t>3</w:t>
      </w:r>
      <w:r w:rsidRPr="00C74B59">
        <w:rPr>
          <w:rFonts w:ascii="Times New Roman" w:hAnsi="Times New Roman" w:cs="Times New Roman"/>
          <w:b/>
          <w:sz w:val="24"/>
          <w:szCs w:val="24"/>
        </w:rPr>
        <w:t xml:space="preserve">: </w:t>
      </w:r>
      <w:r>
        <w:rPr>
          <w:rFonts w:ascii="Times New Roman" w:eastAsia="Times New Roman" w:hAnsi="Times New Roman" w:cs="Times New Roman"/>
          <w:b/>
          <w:bCs/>
          <w:sz w:val="24"/>
          <w:szCs w:val="24"/>
          <w:lang w:val="es-ES" w:eastAsia="es-ES"/>
        </w:rPr>
        <w:t xml:space="preserve">Material audiovisual: “De Frondizi a Onganía”, producido por Canal Encuentro. Disponible en: </w:t>
      </w:r>
      <w:hyperlink r:id="rId7" w:history="1">
        <w:r w:rsidRPr="005C7B80">
          <w:rPr>
            <w:rStyle w:val="Hyperlink"/>
            <w:rFonts w:ascii="Times New Roman" w:eastAsia="Times New Roman" w:hAnsi="Times New Roman" w:cs="Times New Roman"/>
            <w:b/>
            <w:bCs/>
            <w:sz w:val="24"/>
            <w:szCs w:val="24"/>
            <w:lang w:val="es-ES" w:eastAsia="es-ES"/>
          </w:rPr>
          <w:t>https://www.youtube.com/watch?v=V7VW7lhj9CE</w:t>
        </w:r>
      </w:hyperlink>
    </w:p>
    <w:p w:rsidR="00FF40FF" w:rsidRPr="00FF40FF" w:rsidRDefault="00FF40FF" w:rsidP="00FF40FF">
      <w:pPr>
        <w:rPr>
          <w:rFonts w:ascii="Times New Roman" w:hAnsi="Times New Roman" w:cs="Times New Roman"/>
          <w:sz w:val="24"/>
        </w:rPr>
      </w:pPr>
      <w:r w:rsidRPr="00FF40FF">
        <w:rPr>
          <w:rFonts w:ascii="Times New Roman" w:hAnsi="Times New Roman" w:cs="Times New Roman"/>
          <w:sz w:val="24"/>
        </w:rPr>
        <w:t>El video trata un un periodo turbulento de la historia política argentina que va de 1958 y 1966. Conviene analizar los siguientes bloques del video: a) El desarrollismo y la caída de Frondizi; b) La transición y el ascenso de Arturo Illia; y c) La inestabilidad institucional y el golpe de Onganía.</w:t>
      </w:r>
    </w:p>
    <w:p w:rsidR="00C74B59" w:rsidRDefault="00C74B59" w:rsidP="00CA7FD9">
      <w:pPr>
        <w:rPr>
          <w:lang w:val="es-ES"/>
        </w:rPr>
      </w:pPr>
    </w:p>
    <w:p w:rsidR="00FF40FF" w:rsidRDefault="00FF40FF" w:rsidP="00FF40FF">
      <w:pPr>
        <w:rPr>
          <w:rFonts w:ascii="Times New Roman" w:hAnsi="Times New Roman" w:cs="Times New Roman"/>
          <w:b/>
          <w:sz w:val="24"/>
        </w:rPr>
      </w:pPr>
      <w:r w:rsidRPr="00FF40FF">
        <w:rPr>
          <w:rFonts w:ascii="Times New Roman" w:hAnsi="Times New Roman" w:cs="Times New Roman"/>
          <w:b/>
          <w:sz w:val="24"/>
        </w:rPr>
        <w:t xml:space="preserve">FUENTE 4: Material audiovisual: </w:t>
      </w:r>
      <w:r>
        <w:rPr>
          <w:rFonts w:ascii="Times New Roman" w:hAnsi="Times New Roman" w:cs="Times New Roman"/>
          <w:b/>
          <w:sz w:val="24"/>
        </w:rPr>
        <w:t>“</w:t>
      </w:r>
      <w:r w:rsidRPr="00FF40FF">
        <w:rPr>
          <w:rFonts w:ascii="Times New Roman" w:hAnsi="Times New Roman" w:cs="Times New Roman"/>
          <w:b/>
          <w:sz w:val="24"/>
        </w:rPr>
        <w:t>Política económica de Frondizi</w:t>
      </w:r>
      <w:r>
        <w:rPr>
          <w:rFonts w:ascii="Times New Roman" w:hAnsi="Times New Roman" w:cs="Times New Roman"/>
          <w:b/>
          <w:sz w:val="24"/>
        </w:rPr>
        <w:t xml:space="preserve">”, producido por Felipe Pigna. Disponible en: </w:t>
      </w:r>
      <w:hyperlink r:id="rId8" w:history="1">
        <w:r w:rsidRPr="005C7B80">
          <w:rPr>
            <w:rStyle w:val="Hyperlink"/>
            <w:rFonts w:ascii="Times New Roman" w:hAnsi="Times New Roman" w:cs="Times New Roman"/>
            <w:b/>
            <w:sz w:val="24"/>
          </w:rPr>
          <w:t>https://www.youtube.com/watch?v=iMzhS9LUGeQ</w:t>
        </w:r>
      </w:hyperlink>
      <w:r>
        <w:rPr>
          <w:rFonts w:ascii="Times New Roman" w:hAnsi="Times New Roman" w:cs="Times New Roman"/>
          <w:b/>
          <w:sz w:val="24"/>
        </w:rPr>
        <w:t xml:space="preserve"> </w:t>
      </w:r>
    </w:p>
    <w:p w:rsidR="00FF40FF" w:rsidRPr="00FF40FF" w:rsidRDefault="00FF40FF" w:rsidP="00FF40FF">
      <w:pPr>
        <w:rPr>
          <w:rFonts w:ascii="Times New Roman" w:hAnsi="Times New Roman" w:cs="Times New Roman"/>
          <w:sz w:val="24"/>
        </w:rPr>
      </w:pPr>
      <w:r w:rsidRPr="00FF40FF">
        <w:rPr>
          <w:rFonts w:ascii="Times New Roman" w:hAnsi="Times New Roman" w:cs="Times New Roman"/>
          <w:sz w:val="24"/>
        </w:rPr>
        <w:t>En el video se explican los cambios en la política económica del gobierno de Arturo Frondizi, desde sus propuestas desarrollistas iniciales hasta la aplicación de medidas de ajuste de orientación liberal, en un contexto de crecientes presiones militares. Conviene analizar: a) La apuesta por el desarrollo nacional; b) Desequilibrios y urgencia; c) El cambio de mando y la "austeridad"; y d) Un clima de inestabilidad crónica.</w:t>
      </w:r>
    </w:p>
    <w:p w:rsidR="00FF40FF" w:rsidRPr="00FF40FF" w:rsidRDefault="00FF40FF" w:rsidP="00FF40FF">
      <w:pPr>
        <w:rPr>
          <w:rFonts w:ascii="Times New Roman" w:hAnsi="Times New Roman" w:cs="Times New Roman"/>
          <w:b/>
          <w:sz w:val="24"/>
          <w:lang w:val="es-ES"/>
        </w:rPr>
      </w:pPr>
    </w:p>
    <w:p w:rsidR="00FF40FF" w:rsidRPr="00FF40FF" w:rsidRDefault="00FF40FF" w:rsidP="00FF40FF">
      <w:pPr>
        <w:rPr>
          <w:rFonts w:ascii="Times New Roman" w:hAnsi="Times New Roman" w:cs="Times New Roman"/>
          <w:sz w:val="24"/>
        </w:rPr>
      </w:pPr>
    </w:p>
    <w:p w:rsidR="00C66365" w:rsidRDefault="00C66365" w:rsidP="00CA7FD9"/>
    <w:sectPr w:rsidR="00C66365" w:rsidSect="000D624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70A" w:rsidRDefault="008D470A" w:rsidP="00F010AD">
      <w:pPr>
        <w:spacing w:after="0" w:line="240" w:lineRule="auto"/>
      </w:pPr>
      <w:r>
        <w:separator/>
      </w:r>
    </w:p>
  </w:endnote>
  <w:endnote w:type="continuationSeparator" w:id="0">
    <w:p w:rsidR="008D470A" w:rsidRDefault="008D470A" w:rsidP="00F0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70A" w:rsidRDefault="008D470A" w:rsidP="00F010AD">
      <w:pPr>
        <w:spacing w:after="0" w:line="240" w:lineRule="auto"/>
      </w:pPr>
      <w:r>
        <w:separator/>
      </w:r>
    </w:p>
  </w:footnote>
  <w:footnote w:type="continuationSeparator" w:id="0">
    <w:p w:rsidR="008D470A" w:rsidRDefault="008D470A" w:rsidP="00F010AD">
      <w:pPr>
        <w:spacing w:after="0" w:line="240" w:lineRule="auto"/>
      </w:pPr>
      <w:r>
        <w:continuationSeparator/>
      </w:r>
    </w:p>
  </w:footnote>
  <w:footnote w:id="1">
    <w:p w:rsidR="00F010AD" w:rsidRPr="00F010AD" w:rsidRDefault="00F010AD" w:rsidP="00F010AD">
      <w:pPr>
        <w:pStyle w:val="FootnoteText"/>
        <w:jc w:val="both"/>
        <w:rPr>
          <w:rFonts w:ascii="Times New Roman" w:hAnsi="Times New Roman" w:cs="Times New Roman"/>
        </w:rPr>
      </w:pPr>
      <w:r w:rsidRPr="00F010AD">
        <w:rPr>
          <w:rStyle w:val="FootnoteReference"/>
          <w:rFonts w:ascii="Times New Roman" w:hAnsi="Times New Roman" w:cs="Times New Roman"/>
        </w:rPr>
        <w:footnoteRef/>
      </w:r>
      <w:r w:rsidRPr="00F010AD">
        <w:rPr>
          <w:rFonts w:ascii="Times New Roman" w:hAnsi="Times New Roman" w:cs="Times New Roman"/>
        </w:rPr>
        <w:t xml:space="preserve"> Su puesta en ejecución pública comenzó el 14 de marzo de 1960, mediante el decreto N.º 2628, firmado el día anterior.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FD9"/>
    <w:rsid w:val="000D624E"/>
    <w:rsid w:val="003F2F62"/>
    <w:rsid w:val="004B4AAE"/>
    <w:rsid w:val="00636498"/>
    <w:rsid w:val="0066777B"/>
    <w:rsid w:val="006A4B07"/>
    <w:rsid w:val="00704418"/>
    <w:rsid w:val="00711D20"/>
    <w:rsid w:val="00747858"/>
    <w:rsid w:val="008D470A"/>
    <w:rsid w:val="00A13900"/>
    <w:rsid w:val="00AA05C9"/>
    <w:rsid w:val="00B64676"/>
    <w:rsid w:val="00BF2883"/>
    <w:rsid w:val="00C454B6"/>
    <w:rsid w:val="00C66365"/>
    <w:rsid w:val="00C74B59"/>
    <w:rsid w:val="00CA7FD9"/>
    <w:rsid w:val="00CF14E1"/>
    <w:rsid w:val="00F003B6"/>
    <w:rsid w:val="00F010AD"/>
    <w:rsid w:val="00F47688"/>
    <w:rsid w:val="00FF40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6457"/>
  <w15:chartTrackingRefBased/>
  <w15:docId w15:val="{B844630E-56BE-4015-A1FB-447C89E2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FD9"/>
  </w:style>
  <w:style w:type="paragraph" w:styleId="Heading1">
    <w:name w:val="heading 1"/>
    <w:basedOn w:val="Normal"/>
    <w:next w:val="Normal"/>
    <w:link w:val="Heading1Char"/>
    <w:uiPriority w:val="9"/>
    <w:qFormat/>
    <w:rsid w:val="00FF40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74B59"/>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semiHidden/>
    <w:unhideWhenUsed/>
    <w:rsid w:val="00CA7FD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Heading3Char">
    <w:name w:val="Heading 3 Char"/>
    <w:basedOn w:val="DefaultParagraphFont"/>
    <w:link w:val="Heading3"/>
    <w:uiPriority w:val="9"/>
    <w:rsid w:val="00C74B59"/>
    <w:rPr>
      <w:rFonts w:ascii="Times New Roman" w:eastAsia="Times New Roman" w:hAnsi="Times New Roman" w:cs="Times New Roman"/>
      <w:b/>
      <w:bCs/>
      <w:sz w:val="27"/>
      <w:szCs w:val="27"/>
      <w:lang w:val="es-ES" w:eastAsia="es-ES"/>
    </w:rPr>
  </w:style>
  <w:style w:type="paragraph" w:styleId="FootnoteText">
    <w:name w:val="footnote text"/>
    <w:basedOn w:val="Normal"/>
    <w:link w:val="FootnoteTextChar"/>
    <w:uiPriority w:val="99"/>
    <w:semiHidden/>
    <w:unhideWhenUsed/>
    <w:rsid w:val="00F01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10AD"/>
    <w:rPr>
      <w:sz w:val="20"/>
      <w:szCs w:val="20"/>
    </w:rPr>
  </w:style>
  <w:style w:type="character" w:styleId="FootnoteReference">
    <w:name w:val="footnote reference"/>
    <w:basedOn w:val="DefaultParagraphFont"/>
    <w:uiPriority w:val="99"/>
    <w:semiHidden/>
    <w:unhideWhenUsed/>
    <w:rsid w:val="00F010AD"/>
    <w:rPr>
      <w:vertAlign w:val="superscript"/>
    </w:rPr>
  </w:style>
  <w:style w:type="character" w:styleId="Hyperlink">
    <w:name w:val="Hyperlink"/>
    <w:basedOn w:val="DefaultParagraphFont"/>
    <w:uiPriority w:val="99"/>
    <w:unhideWhenUsed/>
    <w:rsid w:val="00FF40FF"/>
    <w:rPr>
      <w:color w:val="0563C1" w:themeColor="hyperlink"/>
      <w:u w:val="single"/>
    </w:rPr>
  </w:style>
  <w:style w:type="character" w:styleId="Strong">
    <w:name w:val="Strong"/>
    <w:basedOn w:val="DefaultParagraphFont"/>
    <w:uiPriority w:val="22"/>
    <w:qFormat/>
    <w:rsid w:val="00FF40FF"/>
    <w:rPr>
      <w:b/>
      <w:bCs/>
    </w:rPr>
  </w:style>
  <w:style w:type="character" w:customStyle="1" w:styleId="Heading1Char">
    <w:name w:val="Heading 1 Char"/>
    <w:basedOn w:val="DefaultParagraphFont"/>
    <w:link w:val="Heading1"/>
    <w:uiPriority w:val="9"/>
    <w:rsid w:val="00FF40F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554026">
      <w:bodyDiv w:val="1"/>
      <w:marLeft w:val="0"/>
      <w:marRight w:val="0"/>
      <w:marTop w:val="0"/>
      <w:marBottom w:val="0"/>
      <w:divBdr>
        <w:top w:val="none" w:sz="0" w:space="0" w:color="auto"/>
        <w:left w:val="none" w:sz="0" w:space="0" w:color="auto"/>
        <w:bottom w:val="none" w:sz="0" w:space="0" w:color="auto"/>
        <w:right w:val="none" w:sz="0" w:space="0" w:color="auto"/>
      </w:divBdr>
    </w:div>
    <w:div w:id="384597450">
      <w:bodyDiv w:val="1"/>
      <w:marLeft w:val="0"/>
      <w:marRight w:val="0"/>
      <w:marTop w:val="0"/>
      <w:marBottom w:val="0"/>
      <w:divBdr>
        <w:top w:val="none" w:sz="0" w:space="0" w:color="auto"/>
        <w:left w:val="none" w:sz="0" w:space="0" w:color="auto"/>
        <w:bottom w:val="none" w:sz="0" w:space="0" w:color="auto"/>
        <w:right w:val="none" w:sz="0" w:space="0" w:color="auto"/>
      </w:divBdr>
      <w:divsChild>
        <w:div w:id="69347715">
          <w:marLeft w:val="0"/>
          <w:marRight w:val="0"/>
          <w:marTop w:val="0"/>
          <w:marBottom w:val="0"/>
          <w:divBdr>
            <w:top w:val="none" w:sz="0" w:space="0" w:color="auto"/>
            <w:left w:val="none" w:sz="0" w:space="0" w:color="auto"/>
            <w:bottom w:val="none" w:sz="0" w:space="0" w:color="auto"/>
            <w:right w:val="none" w:sz="0" w:space="0" w:color="auto"/>
          </w:divBdr>
          <w:divsChild>
            <w:div w:id="1803183725">
              <w:marLeft w:val="0"/>
              <w:marRight w:val="0"/>
              <w:marTop w:val="0"/>
              <w:marBottom w:val="0"/>
              <w:divBdr>
                <w:top w:val="none" w:sz="0" w:space="0" w:color="auto"/>
                <w:left w:val="none" w:sz="0" w:space="0" w:color="auto"/>
                <w:bottom w:val="none" w:sz="0" w:space="0" w:color="auto"/>
                <w:right w:val="none" w:sz="0" w:space="0" w:color="auto"/>
              </w:divBdr>
              <w:divsChild>
                <w:div w:id="4502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5113">
      <w:bodyDiv w:val="1"/>
      <w:marLeft w:val="0"/>
      <w:marRight w:val="0"/>
      <w:marTop w:val="0"/>
      <w:marBottom w:val="0"/>
      <w:divBdr>
        <w:top w:val="none" w:sz="0" w:space="0" w:color="auto"/>
        <w:left w:val="none" w:sz="0" w:space="0" w:color="auto"/>
        <w:bottom w:val="none" w:sz="0" w:space="0" w:color="auto"/>
        <w:right w:val="none" w:sz="0" w:space="0" w:color="auto"/>
      </w:divBdr>
      <w:divsChild>
        <w:div w:id="674919247">
          <w:marLeft w:val="0"/>
          <w:marRight w:val="0"/>
          <w:marTop w:val="0"/>
          <w:marBottom w:val="0"/>
          <w:divBdr>
            <w:top w:val="none" w:sz="0" w:space="0" w:color="auto"/>
            <w:left w:val="none" w:sz="0" w:space="0" w:color="auto"/>
            <w:bottom w:val="none" w:sz="0" w:space="0" w:color="auto"/>
            <w:right w:val="none" w:sz="0" w:space="0" w:color="auto"/>
          </w:divBdr>
          <w:divsChild>
            <w:div w:id="1094132015">
              <w:marLeft w:val="0"/>
              <w:marRight w:val="0"/>
              <w:marTop w:val="0"/>
              <w:marBottom w:val="0"/>
              <w:divBdr>
                <w:top w:val="none" w:sz="0" w:space="0" w:color="auto"/>
                <w:left w:val="none" w:sz="0" w:space="0" w:color="auto"/>
                <w:bottom w:val="none" w:sz="0" w:space="0" w:color="auto"/>
                <w:right w:val="none" w:sz="0" w:space="0" w:color="auto"/>
              </w:divBdr>
              <w:divsChild>
                <w:div w:id="19236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47252">
      <w:bodyDiv w:val="1"/>
      <w:marLeft w:val="0"/>
      <w:marRight w:val="0"/>
      <w:marTop w:val="0"/>
      <w:marBottom w:val="0"/>
      <w:divBdr>
        <w:top w:val="none" w:sz="0" w:space="0" w:color="auto"/>
        <w:left w:val="none" w:sz="0" w:space="0" w:color="auto"/>
        <w:bottom w:val="none" w:sz="0" w:space="0" w:color="auto"/>
        <w:right w:val="none" w:sz="0" w:space="0" w:color="auto"/>
      </w:divBdr>
      <w:divsChild>
        <w:div w:id="1256284783">
          <w:marLeft w:val="0"/>
          <w:marRight w:val="0"/>
          <w:marTop w:val="0"/>
          <w:marBottom w:val="0"/>
          <w:divBdr>
            <w:top w:val="none" w:sz="0" w:space="0" w:color="auto"/>
            <w:left w:val="none" w:sz="0" w:space="0" w:color="auto"/>
            <w:bottom w:val="none" w:sz="0" w:space="0" w:color="auto"/>
            <w:right w:val="none" w:sz="0" w:space="0" w:color="auto"/>
          </w:divBdr>
          <w:divsChild>
            <w:div w:id="1630167689">
              <w:marLeft w:val="0"/>
              <w:marRight w:val="0"/>
              <w:marTop w:val="0"/>
              <w:marBottom w:val="0"/>
              <w:divBdr>
                <w:top w:val="none" w:sz="0" w:space="0" w:color="auto"/>
                <w:left w:val="none" w:sz="0" w:space="0" w:color="auto"/>
                <w:bottom w:val="none" w:sz="0" w:space="0" w:color="auto"/>
                <w:right w:val="none" w:sz="0" w:space="0" w:color="auto"/>
              </w:divBdr>
              <w:divsChild>
                <w:div w:id="1215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42501">
      <w:bodyDiv w:val="1"/>
      <w:marLeft w:val="0"/>
      <w:marRight w:val="0"/>
      <w:marTop w:val="0"/>
      <w:marBottom w:val="0"/>
      <w:divBdr>
        <w:top w:val="none" w:sz="0" w:space="0" w:color="auto"/>
        <w:left w:val="none" w:sz="0" w:space="0" w:color="auto"/>
        <w:bottom w:val="none" w:sz="0" w:space="0" w:color="auto"/>
        <w:right w:val="none" w:sz="0" w:space="0" w:color="auto"/>
      </w:divBdr>
    </w:div>
    <w:div w:id="2118522674">
      <w:bodyDiv w:val="1"/>
      <w:marLeft w:val="0"/>
      <w:marRight w:val="0"/>
      <w:marTop w:val="0"/>
      <w:marBottom w:val="0"/>
      <w:divBdr>
        <w:top w:val="none" w:sz="0" w:space="0" w:color="auto"/>
        <w:left w:val="none" w:sz="0" w:space="0" w:color="auto"/>
        <w:bottom w:val="none" w:sz="0" w:space="0" w:color="auto"/>
        <w:right w:val="none" w:sz="0" w:space="0" w:color="auto"/>
      </w:divBdr>
      <w:divsChild>
        <w:div w:id="508788681">
          <w:marLeft w:val="0"/>
          <w:marRight w:val="0"/>
          <w:marTop w:val="0"/>
          <w:marBottom w:val="0"/>
          <w:divBdr>
            <w:top w:val="none" w:sz="0" w:space="0" w:color="auto"/>
            <w:left w:val="none" w:sz="0" w:space="0" w:color="auto"/>
            <w:bottom w:val="none" w:sz="0" w:space="0" w:color="auto"/>
            <w:right w:val="none" w:sz="0" w:space="0" w:color="auto"/>
          </w:divBdr>
          <w:divsChild>
            <w:div w:id="1978100871">
              <w:marLeft w:val="0"/>
              <w:marRight w:val="0"/>
              <w:marTop w:val="0"/>
              <w:marBottom w:val="0"/>
              <w:divBdr>
                <w:top w:val="none" w:sz="0" w:space="0" w:color="auto"/>
                <w:left w:val="none" w:sz="0" w:space="0" w:color="auto"/>
                <w:bottom w:val="none" w:sz="0" w:space="0" w:color="auto"/>
                <w:right w:val="none" w:sz="0" w:space="0" w:color="auto"/>
              </w:divBdr>
              <w:divsChild>
                <w:div w:id="20144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MzhS9LUGeQ" TargetMode="External"/><Relationship Id="rId3" Type="http://schemas.openxmlformats.org/officeDocument/2006/relationships/settings" Target="settings.xml"/><Relationship Id="rId7" Type="http://schemas.openxmlformats.org/officeDocument/2006/relationships/hyperlink" Target="https://www.youtube.com/watch?v=V7VW7lhj9C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E0AE8-964A-4420-ABCC-221761B40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4</Pages>
  <Words>2122</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19</cp:revision>
  <cp:lastPrinted>2026-10-13T05:54:00Z</cp:lastPrinted>
  <dcterms:created xsi:type="dcterms:W3CDTF">2026-10-04T01:38:00Z</dcterms:created>
  <dcterms:modified xsi:type="dcterms:W3CDTF">2026-10-13T05:54:00Z</dcterms:modified>
</cp:coreProperties>
</file>