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381170" w:rsidRDefault="00381170" w:rsidP="00381170">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381170">
        <w:rPr>
          <w:rFonts w:ascii="Times New Roman" w:hAnsi="Times New Roman" w:cs="Times New Roman"/>
          <w:b/>
          <w:sz w:val="24"/>
        </w:rPr>
        <w:t>LA ARGENTINA MOVILIZADA: EL RETORNO DEL PERONISMO Y LA VIOLENCIA POLÍTICA (1973-1976)</w:t>
      </w:r>
      <w:r w:rsidR="009431B2">
        <w:rPr>
          <w:rFonts w:ascii="Times New Roman" w:hAnsi="Times New Roman" w:cs="Times New Roman"/>
          <w:b/>
          <w:sz w:val="24"/>
        </w:rPr>
        <w:t xml:space="preserve">. PARTE </w:t>
      </w:r>
      <w:r w:rsidR="00B4087F">
        <w:rPr>
          <w:rFonts w:ascii="Times New Roman" w:hAnsi="Times New Roman" w:cs="Times New Roman"/>
          <w:b/>
          <w:sz w:val="24"/>
        </w:rPr>
        <w:t>I</w:t>
      </w:r>
      <w:r w:rsidR="009431B2">
        <w:rPr>
          <w:rFonts w:ascii="Times New Roman" w:hAnsi="Times New Roman" w:cs="Times New Roman"/>
          <w:b/>
          <w:sz w:val="24"/>
        </w:rPr>
        <w:t xml:space="preserve">I. </w:t>
      </w:r>
    </w:p>
    <w:p w:rsidR="00381170" w:rsidRPr="00381170" w:rsidRDefault="00381170" w:rsidP="00381170">
      <w:pPr>
        <w:rPr>
          <w:rFonts w:ascii="Times New Roman" w:hAnsi="Times New Roman" w:cs="Times New Roman"/>
          <w:sz w:val="2"/>
        </w:rPr>
      </w:pPr>
    </w:p>
    <w:p w:rsidR="00221D96" w:rsidRDefault="00381170" w:rsidP="00381170">
      <w:pPr>
        <w:pStyle w:val="NormalWeb"/>
        <w:rPr>
          <w:rStyle w:val="Strong"/>
        </w:rPr>
      </w:pPr>
      <w:r w:rsidRPr="00381170">
        <w:rPr>
          <w:b/>
        </w:rPr>
        <w:t>FUENTE 1:</w:t>
      </w:r>
      <w:r w:rsidRPr="00381170">
        <w:t xml:space="preserve"> </w:t>
      </w:r>
      <w:r w:rsidR="00221D96">
        <w:rPr>
          <w:rStyle w:val="Strong"/>
        </w:rPr>
        <w:t>Fragmentos de la obra “</w:t>
      </w:r>
      <w:proofErr w:type="spellStart"/>
      <w:r w:rsidR="00221D96">
        <w:rPr>
          <w:rStyle w:val="Strong"/>
        </w:rPr>
        <w:t>Cámpora</w:t>
      </w:r>
      <w:proofErr w:type="spellEnd"/>
      <w:r w:rsidR="00221D96">
        <w:rPr>
          <w:rStyle w:val="Strong"/>
        </w:rPr>
        <w:t xml:space="preserve">/Perón/Isabel. Regreso y crisis del peronismo en Argentina”, Jorge Mario </w:t>
      </w:r>
      <w:proofErr w:type="spellStart"/>
      <w:r w:rsidR="00221D96">
        <w:rPr>
          <w:rStyle w:val="Strong"/>
        </w:rPr>
        <w:t>Japaz</w:t>
      </w:r>
      <w:proofErr w:type="spellEnd"/>
      <w:r w:rsidR="00221D96">
        <w:rPr>
          <w:rStyle w:val="Strong"/>
        </w:rPr>
        <w:t xml:space="preserve">, CEAL, 1986. </w:t>
      </w:r>
    </w:p>
    <w:p w:rsidR="00381170" w:rsidRPr="00381170" w:rsidRDefault="00221D96" w:rsidP="00381170">
      <w:pPr>
        <w:pStyle w:val="NormalWeb"/>
      </w:pPr>
      <w:r>
        <w:rPr>
          <w:rStyle w:val="Strong"/>
        </w:rPr>
        <w:t>Fragmento 1: El Cordobazo y el fracaso de la Revolución Argentina</w:t>
      </w:r>
      <w:r w:rsidR="00381170" w:rsidRPr="00381170">
        <w:t xml:space="preserve"> </w:t>
      </w:r>
    </w:p>
    <w:p w:rsidR="00221D96" w:rsidRDefault="00221D96" w:rsidP="00221D96">
      <w:pPr>
        <w:spacing w:before="100" w:beforeAutospacing="1" w:after="100" w:afterAutospacing="1" w:line="240" w:lineRule="auto"/>
        <w:rPr>
          <w:rFonts w:ascii="Times New Roman" w:eastAsia="Times New Roman" w:hAnsi="Times New Roman" w:cs="Times New Roman"/>
          <w:sz w:val="24"/>
          <w:szCs w:val="24"/>
          <w:lang w:val="es-ES" w:eastAsia="es-ES"/>
        </w:rPr>
      </w:pPr>
      <w:r w:rsidRPr="00221D96">
        <w:rPr>
          <w:rFonts w:ascii="Times New Roman" w:eastAsia="Times New Roman" w:hAnsi="Times New Roman" w:cs="Times New Roman"/>
          <w:sz w:val="24"/>
          <w:szCs w:val="24"/>
          <w:lang w:val="es-ES" w:eastAsia="es-ES"/>
        </w:rPr>
        <w:t xml:space="preserve">En 1969 se abrió un periodo inédito en la historia argentina en el que quedó profundamente cuestionada y corroída la autoridad de muchos de aquellos </w:t>
      </w:r>
      <w:r>
        <w:rPr>
          <w:rFonts w:ascii="Times New Roman" w:eastAsia="Times New Roman" w:hAnsi="Times New Roman" w:cs="Times New Roman"/>
          <w:sz w:val="24"/>
          <w:szCs w:val="24"/>
          <w:lang w:val="es-ES" w:eastAsia="es-ES"/>
        </w:rPr>
        <w:t>“</w:t>
      </w:r>
      <w:r w:rsidRPr="00221D96">
        <w:rPr>
          <w:rFonts w:ascii="Times New Roman" w:eastAsia="Times New Roman" w:hAnsi="Times New Roman" w:cs="Times New Roman"/>
          <w:sz w:val="24"/>
          <w:szCs w:val="24"/>
          <w:lang w:val="es-ES" w:eastAsia="es-ES"/>
        </w:rPr>
        <w:t>que dirigían</w:t>
      </w:r>
      <w:r>
        <w:rPr>
          <w:rFonts w:ascii="Times New Roman" w:eastAsia="Times New Roman" w:hAnsi="Times New Roman" w:cs="Times New Roman"/>
          <w:sz w:val="24"/>
          <w:szCs w:val="24"/>
          <w:lang w:val="es-ES" w:eastAsia="es-ES"/>
        </w:rPr>
        <w:t>”</w:t>
      </w:r>
      <w:r w:rsidRPr="00221D96">
        <w:rPr>
          <w:rFonts w:ascii="Times New Roman" w:eastAsia="Times New Roman" w:hAnsi="Times New Roman" w:cs="Times New Roman"/>
          <w:sz w:val="24"/>
          <w:szCs w:val="24"/>
          <w:lang w:val="es-ES" w:eastAsia="es-ES"/>
        </w:rPr>
        <w:t xml:space="preserve"> las organizaciones de la sociedad civil. Quedaron incluidos los dirigentes más propensos a la negociación y más dependientes de la tutela estatal, los profesores y autoridades universitarias que se habían respaldado en las orientaciones tradicionalistas y jerárquicas del gobierno de Onganía, la jerarquía conservadora de la Iglesia Católica y los gerentes y empresarios que, debido a las limitaciones impuestas a la acción de los dirigentes sindicales, las comisiones de fábrica y los delegados obreros, se habían sentido con mayor respaldo para reorganizar procesos de trabajo, racionalizar la producción y restaurar la disciplina laboral.</w:t>
      </w:r>
    </w:p>
    <w:p w:rsidR="00221D96" w:rsidRPr="00221D96" w:rsidRDefault="00221D96" w:rsidP="00221D96">
      <w:pPr>
        <w:spacing w:before="100" w:beforeAutospacing="1" w:after="100" w:afterAutospacing="1" w:line="240" w:lineRule="auto"/>
        <w:rPr>
          <w:rFonts w:ascii="Times New Roman" w:eastAsia="Times New Roman" w:hAnsi="Times New Roman" w:cs="Times New Roman"/>
          <w:sz w:val="24"/>
          <w:szCs w:val="24"/>
          <w:lang w:val="es-ES" w:eastAsia="es-ES"/>
        </w:rPr>
      </w:pPr>
      <w:r w:rsidRPr="00221D96">
        <w:rPr>
          <w:rFonts w:ascii="Times New Roman" w:eastAsia="Times New Roman" w:hAnsi="Times New Roman" w:cs="Times New Roman"/>
          <w:sz w:val="24"/>
          <w:szCs w:val="24"/>
          <w:lang w:val="es-ES" w:eastAsia="es-ES"/>
        </w:rPr>
        <w:t>El gobierno aislado tuvo que hacer frente a manifestaciones de protesta de la clase media y de los obreros que a menudo salían a la calle para hacerse oír. La violencia revolucionaria de los movimientos guerrilleros encontró igualmente un terreno propicio en los estratos intermedios más radicalizados. La lucha también se hizo sentir en las zonas rurales de las provincias del noreste, donde numerosos colonos y arrendatarios fueron expulsados de sus tierras a raíz de la política económica implementada. Con la ayuda del clero local se formalizaron ligas agrarias para la defensa de los hombres de campo. Todo esto hizo crisis el 29 de mayo de 1969 con el levantamiento popular e insurreccional en la ciudad de Córdoba, conocido como el Cordobazo. Allí estaban instaladas la mayoría de las fábricas de automotores. Se trataba de una grande y moderna industria pertenecien</w:t>
      </w:r>
      <w:r>
        <w:rPr>
          <w:rFonts w:ascii="Times New Roman" w:eastAsia="Times New Roman" w:hAnsi="Times New Roman" w:cs="Times New Roman"/>
          <w:sz w:val="24"/>
          <w:szCs w:val="24"/>
          <w:lang w:val="es-ES" w:eastAsia="es-ES"/>
        </w:rPr>
        <w:t>te a poderosas multinacionales –</w:t>
      </w:r>
      <w:r w:rsidRPr="00221D96">
        <w:rPr>
          <w:rFonts w:ascii="Times New Roman" w:eastAsia="Times New Roman" w:hAnsi="Times New Roman" w:cs="Times New Roman"/>
          <w:sz w:val="24"/>
          <w:szCs w:val="24"/>
          <w:lang w:val="es-ES" w:eastAsia="es-ES"/>
        </w:rPr>
        <w:t>Fiat, Renault</w:t>
      </w:r>
      <w:r>
        <w:rPr>
          <w:rFonts w:ascii="Times New Roman" w:eastAsia="Times New Roman" w:hAnsi="Times New Roman" w:cs="Times New Roman"/>
          <w:sz w:val="24"/>
          <w:szCs w:val="24"/>
          <w:lang w:val="es-ES" w:eastAsia="es-ES"/>
        </w:rPr>
        <w:t>–</w:t>
      </w:r>
      <w:r w:rsidRPr="00221D96">
        <w:rPr>
          <w:rFonts w:ascii="Times New Roman" w:eastAsia="Times New Roman" w:hAnsi="Times New Roman" w:cs="Times New Roman"/>
          <w:sz w:val="24"/>
          <w:szCs w:val="24"/>
          <w:lang w:val="es-ES" w:eastAsia="es-ES"/>
        </w:rPr>
        <w:t>, cuyas sedes sociales se encontraban en Buenos Aires.</w:t>
      </w:r>
      <w:r>
        <w:rPr>
          <w:rFonts w:ascii="Times New Roman" w:eastAsia="Times New Roman" w:hAnsi="Times New Roman" w:cs="Times New Roman"/>
          <w:sz w:val="24"/>
          <w:szCs w:val="24"/>
          <w:lang w:val="es-ES" w:eastAsia="es-ES"/>
        </w:rPr>
        <w:t xml:space="preserve"> […] </w:t>
      </w:r>
    </w:p>
    <w:p w:rsidR="00221D96" w:rsidRPr="00381170" w:rsidRDefault="00221D96" w:rsidP="00221D96">
      <w:pPr>
        <w:pStyle w:val="NormalWeb"/>
      </w:pPr>
      <w:r>
        <w:rPr>
          <w:rStyle w:val="Strong"/>
        </w:rPr>
        <w:t xml:space="preserve">Fragmento </w:t>
      </w:r>
      <w:r w:rsidR="00366DBE">
        <w:rPr>
          <w:rStyle w:val="Strong"/>
        </w:rPr>
        <w:t>2</w:t>
      </w:r>
      <w:r>
        <w:rPr>
          <w:rStyle w:val="Strong"/>
        </w:rPr>
        <w:t xml:space="preserve">: El problema de fondo: el peronismo </w:t>
      </w:r>
    </w:p>
    <w:p w:rsidR="00366DBE" w:rsidRDefault="001D6226" w:rsidP="001D6226">
      <w:pPr>
        <w:spacing w:before="100" w:beforeAutospacing="1" w:after="100" w:afterAutospacing="1" w:line="240" w:lineRule="auto"/>
        <w:rPr>
          <w:rFonts w:ascii="Times New Roman" w:eastAsia="Times New Roman" w:hAnsi="Times New Roman" w:cs="Times New Roman"/>
          <w:sz w:val="24"/>
          <w:szCs w:val="24"/>
          <w:lang w:val="es-ES" w:eastAsia="es-ES"/>
        </w:rPr>
      </w:pPr>
      <w:r w:rsidRPr="001D6226">
        <w:rPr>
          <w:rFonts w:ascii="Times New Roman" w:eastAsia="Times New Roman" w:hAnsi="Times New Roman" w:cs="Times New Roman"/>
          <w:sz w:val="24"/>
          <w:szCs w:val="24"/>
          <w:lang w:val="es-ES" w:eastAsia="es-ES"/>
        </w:rPr>
        <w:t xml:space="preserve">El Cordobazo y demás movilizaciones de masas produjeron la caída de Onganía y de su sucesor </w:t>
      </w:r>
      <w:proofErr w:type="spellStart"/>
      <w:r w:rsidRPr="001D6226">
        <w:rPr>
          <w:rFonts w:ascii="Times New Roman" w:eastAsia="Times New Roman" w:hAnsi="Times New Roman" w:cs="Times New Roman"/>
          <w:sz w:val="24"/>
          <w:szCs w:val="24"/>
          <w:lang w:val="es-ES" w:eastAsia="es-ES"/>
        </w:rPr>
        <w:t>L</w:t>
      </w:r>
      <w:r w:rsidR="00366DBE">
        <w:rPr>
          <w:rFonts w:ascii="Times New Roman" w:eastAsia="Times New Roman" w:hAnsi="Times New Roman" w:cs="Times New Roman"/>
          <w:sz w:val="24"/>
          <w:szCs w:val="24"/>
          <w:lang w:val="es-ES" w:eastAsia="es-ES"/>
        </w:rPr>
        <w:t>e</w:t>
      </w:r>
      <w:r w:rsidRPr="001D6226">
        <w:rPr>
          <w:rFonts w:ascii="Times New Roman" w:eastAsia="Times New Roman" w:hAnsi="Times New Roman" w:cs="Times New Roman"/>
          <w:sz w:val="24"/>
          <w:szCs w:val="24"/>
          <w:lang w:val="es-ES" w:eastAsia="es-ES"/>
        </w:rPr>
        <w:t>vingsto</w:t>
      </w:r>
      <w:r w:rsidR="00366DBE">
        <w:rPr>
          <w:rFonts w:ascii="Times New Roman" w:eastAsia="Times New Roman" w:hAnsi="Times New Roman" w:cs="Times New Roman"/>
          <w:sz w:val="24"/>
          <w:szCs w:val="24"/>
          <w:lang w:val="es-ES" w:eastAsia="es-ES"/>
        </w:rPr>
        <w:t>n</w:t>
      </w:r>
      <w:proofErr w:type="spellEnd"/>
      <w:r w:rsidRPr="001D6226">
        <w:rPr>
          <w:rFonts w:ascii="Times New Roman" w:eastAsia="Times New Roman" w:hAnsi="Times New Roman" w:cs="Times New Roman"/>
          <w:sz w:val="24"/>
          <w:szCs w:val="24"/>
          <w:lang w:val="es-ES" w:eastAsia="es-ES"/>
        </w:rPr>
        <w:t xml:space="preserve">. </w:t>
      </w:r>
    </w:p>
    <w:p w:rsidR="00366DBE" w:rsidRDefault="001D6226" w:rsidP="001D6226">
      <w:pPr>
        <w:spacing w:before="100" w:beforeAutospacing="1" w:after="100" w:afterAutospacing="1" w:line="240" w:lineRule="auto"/>
        <w:rPr>
          <w:rFonts w:ascii="Times New Roman" w:eastAsia="Times New Roman" w:hAnsi="Times New Roman" w:cs="Times New Roman"/>
          <w:sz w:val="24"/>
          <w:szCs w:val="24"/>
          <w:lang w:val="es-ES" w:eastAsia="es-ES"/>
        </w:rPr>
      </w:pPr>
      <w:r w:rsidRPr="001D6226">
        <w:rPr>
          <w:rFonts w:ascii="Times New Roman" w:eastAsia="Times New Roman" w:hAnsi="Times New Roman" w:cs="Times New Roman"/>
          <w:sz w:val="24"/>
          <w:szCs w:val="24"/>
          <w:lang w:val="es-ES" w:eastAsia="es-ES"/>
        </w:rPr>
        <w:t xml:space="preserve">En 1971, </w:t>
      </w:r>
      <w:proofErr w:type="spellStart"/>
      <w:r w:rsidRPr="001D6226">
        <w:rPr>
          <w:rFonts w:ascii="Times New Roman" w:eastAsia="Times New Roman" w:hAnsi="Times New Roman" w:cs="Times New Roman"/>
          <w:sz w:val="24"/>
          <w:szCs w:val="24"/>
          <w:lang w:val="es-ES" w:eastAsia="es-ES"/>
        </w:rPr>
        <w:t>Lanusse</w:t>
      </w:r>
      <w:proofErr w:type="spellEnd"/>
      <w:r w:rsidRPr="001D6226">
        <w:rPr>
          <w:rFonts w:ascii="Times New Roman" w:eastAsia="Times New Roman" w:hAnsi="Times New Roman" w:cs="Times New Roman"/>
          <w:sz w:val="24"/>
          <w:szCs w:val="24"/>
          <w:lang w:val="es-ES" w:eastAsia="es-ES"/>
        </w:rPr>
        <w:t xml:space="preserve">, a cargo del Poder Ejecutivo, inició el operativo político más riesgoso y al que ningún sector antiperonista de las Fuerzas Armadas se había atrevido: asumir definitivamente al peronismo como protagonista principal de la sociedad civil, entablar contacto directo con su líder y comprometerlo en la convocatoria a elecciones. Desde 1955 el peronismo no podía ser digerido por la sociedad argentina, la que estaba fracturada entre peronistas y antiperonistas. El peronismo dividió a las Fuerzas Armadas y las enfrentó entre sí en 1962 y 1963, fraccionó a la mayoría de los partidos políticos y dejó a la izquierda huérfana de bases. </w:t>
      </w:r>
    </w:p>
    <w:p w:rsidR="001D6226" w:rsidRPr="001D6226" w:rsidRDefault="001D6226" w:rsidP="001D6226">
      <w:pPr>
        <w:spacing w:before="100" w:beforeAutospacing="1" w:after="100" w:afterAutospacing="1" w:line="240" w:lineRule="auto"/>
        <w:rPr>
          <w:rFonts w:ascii="Times New Roman" w:eastAsia="Times New Roman" w:hAnsi="Times New Roman" w:cs="Times New Roman"/>
          <w:i/>
          <w:sz w:val="24"/>
          <w:szCs w:val="24"/>
          <w:lang w:val="es-ES" w:eastAsia="es-ES"/>
        </w:rPr>
      </w:pPr>
      <w:r w:rsidRPr="001D6226">
        <w:rPr>
          <w:rFonts w:ascii="Times New Roman" w:eastAsia="Times New Roman" w:hAnsi="Times New Roman" w:cs="Times New Roman"/>
          <w:sz w:val="24"/>
          <w:szCs w:val="24"/>
          <w:lang w:val="es-ES" w:eastAsia="es-ES"/>
        </w:rPr>
        <w:t xml:space="preserve">El peronismo se convirtió en oposición permanente y pudo arbitrar el éxito o el fracaso de cualquier intento de darle salida institucional a la crisis. Eso quedó evidenciado en las presidencias de </w:t>
      </w:r>
      <w:proofErr w:type="spellStart"/>
      <w:r w:rsidRPr="001D6226">
        <w:rPr>
          <w:rFonts w:ascii="Times New Roman" w:eastAsia="Times New Roman" w:hAnsi="Times New Roman" w:cs="Times New Roman"/>
          <w:sz w:val="24"/>
          <w:szCs w:val="24"/>
          <w:lang w:val="es-ES" w:eastAsia="es-ES"/>
        </w:rPr>
        <w:t>Frondizi</w:t>
      </w:r>
      <w:proofErr w:type="spellEnd"/>
      <w:r w:rsidRPr="001D6226">
        <w:rPr>
          <w:rFonts w:ascii="Times New Roman" w:eastAsia="Times New Roman" w:hAnsi="Times New Roman" w:cs="Times New Roman"/>
          <w:sz w:val="24"/>
          <w:szCs w:val="24"/>
          <w:lang w:val="es-ES" w:eastAsia="es-ES"/>
        </w:rPr>
        <w:t xml:space="preserve"> e </w:t>
      </w:r>
      <w:proofErr w:type="spellStart"/>
      <w:r w:rsidRPr="001D6226">
        <w:rPr>
          <w:rFonts w:ascii="Times New Roman" w:eastAsia="Times New Roman" w:hAnsi="Times New Roman" w:cs="Times New Roman"/>
          <w:sz w:val="24"/>
          <w:szCs w:val="24"/>
          <w:lang w:val="es-ES" w:eastAsia="es-ES"/>
        </w:rPr>
        <w:t>Illia</w:t>
      </w:r>
      <w:proofErr w:type="spellEnd"/>
      <w:r w:rsidRPr="001D6226">
        <w:rPr>
          <w:rFonts w:ascii="Times New Roman" w:eastAsia="Times New Roman" w:hAnsi="Times New Roman" w:cs="Times New Roman"/>
          <w:sz w:val="24"/>
          <w:szCs w:val="24"/>
          <w:lang w:val="es-ES" w:eastAsia="es-ES"/>
        </w:rPr>
        <w:t xml:space="preserve">, intentos vanos por volver a la legalidad sin el concurso del movimiento mayoritario. </w:t>
      </w:r>
      <w:proofErr w:type="spellStart"/>
      <w:r w:rsidRPr="001D6226">
        <w:rPr>
          <w:rFonts w:ascii="Times New Roman" w:eastAsia="Times New Roman" w:hAnsi="Times New Roman" w:cs="Times New Roman"/>
          <w:sz w:val="24"/>
          <w:szCs w:val="24"/>
          <w:lang w:val="es-ES" w:eastAsia="es-ES"/>
        </w:rPr>
        <w:t>Lanusse</w:t>
      </w:r>
      <w:proofErr w:type="spellEnd"/>
      <w:r w:rsidRPr="001D6226">
        <w:rPr>
          <w:rFonts w:ascii="Times New Roman" w:eastAsia="Times New Roman" w:hAnsi="Times New Roman" w:cs="Times New Roman"/>
          <w:sz w:val="24"/>
          <w:szCs w:val="24"/>
          <w:lang w:val="es-ES" w:eastAsia="es-ES"/>
        </w:rPr>
        <w:t xml:space="preserve"> fue quien primero y mejor entendió la gravitación del peronismo</w:t>
      </w:r>
      <w:r w:rsidR="00366DBE">
        <w:rPr>
          <w:rFonts w:ascii="Times New Roman" w:eastAsia="Times New Roman" w:hAnsi="Times New Roman" w:cs="Times New Roman"/>
          <w:sz w:val="24"/>
          <w:szCs w:val="24"/>
          <w:lang w:val="es-ES" w:eastAsia="es-ES"/>
        </w:rPr>
        <w:t>:</w:t>
      </w:r>
      <w:r w:rsidRPr="001D6226">
        <w:rPr>
          <w:rFonts w:ascii="Times New Roman" w:eastAsia="Times New Roman" w:hAnsi="Times New Roman" w:cs="Times New Roman"/>
          <w:sz w:val="24"/>
          <w:szCs w:val="24"/>
          <w:lang w:val="es-ES" w:eastAsia="es-ES"/>
        </w:rPr>
        <w:t xml:space="preserve"> </w:t>
      </w:r>
      <w:r w:rsidR="00366DBE">
        <w:rPr>
          <w:rFonts w:ascii="Times New Roman" w:eastAsia="Times New Roman" w:hAnsi="Times New Roman" w:cs="Times New Roman"/>
          <w:sz w:val="24"/>
          <w:szCs w:val="24"/>
          <w:lang w:val="es-ES" w:eastAsia="es-ES"/>
        </w:rPr>
        <w:t>“e</w:t>
      </w:r>
      <w:r w:rsidRPr="001D6226">
        <w:rPr>
          <w:rFonts w:ascii="Times New Roman" w:eastAsia="Times New Roman" w:hAnsi="Times New Roman" w:cs="Times New Roman"/>
          <w:sz w:val="24"/>
          <w:szCs w:val="24"/>
          <w:lang w:val="es-ES" w:eastAsia="es-ES"/>
        </w:rPr>
        <w:t>l fondo de la cuestión se llamaba Juan Domingo Perón y vivía exiliado en España. Si ese problema no se abordaba franca, abiertamente, la existencia política de los argentinos seguiría envenenada por un tabú que acecharía cada uno de sus pasos</w:t>
      </w:r>
      <w:r w:rsidR="00366DBE">
        <w:rPr>
          <w:rFonts w:ascii="Times New Roman" w:eastAsia="Times New Roman" w:hAnsi="Times New Roman" w:cs="Times New Roman"/>
          <w:sz w:val="24"/>
          <w:szCs w:val="24"/>
          <w:lang w:val="es-ES" w:eastAsia="es-ES"/>
        </w:rPr>
        <w:t>” [</w:t>
      </w:r>
      <w:proofErr w:type="spellStart"/>
      <w:r w:rsidR="00366DBE">
        <w:rPr>
          <w:rFonts w:ascii="Times New Roman" w:eastAsia="Times New Roman" w:hAnsi="Times New Roman" w:cs="Times New Roman"/>
          <w:sz w:val="24"/>
          <w:szCs w:val="24"/>
          <w:lang w:val="es-ES" w:eastAsia="es-ES"/>
        </w:rPr>
        <w:t>Lanusse</w:t>
      </w:r>
      <w:proofErr w:type="spellEnd"/>
      <w:r w:rsidR="00366DBE">
        <w:rPr>
          <w:rFonts w:ascii="Times New Roman" w:eastAsia="Times New Roman" w:hAnsi="Times New Roman" w:cs="Times New Roman"/>
          <w:sz w:val="24"/>
          <w:szCs w:val="24"/>
          <w:lang w:val="es-ES" w:eastAsia="es-ES"/>
        </w:rPr>
        <w:t xml:space="preserve">, </w:t>
      </w:r>
      <w:r w:rsidR="00366DBE">
        <w:rPr>
          <w:rFonts w:ascii="Times New Roman" w:eastAsia="Times New Roman" w:hAnsi="Times New Roman" w:cs="Times New Roman"/>
          <w:i/>
          <w:sz w:val="24"/>
          <w:szCs w:val="24"/>
          <w:lang w:val="es-ES" w:eastAsia="es-ES"/>
        </w:rPr>
        <w:t>Mi testimonio</w:t>
      </w:r>
      <w:r w:rsidR="00366DBE" w:rsidRPr="00366DBE">
        <w:rPr>
          <w:rFonts w:ascii="Times New Roman" w:eastAsia="Times New Roman" w:hAnsi="Times New Roman" w:cs="Times New Roman"/>
          <w:sz w:val="24"/>
          <w:szCs w:val="24"/>
          <w:lang w:val="es-ES" w:eastAsia="es-ES"/>
        </w:rPr>
        <w:t>, pp. 228-229]</w:t>
      </w:r>
      <w:r w:rsidR="00366DBE">
        <w:rPr>
          <w:rFonts w:ascii="Times New Roman" w:eastAsia="Times New Roman" w:hAnsi="Times New Roman" w:cs="Times New Roman"/>
          <w:sz w:val="24"/>
          <w:szCs w:val="24"/>
          <w:lang w:val="es-ES" w:eastAsia="es-ES"/>
        </w:rPr>
        <w:t>.</w:t>
      </w:r>
    </w:p>
    <w:p w:rsidR="00366DBE" w:rsidRPr="00381170" w:rsidRDefault="00366DBE" w:rsidP="00366DBE">
      <w:pPr>
        <w:pStyle w:val="NormalWeb"/>
      </w:pPr>
      <w:r>
        <w:rPr>
          <w:rStyle w:val="Strong"/>
        </w:rPr>
        <w:lastRenderedPageBreak/>
        <w:t xml:space="preserve">Fragmento 3: El Gran Acuerdo Nacional (GAN) y las elecciones </w:t>
      </w:r>
    </w:p>
    <w:p w:rsidR="00366DBE" w:rsidRPr="00366DBE" w:rsidRDefault="00366DBE" w:rsidP="00366DBE">
      <w:pPr>
        <w:spacing w:before="100" w:beforeAutospacing="1" w:after="100" w:afterAutospacing="1" w:line="240" w:lineRule="auto"/>
        <w:rPr>
          <w:rFonts w:ascii="Times New Roman" w:eastAsia="Times New Roman" w:hAnsi="Times New Roman" w:cs="Times New Roman"/>
          <w:sz w:val="24"/>
          <w:szCs w:val="24"/>
          <w:lang w:val="es-ES" w:eastAsia="es-ES"/>
        </w:rPr>
      </w:pPr>
      <w:r w:rsidRPr="00366DBE">
        <w:rPr>
          <w:rFonts w:ascii="Times New Roman" w:eastAsia="Times New Roman" w:hAnsi="Times New Roman" w:cs="Times New Roman"/>
          <w:sz w:val="24"/>
          <w:szCs w:val="24"/>
          <w:lang w:val="es-ES" w:eastAsia="es-ES"/>
        </w:rPr>
        <w:t xml:space="preserve">El auge de la lucha de clases, la ofensiva </w:t>
      </w:r>
      <w:proofErr w:type="spellStart"/>
      <w:r w:rsidRPr="00366DBE">
        <w:rPr>
          <w:rFonts w:ascii="Times New Roman" w:eastAsia="Times New Roman" w:hAnsi="Times New Roman" w:cs="Times New Roman"/>
          <w:sz w:val="24"/>
          <w:szCs w:val="24"/>
          <w:lang w:val="es-ES" w:eastAsia="es-ES"/>
        </w:rPr>
        <w:t>antidictatorial</w:t>
      </w:r>
      <w:proofErr w:type="spellEnd"/>
      <w:r w:rsidRPr="00366DBE">
        <w:rPr>
          <w:rFonts w:ascii="Times New Roman" w:eastAsia="Times New Roman" w:hAnsi="Times New Roman" w:cs="Times New Roman"/>
          <w:sz w:val="24"/>
          <w:szCs w:val="24"/>
          <w:lang w:val="es-ES" w:eastAsia="es-ES"/>
        </w:rPr>
        <w:t xml:space="preserve"> de las masas y la consiguiente crisis de la dictadura planteó nuevamente el dilema. Dictadura sangrienta contra el movimiento de masas, personificado en el peronismo, o apertura política. Esta segunda opinión primó en el seno de las Fuerzas Armadas, quienes a través del ejército programaron las elecciones de 1973 a través del Gran Acuerdo Nacional. GAN. La estrategia de la NUCE, corporizada en el GAN, procuraba un acuerdo que neutralizara a Perón, pero reservara al peronismo una participación controlada. </w:t>
      </w:r>
    </w:p>
    <w:p w:rsidR="00366DBE" w:rsidRDefault="00366DBE" w:rsidP="00366DBE">
      <w:pPr>
        <w:spacing w:before="100" w:beforeAutospacing="1" w:after="100" w:afterAutospacing="1" w:line="240" w:lineRule="auto"/>
        <w:rPr>
          <w:rFonts w:ascii="Times New Roman" w:eastAsia="Times New Roman" w:hAnsi="Times New Roman" w:cs="Times New Roman"/>
          <w:sz w:val="24"/>
          <w:szCs w:val="24"/>
          <w:lang w:val="es-ES" w:eastAsia="es-ES"/>
        </w:rPr>
      </w:pPr>
      <w:r w:rsidRPr="00366DBE">
        <w:rPr>
          <w:rFonts w:ascii="Times New Roman" w:eastAsia="Times New Roman" w:hAnsi="Times New Roman" w:cs="Times New Roman"/>
          <w:sz w:val="24"/>
          <w:szCs w:val="24"/>
          <w:lang w:val="es-ES" w:eastAsia="es-ES"/>
        </w:rPr>
        <w:t xml:space="preserve">El acuerdo serviría así para unir a todas las fuerzas políticas tras una alternativa continuista, que quedaría de ese modo asegurada. Por lo demás, tendría la virtud de diluir a la oposición al incorporarla, sustituyéndola a toda iniciativa que pudiera atentar contra el orden que se buscaba preservar. Las Fuerzas Armadas podían así retirarse del gobierno mediante una salida digna y sin arriesgarse a un deterioro mayor tras el desgaste que había significado la Revolución Argentina. Entre los objetivos del GAN figuraba integrar definitivamente al peronismo a la vida política, terminando con su proscripción y, a la vez, condicionarlo políticamente. El primer objetivo fue logrado, pero el segundo objetivo fracasó. El 11 de marzo triunfó la fórmula </w:t>
      </w:r>
      <w:proofErr w:type="spellStart"/>
      <w:r w:rsidRPr="00366DBE">
        <w:rPr>
          <w:rFonts w:ascii="Times New Roman" w:eastAsia="Times New Roman" w:hAnsi="Times New Roman" w:cs="Times New Roman"/>
          <w:sz w:val="24"/>
          <w:szCs w:val="24"/>
          <w:lang w:val="es-ES" w:eastAsia="es-ES"/>
        </w:rPr>
        <w:t>Cámpora</w:t>
      </w:r>
      <w:proofErr w:type="spellEnd"/>
      <w:r w:rsidRPr="00366DBE">
        <w:rPr>
          <w:rFonts w:ascii="Times New Roman" w:eastAsia="Times New Roman" w:hAnsi="Times New Roman" w:cs="Times New Roman"/>
          <w:sz w:val="24"/>
          <w:szCs w:val="24"/>
          <w:lang w:val="es-ES" w:eastAsia="es-ES"/>
        </w:rPr>
        <w:t xml:space="preserve">-Solano-Lima, designada por Perón durante su primer retorno al país en noviembre de 1972. Perón no podía ser candidato en razón de que la dictadura había impuesto la cláusula de permanencia o residencia en el país desde el 25 de agosto de 1972 para todo aquel que quisiera ocupar cargos electivos. Perón lo desconoció. Para sus simpatizantes quedó proscripto. En tanto, para los militares se </w:t>
      </w:r>
      <w:proofErr w:type="spellStart"/>
      <w:r w:rsidRPr="00366DBE">
        <w:rPr>
          <w:rFonts w:ascii="Times New Roman" w:eastAsia="Times New Roman" w:hAnsi="Times New Roman" w:cs="Times New Roman"/>
          <w:sz w:val="24"/>
          <w:szCs w:val="24"/>
          <w:lang w:val="es-ES" w:eastAsia="es-ES"/>
        </w:rPr>
        <w:t>autoproscribió</w:t>
      </w:r>
      <w:proofErr w:type="spellEnd"/>
      <w:r w:rsidRPr="00366DBE">
        <w:rPr>
          <w:rFonts w:ascii="Times New Roman" w:eastAsia="Times New Roman" w:hAnsi="Times New Roman" w:cs="Times New Roman"/>
          <w:sz w:val="24"/>
          <w:szCs w:val="24"/>
          <w:lang w:val="es-ES" w:eastAsia="es-ES"/>
        </w:rPr>
        <w:t>.</w:t>
      </w:r>
    </w:p>
    <w:p w:rsidR="00564E6A" w:rsidRDefault="00564E6A" w:rsidP="00366DBE">
      <w:pPr>
        <w:pStyle w:val="NormalWeb"/>
        <w:rPr>
          <w:b/>
        </w:rPr>
      </w:pPr>
      <w:r>
        <w:rPr>
          <w:b/>
        </w:rPr>
        <w:t xml:space="preserve">FUENTE 2: Material audiovisual sobre “La masacre de </w:t>
      </w:r>
      <w:proofErr w:type="spellStart"/>
      <w:r>
        <w:rPr>
          <w:b/>
        </w:rPr>
        <w:t>Ezeiza</w:t>
      </w:r>
      <w:proofErr w:type="spellEnd"/>
      <w:r>
        <w:rPr>
          <w:b/>
        </w:rPr>
        <w:t xml:space="preserve">”, producido por el historiador argentino Felipe </w:t>
      </w:r>
      <w:proofErr w:type="spellStart"/>
      <w:r>
        <w:rPr>
          <w:b/>
        </w:rPr>
        <w:t>Pigna</w:t>
      </w:r>
      <w:proofErr w:type="spellEnd"/>
      <w:r>
        <w:rPr>
          <w:b/>
        </w:rPr>
        <w:t xml:space="preserve">. Disponible en: </w:t>
      </w:r>
      <w:hyperlink r:id="rId4" w:history="1">
        <w:r w:rsidRPr="00113705">
          <w:rPr>
            <w:rStyle w:val="Hyperlink"/>
            <w:b/>
          </w:rPr>
          <w:t>https://www.youtube.com/watch?v=g9_tUwhHpHs</w:t>
        </w:r>
      </w:hyperlink>
    </w:p>
    <w:p w:rsidR="00564E6A" w:rsidRPr="00D477EB" w:rsidRDefault="00564E6A" w:rsidP="00D477EB">
      <w:pPr>
        <w:rPr>
          <w:rFonts w:ascii="Times New Roman" w:hAnsi="Times New Roman" w:cs="Times New Roman"/>
          <w:sz w:val="24"/>
        </w:rPr>
      </w:pPr>
      <w:r w:rsidRPr="00D477EB">
        <w:rPr>
          <w:rFonts w:ascii="Times New Roman" w:hAnsi="Times New Roman" w:cs="Times New Roman"/>
          <w:sz w:val="24"/>
        </w:rPr>
        <w:t xml:space="preserve">Analiza la Masacre de </w:t>
      </w:r>
      <w:proofErr w:type="spellStart"/>
      <w:r w:rsidRPr="00D477EB">
        <w:rPr>
          <w:rFonts w:ascii="Times New Roman" w:hAnsi="Times New Roman" w:cs="Times New Roman"/>
          <w:sz w:val="24"/>
        </w:rPr>
        <w:t>Ezeiza</w:t>
      </w:r>
      <w:proofErr w:type="spellEnd"/>
      <w:r w:rsidRPr="00D477EB">
        <w:rPr>
          <w:rFonts w:ascii="Times New Roman" w:hAnsi="Times New Roman" w:cs="Times New Roman"/>
          <w:sz w:val="24"/>
        </w:rPr>
        <w:t xml:space="preserve"> ocurrida el 20 de junio de 1973, un evento que marcó un punto de inflexión en la historia argentina durante el regreso definitivo de Juan Domingo Perón tras 18 años de exilio. Los puntos centrales del video que deben ser analizados son: a) la fractura interna del peronismo; b) el estallido de la violencia en </w:t>
      </w:r>
      <w:proofErr w:type="spellStart"/>
      <w:r w:rsidRPr="00D477EB">
        <w:rPr>
          <w:rFonts w:ascii="Times New Roman" w:hAnsi="Times New Roman" w:cs="Times New Roman"/>
          <w:sz w:val="24"/>
        </w:rPr>
        <w:t>Ezeiza</w:t>
      </w:r>
      <w:proofErr w:type="spellEnd"/>
      <w:r w:rsidRPr="00D477EB">
        <w:rPr>
          <w:rFonts w:ascii="Times New Roman" w:hAnsi="Times New Roman" w:cs="Times New Roman"/>
          <w:sz w:val="24"/>
        </w:rPr>
        <w:t xml:space="preserve">; c) saldo humano y represión clandestina; d) desvío y aterrizaje en la base de Morón; e) rol que tuvo José López </w:t>
      </w:r>
      <w:proofErr w:type="spellStart"/>
      <w:r w:rsidRPr="00D477EB">
        <w:rPr>
          <w:rFonts w:ascii="Times New Roman" w:hAnsi="Times New Roman" w:cs="Times New Roman"/>
          <w:sz w:val="24"/>
        </w:rPr>
        <w:t>Rega</w:t>
      </w:r>
      <w:proofErr w:type="spellEnd"/>
      <w:r w:rsidRPr="00D477EB">
        <w:rPr>
          <w:rFonts w:ascii="Times New Roman" w:hAnsi="Times New Roman" w:cs="Times New Roman"/>
          <w:sz w:val="24"/>
        </w:rPr>
        <w:t xml:space="preserve">; </w:t>
      </w:r>
      <w:r w:rsidR="00D477EB" w:rsidRPr="00D477EB">
        <w:rPr>
          <w:rFonts w:ascii="Times New Roman" w:hAnsi="Times New Roman" w:cs="Times New Roman"/>
          <w:sz w:val="24"/>
        </w:rPr>
        <w:t xml:space="preserve">f) </w:t>
      </w:r>
      <w:r w:rsidRPr="00D477EB">
        <w:rPr>
          <w:rFonts w:ascii="Times New Roman" w:hAnsi="Times New Roman" w:cs="Times New Roman"/>
          <w:sz w:val="24"/>
        </w:rPr>
        <w:t>consecuencias de este hecho trágico para el movimiento peronista.</w:t>
      </w:r>
    </w:p>
    <w:p w:rsidR="00366DBE" w:rsidRPr="008B2C32" w:rsidRDefault="00366DBE" w:rsidP="00366DBE">
      <w:pPr>
        <w:pStyle w:val="NormalWeb"/>
        <w:rPr>
          <w:b/>
        </w:rPr>
      </w:pPr>
      <w:r w:rsidRPr="008B2C32">
        <w:rPr>
          <w:b/>
        </w:rPr>
        <w:t xml:space="preserve">FUENTE </w:t>
      </w:r>
      <w:r w:rsidR="00564E6A">
        <w:rPr>
          <w:b/>
        </w:rPr>
        <w:t>3</w:t>
      </w:r>
      <w:r w:rsidRPr="008B2C32">
        <w:rPr>
          <w:b/>
        </w:rPr>
        <w:t xml:space="preserve">: Fragmentos de la obra “¿Qué pasó en los ’70?”, Guido </w:t>
      </w:r>
      <w:proofErr w:type="spellStart"/>
      <w:r w:rsidRPr="008B2C32">
        <w:rPr>
          <w:b/>
        </w:rPr>
        <w:t>Lissandrello</w:t>
      </w:r>
      <w:proofErr w:type="spellEnd"/>
      <w:r w:rsidRPr="008B2C32">
        <w:rPr>
          <w:b/>
        </w:rPr>
        <w:t xml:space="preserve">, Biblioteca de la UNI, Ediciones </w:t>
      </w:r>
      <w:proofErr w:type="spellStart"/>
      <w:r w:rsidRPr="008B2C32">
        <w:rPr>
          <w:b/>
        </w:rPr>
        <w:t>RyR</w:t>
      </w:r>
      <w:proofErr w:type="spellEnd"/>
      <w:r w:rsidRPr="008B2C32">
        <w:rPr>
          <w:b/>
        </w:rPr>
        <w:t xml:space="preserve">, 2019, pp. </w:t>
      </w:r>
      <w:r>
        <w:rPr>
          <w:b/>
        </w:rPr>
        <w:t>19-20</w:t>
      </w:r>
      <w:r w:rsidRPr="008B2C32">
        <w:rPr>
          <w:b/>
        </w:rPr>
        <w:t>.</w:t>
      </w:r>
    </w:p>
    <w:p w:rsidR="00366DBE" w:rsidRDefault="002D0E84" w:rsidP="00381170">
      <w:pPr>
        <w:pStyle w:val="NormalWeb"/>
        <w:rPr>
          <w:b/>
        </w:rPr>
      </w:pPr>
      <w:r>
        <w:rPr>
          <w:b/>
        </w:rPr>
        <w:t>Fragmento 1: El Pacto Social y la regimentación del movimiento obrero</w:t>
      </w:r>
    </w:p>
    <w:p w:rsidR="002D0E84" w:rsidRPr="002D0E84" w:rsidRDefault="002D0E84" w:rsidP="002D0E84">
      <w:pPr>
        <w:spacing w:before="100" w:beforeAutospacing="1" w:after="100" w:afterAutospacing="1" w:line="240" w:lineRule="auto"/>
        <w:rPr>
          <w:rFonts w:ascii="Times New Roman" w:eastAsia="Times New Roman" w:hAnsi="Times New Roman" w:cs="Times New Roman"/>
          <w:sz w:val="24"/>
          <w:szCs w:val="24"/>
          <w:lang w:val="es-ES" w:eastAsia="es-ES"/>
        </w:rPr>
      </w:pPr>
      <w:r w:rsidRPr="002D0E84">
        <w:rPr>
          <w:rFonts w:ascii="Times New Roman" w:eastAsia="Times New Roman" w:hAnsi="Times New Roman" w:cs="Times New Roman"/>
          <w:sz w:val="24"/>
          <w:szCs w:val="24"/>
          <w:lang w:val="es-ES" w:eastAsia="es-ES"/>
        </w:rPr>
        <w:t xml:space="preserve">La principal medida de gobierno del tercer peronismo fue el Acta Acuerdo del Compromiso Nacional, más conocida como </w:t>
      </w:r>
      <w:r>
        <w:rPr>
          <w:rFonts w:ascii="Times New Roman" w:eastAsia="Times New Roman" w:hAnsi="Times New Roman" w:cs="Times New Roman"/>
          <w:sz w:val="24"/>
          <w:szCs w:val="24"/>
          <w:lang w:val="es-ES" w:eastAsia="es-ES"/>
        </w:rPr>
        <w:t>“</w:t>
      </w:r>
      <w:r w:rsidRPr="002D0E84">
        <w:rPr>
          <w:rFonts w:ascii="Times New Roman" w:eastAsia="Times New Roman" w:hAnsi="Times New Roman" w:cs="Times New Roman"/>
          <w:sz w:val="24"/>
          <w:szCs w:val="24"/>
          <w:lang w:val="es-ES" w:eastAsia="es-ES"/>
        </w:rPr>
        <w:t>Pacto Social</w:t>
      </w:r>
      <w:r>
        <w:rPr>
          <w:rFonts w:ascii="Times New Roman" w:eastAsia="Times New Roman" w:hAnsi="Times New Roman" w:cs="Times New Roman"/>
          <w:sz w:val="24"/>
          <w:szCs w:val="24"/>
          <w:lang w:val="es-ES" w:eastAsia="es-ES"/>
        </w:rPr>
        <w:t>”</w:t>
      </w:r>
      <w:r w:rsidRPr="002D0E84">
        <w:rPr>
          <w:rFonts w:ascii="Times New Roman" w:eastAsia="Times New Roman" w:hAnsi="Times New Roman" w:cs="Times New Roman"/>
          <w:sz w:val="24"/>
          <w:szCs w:val="24"/>
          <w:lang w:val="es-ES" w:eastAsia="es-ES"/>
        </w:rPr>
        <w:t>. Se trató de un acuerdo firmado por la CGT y la CGE a instancias del ministro de Economía, José</w:t>
      </w:r>
      <w:r>
        <w:rPr>
          <w:rFonts w:ascii="Times New Roman" w:eastAsia="Times New Roman" w:hAnsi="Times New Roman" w:cs="Times New Roman"/>
          <w:sz w:val="24"/>
          <w:szCs w:val="24"/>
          <w:lang w:val="es-ES" w:eastAsia="es-ES"/>
        </w:rPr>
        <w:t xml:space="preserve"> Ber </w:t>
      </w:r>
      <w:proofErr w:type="spellStart"/>
      <w:r>
        <w:rPr>
          <w:rFonts w:ascii="Times New Roman" w:eastAsia="Times New Roman" w:hAnsi="Times New Roman" w:cs="Times New Roman"/>
          <w:sz w:val="24"/>
          <w:szCs w:val="24"/>
          <w:lang w:val="es-ES" w:eastAsia="es-ES"/>
        </w:rPr>
        <w:t>Gelbard</w:t>
      </w:r>
      <w:proofErr w:type="spellEnd"/>
      <w:r w:rsidRPr="002D0E84">
        <w:rPr>
          <w:rFonts w:ascii="Times New Roman" w:eastAsia="Times New Roman" w:hAnsi="Times New Roman" w:cs="Times New Roman"/>
          <w:sz w:val="24"/>
          <w:szCs w:val="24"/>
          <w:lang w:val="es-ES" w:eastAsia="es-ES"/>
        </w:rPr>
        <w:t xml:space="preserve">. Si pensamos en los firmantes, el objetivo de la medida era claro, que los trabajadores se sentaran con los patrones a conversar para acordar compromisos comunes. En sus discursos, el peronismo destacaba que la meta era recuperar el supuesto 50-50 del primer peronismo, es decir, el reparto equilibrado de la torta entre patrones y trabajadores. Toda una definición de colaboración de clases entre explotados y explotadores. Va de suyo que los trabajadores no tuvieron allí una representación propia, sino a la burocracia sindical de </w:t>
      </w:r>
      <w:proofErr w:type="spellStart"/>
      <w:r w:rsidRPr="002D0E84">
        <w:rPr>
          <w:rFonts w:ascii="Times New Roman" w:eastAsia="Times New Roman" w:hAnsi="Times New Roman" w:cs="Times New Roman"/>
          <w:sz w:val="24"/>
          <w:szCs w:val="24"/>
          <w:lang w:val="es-ES" w:eastAsia="es-ES"/>
        </w:rPr>
        <w:t>Rucci</w:t>
      </w:r>
      <w:proofErr w:type="spellEnd"/>
      <w:r w:rsidRPr="002D0E84">
        <w:rPr>
          <w:rFonts w:ascii="Times New Roman" w:eastAsia="Times New Roman" w:hAnsi="Times New Roman" w:cs="Times New Roman"/>
          <w:sz w:val="24"/>
          <w:szCs w:val="24"/>
          <w:lang w:val="es-ES" w:eastAsia="es-ES"/>
        </w:rPr>
        <w:t>, que en realidad respondía a los intereses de la burguesía.</w:t>
      </w:r>
    </w:p>
    <w:p w:rsidR="00F35886" w:rsidRDefault="002D0E84" w:rsidP="00D336D4">
      <w:pPr>
        <w:pStyle w:val="NormalWeb"/>
      </w:pPr>
      <w:r>
        <w:t xml:space="preserve">¿Cuál era el contenido concreto del Pacto? La burguesía nucleada en la CGE, a través de su referente Julio </w:t>
      </w:r>
      <w:proofErr w:type="spellStart"/>
      <w:r>
        <w:t>Broner</w:t>
      </w:r>
      <w:proofErr w:type="spellEnd"/>
      <w:r>
        <w:t xml:space="preserve">, se comprometía al congelamiento de precios y aceptaba un alza generalizada de salarios, mientras que los trabajadores, representados por el entonces secretario general de la CGT José Ignacio </w:t>
      </w:r>
      <w:proofErr w:type="spellStart"/>
      <w:r>
        <w:t>Rucci</w:t>
      </w:r>
      <w:proofErr w:type="spellEnd"/>
      <w:r>
        <w:t xml:space="preserve">, aceptaban la suspensión de la negociación colectiva sobre el salario </w:t>
      </w:r>
      <w:r>
        <w:lastRenderedPageBreak/>
        <w:t xml:space="preserve">durante dos años. </w:t>
      </w:r>
      <w:r w:rsidRPr="002D0E84">
        <w:t>Este esquema salarial, que comenzaría a funcionar en junio del 73, tendría una reactualización el 1 de junio del 74 y del 75. Hasta esas fechas, las convenciones paritarias no podrían modificar la política salarial establecida. Naturalmente, los patrones también recibían otros beneficios: crédito barato, reducción de costos financieros y otras formas de subsidio a las pymes nacionales. A pesar de la retórica, el aumento inicial de salario, de casi un 15%, fue bastante magro y el congelamiento de precios no funcionó muy bien.</w:t>
      </w:r>
      <w:r w:rsidR="00F35886">
        <w:t xml:space="preserve"> […]</w:t>
      </w:r>
    </w:p>
    <w:p w:rsidR="00D336D4" w:rsidRPr="00D336D4" w:rsidRDefault="002D0E84" w:rsidP="00D336D4">
      <w:pPr>
        <w:pStyle w:val="NormalWeb"/>
      </w:pPr>
      <w:r w:rsidRPr="002D0E84">
        <w:t xml:space="preserve">A todo esto, la burocracia sindical recibió un merecido premio por sus servicios al gobierno y los explotadores. La reforma de la </w:t>
      </w:r>
      <w:r w:rsidR="00545B4F">
        <w:t>L</w:t>
      </w:r>
      <w:r w:rsidRPr="002D0E84">
        <w:t xml:space="preserve">ey de </w:t>
      </w:r>
      <w:r w:rsidR="00545B4F">
        <w:t>A</w:t>
      </w:r>
      <w:r w:rsidRPr="002D0E84">
        <w:t xml:space="preserve">sociaciones </w:t>
      </w:r>
      <w:r w:rsidR="00545B4F">
        <w:t>Profesionales</w:t>
      </w:r>
      <w:r w:rsidRPr="002D0E84">
        <w:t xml:space="preserve">. Unos días después de firmado el pacto, importantes referentes de la CGT y de las 62 organizaciones presentaron al por entonces presidente interino </w:t>
      </w:r>
      <w:proofErr w:type="spellStart"/>
      <w:r w:rsidRPr="002D0E84">
        <w:t>Lastiri</w:t>
      </w:r>
      <w:proofErr w:type="spellEnd"/>
      <w:r w:rsidRPr="002D0E84">
        <w:t xml:space="preserve"> un proyecto de reforma de la mencionada ley que regulaba la vida de los sindicatos. Por aquel entonces, Ricardo Otero, ministro de Trabajo y, a su vez, dirigente de la UOM, explicó que la ley buscaba evitar el surgimiento de </w:t>
      </w:r>
      <w:r>
        <w:t>“</w:t>
      </w:r>
      <w:r w:rsidRPr="002D0E84">
        <w:t>sindicatitos</w:t>
      </w:r>
      <w:r>
        <w:t xml:space="preserve">”. </w:t>
      </w:r>
      <w:r w:rsidR="00D336D4" w:rsidRPr="00D336D4">
        <w:t>La referencia era clara</w:t>
      </w:r>
      <w:r w:rsidR="00D336D4">
        <w:t>, h</w:t>
      </w:r>
      <w:r w:rsidR="00D336D4" w:rsidRPr="00D336D4">
        <w:t xml:space="preserve">ablaba de experiencias como la de </w:t>
      </w:r>
      <w:proofErr w:type="spellStart"/>
      <w:r w:rsidR="00D336D4">
        <w:t>Sitrac-S</w:t>
      </w:r>
      <w:r w:rsidR="00D336D4" w:rsidRPr="00D336D4">
        <w:t>itram</w:t>
      </w:r>
      <w:proofErr w:type="spellEnd"/>
      <w:r w:rsidR="00D336D4" w:rsidRPr="00D336D4">
        <w:t xml:space="preserve">. No sorprende, para una dirigencia atornillada a los sillones y siempre dispuesta a entregarse a los patrones, que consideraran un problema a esos </w:t>
      </w:r>
      <w:r w:rsidR="00D336D4">
        <w:t>“</w:t>
      </w:r>
      <w:r w:rsidR="00D336D4" w:rsidRPr="00D336D4">
        <w:t>sindicatitos</w:t>
      </w:r>
      <w:r w:rsidR="00D336D4">
        <w:t>”</w:t>
      </w:r>
      <w:r w:rsidR="00D336D4" w:rsidRPr="00D336D4">
        <w:t xml:space="preserve"> que dirigía la izquierda. Eran una realidad a exterminar. Efectivamente, la nueva ley apuntaba a eso. Prolongaba los mandatos de las </w:t>
      </w:r>
      <w:r w:rsidR="00D336D4">
        <w:t xml:space="preserve">conducciones gremiales vigentes de 2 a 4 años, en un momento en el que la izquierda crecía en los gremios. </w:t>
      </w:r>
      <w:r w:rsidR="00D336D4" w:rsidRPr="00D336D4">
        <w:t xml:space="preserve"> Al mismo tiempo, reforzaba el poder de las conducciones nacionales para intervenir a las direcciones intermedias y estas a las de base, comisiones internas y cuerpos de delegados. Un punto muy importante</w:t>
      </w:r>
      <w:r w:rsidR="00D336D4">
        <w:t>,</w:t>
      </w:r>
      <w:r w:rsidR="00D336D4" w:rsidRPr="00D336D4">
        <w:t xml:space="preserve"> porque era efectivamente en ese nivel donde el clasismo</w:t>
      </w:r>
      <w:r w:rsidR="00D336D4">
        <w:t xml:space="preserve"> [</w:t>
      </w:r>
      <w:r w:rsidR="00545B4F">
        <w:t xml:space="preserve">es decir, </w:t>
      </w:r>
      <w:r w:rsidR="00D336D4">
        <w:t xml:space="preserve">la tendencia </w:t>
      </w:r>
      <w:r w:rsidR="00545B4F">
        <w:t xml:space="preserve">más </w:t>
      </w:r>
      <w:r w:rsidR="00D336D4">
        <w:t>combativa del sindicalismo, surgida a fines de los años 1960]</w:t>
      </w:r>
      <w:r w:rsidR="00D336D4" w:rsidRPr="00D336D4">
        <w:t xml:space="preserve"> tenía una sólida implantación.</w:t>
      </w:r>
      <w:r w:rsidR="00545B4F">
        <w:t xml:space="preserve"> [En esencia, lo que se buscaba con la reforma de la L</w:t>
      </w:r>
      <w:r w:rsidR="00545B4F" w:rsidRPr="002D0E84">
        <w:t xml:space="preserve">ey de </w:t>
      </w:r>
      <w:r w:rsidR="00545B4F">
        <w:t>A</w:t>
      </w:r>
      <w:r w:rsidR="00545B4F" w:rsidRPr="002D0E84">
        <w:t xml:space="preserve">sociaciones </w:t>
      </w:r>
      <w:r w:rsidR="00545B4F">
        <w:t xml:space="preserve">Profesionales] era regimentar al movimiento obrero para aplastar el fuerte cuestionamiento que recibía la burocracia sindical. No era para menos, se jugaba el propio proyecto del peronismo y del conjunto de la burguesía. Cuidar a los jerarcas de la CGT era cuidarse a sí mismos. No podía naufragar el Pacto Social, así que mejor aplastar cualquier cuestionamiento. </w:t>
      </w:r>
    </w:p>
    <w:p w:rsidR="003F7A58" w:rsidRPr="008B2C32" w:rsidRDefault="003F7A58" w:rsidP="003F7A58">
      <w:pPr>
        <w:pStyle w:val="NormalWeb"/>
        <w:rPr>
          <w:b/>
        </w:rPr>
      </w:pPr>
      <w:r w:rsidRPr="008B2C32">
        <w:rPr>
          <w:b/>
        </w:rPr>
        <w:t xml:space="preserve">FUENTE </w:t>
      </w:r>
      <w:r w:rsidR="005E0B98">
        <w:rPr>
          <w:b/>
        </w:rPr>
        <w:t>4</w:t>
      </w:r>
      <w:r w:rsidRPr="008B2C32">
        <w:rPr>
          <w:b/>
        </w:rPr>
        <w:t xml:space="preserve">: </w:t>
      </w:r>
      <w:r>
        <w:rPr>
          <w:b/>
        </w:rPr>
        <w:t>¿Qué fue la Triple A?</w:t>
      </w:r>
      <w:r w:rsidRPr="008B2C32">
        <w:rPr>
          <w:b/>
        </w:rPr>
        <w:t xml:space="preserve">, </w:t>
      </w:r>
      <w:r>
        <w:rPr>
          <w:b/>
        </w:rPr>
        <w:t>elaboración del Prof. Claudio Sacco para uso escolar</w:t>
      </w:r>
      <w:r w:rsidRPr="008B2C32">
        <w:rPr>
          <w:b/>
        </w:rPr>
        <w:t>.</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 xml:space="preserve">La Alianza Anticomunista Argentina, conocida como Triple A, fue una organización parapolicial de extrema derecha creada por José López </w:t>
      </w:r>
      <w:proofErr w:type="spellStart"/>
      <w:r w:rsidRPr="003F7A58">
        <w:rPr>
          <w:rFonts w:ascii="Times New Roman" w:eastAsia="Times New Roman" w:hAnsi="Times New Roman" w:cs="Times New Roman"/>
          <w:sz w:val="24"/>
          <w:szCs w:val="24"/>
          <w:lang w:val="es-ES" w:eastAsia="es-ES"/>
        </w:rPr>
        <w:t>Rega</w:t>
      </w:r>
      <w:proofErr w:type="spellEnd"/>
      <w:r w:rsidRPr="003F7A58">
        <w:rPr>
          <w:rFonts w:ascii="Times New Roman" w:eastAsia="Times New Roman" w:hAnsi="Times New Roman" w:cs="Times New Roman"/>
          <w:sz w:val="24"/>
          <w:szCs w:val="24"/>
          <w:lang w:val="es-ES" w:eastAsia="es-ES"/>
        </w:rPr>
        <w:t xml:space="preserve">, ministro de Bienestar Social durante el gobierno de Juan Domingo Perón. López </w:t>
      </w:r>
      <w:proofErr w:type="spellStart"/>
      <w:r w:rsidRPr="003F7A58">
        <w:rPr>
          <w:rFonts w:ascii="Times New Roman" w:eastAsia="Times New Roman" w:hAnsi="Times New Roman" w:cs="Times New Roman"/>
          <w:sz w:val="24"/>
          <w:szCs w:val="24"/>
          <w:lang w:val="es-ES" w:eastAsia="es-ES"/>
        </w:rPr>
        <w:t>Rega</w:t>
      </w:r>
      <w:proofErr w:type="spellEnd"/>
      <w:r w:rsidRPr="003F7A58">
        <w:rPr>
          <w:rFonts w:ascii="Times New Roman" w:eastAsia="Times New Roman" w:hAnsi="Times New Roman" w:cs="Times New Roman"/>
          <w:sz w:val="24"/>
          <w:szCs w:val="24"/>
          <w:lang w:val="es-ES" w:eastAsia="es-ES"/>
        </w:rPr>
        <w:t xml:space="preserve"> ocupaba ese cargo desde mayo de 1973. La Triple A realizó uno de sus primeros atentados el 21 de noviembre de 1973, contra el senador radical Hipólito Solari Yrigoyen. El 31 de julio de 1974 asesinó al diputado Rodolfo Ortega Peña, uno de los primeros crímenes que reconoció públicamente.</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Para comprender su aparición hay que recordar el clima político de aquellos años. Desde el Cordobazo de 1969, las movilizaciones obreras y estudiantiles habían debilitado a la dictadura militar. Cuando el peronismo volvió al gobierno en 1973, existían profundas diferencias dentro del movimiento. La Juventud Peronista y Montoneros defendían ideas revolucionarias y socialistas, mientras que los dirigentes sindicales tradicionales, los sectores de derecha y los empresarios buscaban frenar esas movilizaciones.</w:t>
      </w:r>
      <w:r>
        <w:rPr>
          <w:rFonts w:ascii="Times New Roman" w:eastAsia="Times New Roman" w:hAnsi="Times New Roman" w:cs="Times New Roman"/>
          <w:sz w:val="24"/>
          <w:szCs w:val="24"/>
          <w:lang w:val="es-ES" w:eastAsia="es-ES"/>
        </w:rPr>
        <w:t xml:space="preserve"> </w:t>
      </w:r>
      <w:r w:rsidRPr="003F7A58">
        <w:rPr>
          <w:rFonts w:ascii="Times New Roman" w:eastAsia="Times New Roman" w:hAnsi="Times New Roman" w:cs="Times New Roman"/>
          <w:sz w:val="24"/>
          <w:szCs w:val="24"/>
          <w:lang w:val="es-ES" w:eastAsia="es-ES"/>
        </w:rPr>
        <w:t xml:space="preserve">Los enfrentamientos se hicieron cada vez más graves. La masacre de </w:t>
      </w:r>
      <w:proofErr w:type="spellStart"/>
      <w:r w:rsidRPr="003F7A58">
        <w:rPr>
          <w:rFonts w:ascii="Times New Roman" w:eastAsia="Times New Roman" w:hAnsi="Times New Roman" w:cs="Times New Roman"/>
          <w:sz w:val="24"/>
          <w:szCs w:val="24"/>
          <w:lang w:val="es-ES" w:eastAsia="es-ES"/>
        </w:rPr>
        <w:t>Ezeiza</w:t>
      </w:r>
      <w:proofErr w:type="spellEnd"/>
      <w:r w:rsidRPr="003F7A58">
        <w:rPr>
          <w:rFonts w:ascii="Times New Roman" w:eastAsia="Times New Roman" w:hAnsi="Times New Roman" w:cs="Times New Roman"/>
          <w:sz w:val="24"/>
          <w:szCs w:val="24"/>
          <w:lang w:val="es-ES" w:eastAsia="es-ES"/>
        </w:rPr>
        <w:t xml:space="preserve">, el 20 de junio de 1973, la renuncia del presidente </w:t>
      </w:r>
      <w:proofErr w:type="spellStart"/>
      <w:r w:rsidRPr="003F7A58">
        <w:rPr>
          <w:rFonts w:ascii="Times New Roman" w:eastAsia="Times New Roman" w:hAnsi="Times New Roman" w:cs="Times New Roman"/>
          <w:sz w:val="24"/>
          <w:szCs w:val="24"/>
          <w:lang w:val="es-ES" w:eastAsia="es-ES"/>
        </w:rPr>
        <w:t>Cámpora</w:t>
      </w:r>
      <w:proofErr w:type="spellEnd"/>
      <w:r w:rsidRPr="003F7A58">
        <w:rPr>
          <w:rFonts w:ascii="Times New Roman" w:eastAsia="Times New Roman" w:hAnsi="Times New Roman" w:cs="Times New Roman"/>
          <w:sz w:val="24"/>
          <w:szCs w:val="24"/>
          <w:lang w:val="es-ES" w:eastAsia="es-ES"/>
        </w:rPr>
        <w:t xml:space="preserve"> y la ruptura de Perón con la izquierda peronista mostraron la profundidad del conflicto. Después de la muerte de Perón, el 1° de julio de 1974, López </w:t>
      </w:r>
      <w:proofErr w:type="spellStart"/>
      <w:r w:rsidRPr="003F7A58">
        <w:rPr>
          <w:rFonts w:ascii="Times New Roman" w:eastAsia="Times New Roman" w:hAnsi="Times New Roman" w:cs="Times New Roman"/>
          <w:sz w:val="24"/>
          <w:szCs w:val="24"/>
          <w:lang w:val="es-ES" w:eastAsia="es-ES"/>
        </w:rPr>
        <w:t>Rega</w:t>
      </w:r>
      <w:proofErr w:type="spellEnd"/>
      <w:r w:rsidRPr="003F7A58">
        <w:rPr>
          <w:rFonts w:ascii="Times New Roman" w:eastAsia="Times New Roman" w:hAnsi="Times New Roman" w:cs="Times New Roman"/>
          <w:sz w:val="24"/>
          <w:szCs w:val="24"/>
          <w:lang w:val="es-ES" w:eastAsia="es-ES"/>
        </w:rPr>
        <w:t xml:space="preserve"> aumentó su influencia sobre el gobierno de Isabel Perón.</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 xml:space="preserve">La Triple A persiguió, amenazó y asesinó a cientos de personas, especialmente militantes de izquierda, dirigentes obreros, abogados, periodistas e intelectuales. Entre sus víctimas estuvieron Rodolfo Ortega Peña, Atilio López, Julio </w:t>
      </w:r>
      <w:proofErr w:type="spellStart"/>
      <w:r w:rsidRPr="003F7A58">
        <w:rPr>
          <w:rFonts w:ascii="Times New Roman" w:eastAsia="Times New Roman" w:hAnsi="Times New Roman" w:cs="Times New Roman"/>
          <w:sz w:val="24"/>
          <w:szCs w:val="24"/>
          <w:lang w:val="es-ES" w:eastAsia="es-ES"/>
        </w:rPr>
        <w:t>Troxler</w:t>
      </w:r>
      <w:proofErr w:type="spellEnd"/>
      <w:r>
        <w:rPr>
          <w:rFonts w:ascii="Times New Roman" w:eastAsia="Times New Roman" w:hAnsi="Times New Roman" w:cs="Times New Roman"/>
          <w:sz w:val="24"/>
          <w:szCs w:val="24"/>
          <w:lang w:val="es-ES" w:eastAsia="es-ES"/>
        </w:rPr>
        <w:t xml:space="preserve">, el padre Carlos </w:t>
      </w:r>
      <w:proofErr w:type="spellStart"/>
      <w:r>
        <w:rPr>
          <w:rFonts w:ascii="Times New Roman" w:eastAsia="Times New Roman" w:hAnsi="Times New Roman" w:cs="Times New Roman"/>
          <w:sz w:val="24"/>
          <w:szCs w:val="24"/>
          <w:lang w:val="es-ES" w:eastAsia="es-ES"/>
        </w:rPr>
        <w:t>Mugica</w:t>
      </w:r>
      <w:proofErr w:type="spellEnd"/>
      <w:r w:rsidRPr="003F7A58">
        <w:rPr>
          <w:rFonts w:ascii="Times New Roman" w:eastAsia="Times New Roman" w:hAnsi="Times New Roman" w:cs="Times New Roman"/>
          <w:sz w:val="24"/>
          <w:szCs w:val="24"/>
          <w:lang w:val="es-ES" w:eastAsia="es-ES"/>
        </w:rPr>
        <w:t xml:space="preserve"> y Silvio </w:t>
      </w:r>
      <w:proofErr w:type="spellStart"/>
      <w:r w:rsidRPr="003F7A58">
        <w:rPr>
          <w:rFonts w:ascii="Times New Roman" w:eastAsia="Times New Roman" w:hAnsi="Times New Roman" w:cs="Times New Roman"/>
          <w:sz w:val="24"/>
          <w:szCs w:val="24"/>
          <w:lang w:val="es-ES" w:eastAsia="es-ES"/>
        </w:rPr>
        <w:t>Frondizi</w:t>
      </w:r>
      <w:proofErr w:type="spellEnd"/>
      <w:r w:rsidRPr="003F7A58">
        <w:rPr>
          <w:rFonts w:ascii="Times New Roman" w:eastAsia="Times New Roman" w:hAnsi="Times New Roman" w:cs="Times New Roman"/>
          <w:sz w:val="24"/>
          <w:szCs w:val="24"/>
          <w:lang w:val="es-ES" w:eastAsia="es-ES"/>
        </w:rPr>
        <w:t>.</w:t>
      </w:r>
      <w:r>
        <w:rPr>
          <w:rFonts w:ascii="Times New Roman" w:eastAsia="Times New Roman" w:hAnsi="Times New Roman" w:cs="Times New Roman"/>
          <w:sz w:val="24"/>
          <w:szCs w:val="24"/>
          <w:lang w:val="es-ES" w:eastAsia="es-ES"/>
        </w:rPr>
        <w:t xml:space="preserve"> </w:t>
      </w:r>
      <w:r w:rsidRPr="003F7A58">
        <w:rPr>
          <w:rFonts w:ascii="Times New Roman" w:eastAsia="Times New Roman" w:hAnsi="Times New Roman" w:cs="Times New Roman"/>
          <w:sz w:val="24"/>
          <w:szCs w:val="24"/>
          <w:lang w:val="es-ES" w:eastAsia="es-ES"/>
        </w:rPr>
        <w:t xml:space="preserve">Aunque actuaba clandestinamente, la organización recibía recursos y protección de sectores del Estado. Utilizaba fondos y dependencias del Ministerio de Bienestar Social y contaba con la </w:t>
      </w:r>
      <w:r w:rsidRPr="003F7A58">
        <w:rPr>
          <w:rFonts w:ascii="Times New Roman" w:eastAsia="Times New Roman" w:hAnsi="Times New Roman" w:cs="Times New Roman"/>
          <w:sz w:val="24"/>
          <w:szCs w:val="24"/>
          <w:lang w:val="es-ES" w:eastAsia="es-ES"/>
        </w:rPr>
        <w:lastRenderedPageBreak/>
        <w:t>participación de miembros de la Policía Federal, como Rodolfo Almirón y Juan Ramón Morales. Por eso, sus crímenes fueron posteriormente considerados delitos de lesa humanidad.</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 xml:space="preserve">El pensador italiano Antonio </w:t>
      </w:r>
      <w:proofErr w:type="spellStart"/>
      <w:r w:rsidRPr="003F7A58">
        <w:rPr>
          <w:rFonts w:ascii="Times New Roman" w:eastAsia="Times New Roman" w:hAnsi="Times New Roman" w:cs="Times New Roman"/>
          <w:sz w:val="24"/>
          <w:szCs w:val="24"/>
          <w:lang w:val="es-ES" w:eastAsia="es-ES"/>
        </w:rPr>
        <w:t>Gramsci</w:t>
      </w:r>
      <w:proofErr w:type="spellEnd"/>
      <w:r w:rsidRPr="003F7A58">
        <w:rPr>
          <w:rFonts w:ascii="Times New Roman" w:eastAsia="Times New Roman" w:hAnsi="Times New Roman" w:cs="Times New Roman"/>
          <w:sz w:val="24"/>
          <w:szCs w:val="24"/>
          <w:lang w:val="es-ES" w:eastAsia="es-ES"/>
        </w:rPr>
        <w:t xml:space="preserve"> utilizó el concepto de </w:t>
      </w:r>
      <w:proofErr w:type="spellStart"/>
      <w:r w:rsidRPr="003F7A58">
        <w:rPr>
          <w:rFonts w:ascii="Times New Roman" w:eastAsia="Times New Roman" w:hAnsi="Times New Roman" w:cs="Times New Roman"/>
          <w:i/>
          <w:iCs/>
          <w:sz w:val="24"/>
          <w:szCs w:val="24"/>
          <w:lang w:val="es-ES" w:eastAsia="es-ES"/>
        </w:rPr>
        <w:t>arditismo</w:t>
      </w:r>
      <w:proofErr w:type="spellEnd"/>
      <w:r w:rsidRPr="003F7A58">
        <w:rPr>
          <w:rFonts w:ascii="Times New Roman" w:eastAsia="Times New Roman" w:hAnsi="Times New Roman" w:cs="Times New Roman"/>
          <w:sz w:val="24"/>
          <w:szCs w:val="24"/>
          <w:lang w:val="es-ES" w:eastAsia="es-ES"/>
        </w:rPr>
        <w:t xml:space="preserve"> para explicar cómo ciertos grupos armados podían ejercer la violencia ilegal contra los movimientos populares, mientras el Estado mantenía una apariencia de legalidad. El término provenía de los </w:t>
      </w:r>
      <w:proofErr w:type="spellStart"/>
      <w:r w:rsidRPr="003F7A58">
        <w:rPr>
          <w:rFonts w:ascii="Times New Roman" w:eastAsia="Times New Roman" w:hAnsi="Times New Roman" w:cs="Times New Roman"/>
          <w:i/>
          <w:iCs/>
          <w:sz w:val="24"/>
          <w:szCs w:val="24"/>
          <w:lang w:val="es-ES" w:eastAsia="es-ES"/>
        </w:rPr>
        <w:t>arditi</w:t>
      </w:r>
      <w:proofErr w:type="spellEnd"/>
      <w:r w:rsidRPr="003F7A58">
        <w:rPr>
          <w:rFonts w:ascii="Times New Roman" w:eastAsia="Times New Roman" w:hAnsi="Times New Roman" w:cs="Times New Roman"/>
          <w:sz w:val="24"/>
          <w:szCs w:val="24"/>
          <w:lang w:val="es-ES" w:eastAsia="es-ES"/>
        </w:rPr>
        <w:t>, soldados italianos de asalto de la Primera Guerra Mundial, algunos de los cuales participaron posteriormente en el fascismo.</w:t>
      </w:r>
      <w:r>
        <w:rPr>
          <w:rFonts w:ascii="Times New Roman" w:eastAsia="Times New Roman" w:hAnsi="Times New Roman" w:cs="Times New Roman"/>
          <w:sz w:val="24"/>
          <w:szCs w:val="24"/>
          <w:lang w:val="es-ES" w:eastAsia="es-ES"/>
        </w:rPr>
        <w:t xml:space="preserve"> </w:t>
      </w:r>
      <w:r w:rsidRPr="003F7A58">
        <w:rPr>
          <w:rFonts w:ascii="Times New Roman" w:eastAsia="Times New Roman" w:hAnsi="Times New Roman" w:cs="Times New Roman"/>
          <w:sz w:val="24"/>
          <w:szCs w:val="24"/>
          <w:lang w:val="es-ES" w:eastAsia="es-ES"/>
        </w:rPr>
        <w:t>La Triple A puede interpretarse mediante ese concepto: mientras existía un gobierno constitucional, una organización clandestina vinculada con el Estado asesinaba a sus opositores políticos. De esta manera, contribuyó a extender la represión ilegal y anticipó algunas de las prácticas represivas que se generalizaron durante la dictadura militar iniciada en 1976.</w:t>
      </w:r>
    </w:p>
    <w:p w:rsidR="002D0E84" w:rsidRPr="002D0E84" w:rsidRDefault="002D0E84" w:rsidP="002D0E84">
      <w:pPr>
        <w:pStyle w:val="NormalWeb"/>
      </w:pPr>
      <w:bookmarkStart w:id="0" w:name="_GoBack"/>
      <w:bookmarkEnd w:id="0"/>
    </w:p>
    <w:p w:rsidR="00366DBE" w:rsidRDefault="00366DBE" w:rsidP="00381170">
      <w:pPr>
        <w:pStyle w:val="NormalWeb"/>
      </w:pPr>
    </w:p>
    <w:p w:rsidR="002D0E84" w:rsidRDefault="002D0E84" w:rsidP="00381170">
      <w:pPr>
        <w:pStyle w:val="NormalWeb"/>
      </w:pPr>
    </w:p>
    <w:p w:rsidR="002D0E84" w:rsidRDefault="002D0E84" w:rsidP="00381170">
      <w:pPr>
        <w:pStyle w:val="NormalWeb"/>
      </w:pPr>
    </w:p>
    <w:p w:rsidR="00381170" w:rsidRPr="00381170" w:rsidRDefault="00DC7369" w:rsidP="009431B2">
      <w:pPr>
        <w:pStyle w:val="NormalWeb"/>
      </w:pPr>
      <w:r>
        <w:t xml:space="preserve"> </w:t>
      </w:r>
    </w:p>
    <w:sectPr w:rsidR="00381170" w:rsidRPr="00381170" w:rsidSect="0038117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170"/>
    <w:rsid w:val="001C4F43"/>
    <w:rsid w:val="001D6226"/>
    <w:rsid w:val="00221D96"/>
    <w:rsid w:val="002C016C"/>
    <w:rsid w:val="002D0E84"/>
    <w:rsid w:val="002E621C"/>
    <w:rsid w:val="00364D18"/>
    <w:rsid w:val="00366DBE"/>
    <w:rsid w:val="00381170"/>
    <w:rsid w:val="003F7A58"/>
    <w:rsid w:val="00545B4F"/>
    <w:rsid w:val="00564E6A"/>
    <w:rsid w:val="00596DAA"/>
    <w:rsid w:val="005E0B98"/>
    <w:rsid w:val="00624157"/>
    <w:rsid w:val="0063272E"/>
    <w:rsid w:val="0066777B"/>
    <w:rsid w:val="008B2C32"/>
    <w:rsid w:val="009431B2"/>
    <w:rsid w:val="009756E9"/>
    <w:rsid w:val="00A90EA1"/>
    <w:rsid w:val="00B4087F"/>
    <w:rsid w:val="00D336D4"/>
    <w:rsid w:val="00D477EB"/>
    <w:rsid w:val="00DC7369"/>
    <w:rsid w:val="00DD5548"/>
    <w:rsid w:val="00E702A3"/>
    <w:rsid w:val="00F003B6"/>
    <w:rsid w:val="00F3588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0139"/>
  <w15:chartTrackingRefBased/>
  <w15:docId w15:val="{8C4CE00E-DA12-4263-886B-D5CD1C3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3811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381170"/>
    <w:rPr>
      <w:b/>
      <w:bCs/>
    </w:rPr>
  </w:style>
  <w:style w:type="character" w:styleId="Hyperlink">
    <w:name w:val="Hyperlink"/>
    <w:basedOn w:val="DefaultParagraphFont"/>
    <w:uiPriority w:val="99"/>
    <w:unhideWhenUsed/>
    <w:rsid w:val="00564E6A"/>
    <w:rPr>
      <w:color w:val="0563C1" w:themeColor="hyperlink"/>
      <w:u w:val="single"/>
    </w:rPr>
  </w:style>
  <w:style w:type="character" w:styleId="Emphasis">
    <w:name w:val="Emphasis"/>
    <w:basedOn w:val="DefaultParagraphFont"/>
    <w:uiPriority w:val="20"/>
    <w:qFormat/>
    <w:rsid w:val="00564E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057">
      <w:bodyDiv w:val="1"/>
      <w:marLeft w:val="0"/>
      <w:marRight w:val="0"/>
      <w:marTop w:val="0"/>
      <w:marBottom w:val="0"/>
      <w:divBdr>
        <w:top w:val="none" w:sz="0" w:space="0" w:color="auto"/>
        <w:left w:val="none" w:sz="0" w:space="0" w:color="auto"/>
        <w:bottom w:val="none" w:sz="0" w:space="0" w:color="auto"/>
        <w:right w:val="none" w:sz="0" w:space="0" w:color="auto"/>
      </w:divBdr>
    </w:div>
    <w:div w:id="135534697">
      <w:bodyDiv w:val="1"/>
      <w:marLeft w:val="0"/>
      <w:marRight w:val="0"/>
      <w:marTop w:val="0"/>
      <w:marBottom w:val="0"/>
      <w:divBdr>
        <w:top w:val="none" w:sz="0" w:space="0" w:color="auto"/>
        <w:left w:val="none" w:sz="0" w:space="0" w:color="auto"/>
        <w:bottom w:val="none" w:sz="0" w:space="0" w:color="auto"/>
        <w:right w:val="none" w:sz="0" w:space="0" w:color="auto"/>
      </w:divBdr>
    </w:div>
    <w:div w:id="143545478">
      <w:bodyDiv w:val="1"/>
      <w:marLeft w:val="0"/>
      <w:marRight w:val="0"/>
      <w:marTop w:val="0"/>
      <w:marBottom w:val="0"/>
      <w:divBdr>
        <w:top w:val="none" w:sz="0" w:space="0" w:color="auto"/>
        <w:left w:val="none" w:sz="0" w:space="0" w:color="auto"/>
        <w:bottom w:val="none" w:sz="0" w:space="0" w:color="auto"/>
        <w:right w:val="none" w:sz="0" w:space="0" w:color="auto"/>
      </w:divBdr>
    </w:div>
    <w:div w:id="256376922">
      <w:bodyDiv w:val="1"/>
      <w:marLeft w:val="0"/>
      <w:marRight w:val="0"/>
      <w:marTop w:val="0"/>
      <w:marBottom w:val="0"/>
      <w:divBdr>
        <w:top w:val="none" w:sz="0" w:space="0" w:color="auto"/>
        <w:left w:val="none" w:sz="0" w:space="0" w:color="auto"/>
        <w:bottom w:val="none" w:sz="0" w:space="0" w:color="auto"/>
        <w:right w:val="none" w:sz="0" w:space="0" w:color="auto"/>
      </w:divBdr>
    </w:div>
    <w:div w:id="271713080">
      <w:bodyDiv w:val="1"/>
      <w:marLeft w:val="0"/>
      <w:marRight w:val="0"/>
      <w:marTop w:val="0"/>
      <w:marBottom w:val="0"/>
      <w:divBdr>
        <w:top w:val="none" w:sz="0" w:space="0" w:color="auto"/>
        <w:left w:val="none" w:sz="0" w:space="0" w:color="auto"/>
        <w:bottom w:val="none" w:sz="0" w:space="0" w:color="auto"/>
        <w:right w:val="none" w:sz="0" w:space="0" w:color="auto"/>
      </w:divBdr>
    </w:div>
    <w:div w:id="408695126">
      <w:bodyDiv w:val="1"/>
      <w:marLeft w:val="0"/>
      <w:marRight w:val="0"/>
      <w:marTop w:val="0"/>
      <w:marBottom w:val="0"/>
      <w:divBdr>
        <w:top w:val="none" w:sz="0" w:space="0" w:color="auto"/>
        <w:left w:val="none" w:sz="0" w:space="0" w:color="auto"/>
        <w:bottom w:val="none" w:sz="0" w:space="0" w:color="auto"/>
        <w:right w:val="none" w:sz="0" w:space="0" w:color="auto"/>
      </w:divBdr>
    </w:div>
    <w:div w:id="449323528">
      <w:bodyDiv w:val="1"/>
      <w:marLeft w:val="0"/>
      <w:marRight w:val="0"/>
      <w:marTop w:val="0"/>
      <w:marBottom w:val="0"/>
      <w:divBdr>
        <w:top w:val="none" w:sz="0" w:space="0" w:color="auto"/>
        <w:left w:val="none" w:sz="0" w:space="0" w:color="auto"/>
        <w:bottom w:val="none" w:sz="0" w:space="0" w:color="auto"/>
        <w:right w:val="none" w:sz="0" w:space="0" w:color="auto"/>
      </w:divBdr>
    </w:div>
    <w:div w:id="468593640">
      <w:bodyDiv w:val="1"/>
      <w:marLeft w:val="0"/>
      <w:marRight w:val="0"/>
      <w:marTop w:val="0"/>
      <w:marBottom w:val="0"/>
      <w:divBdr>
        <w:top w:val="none" w:sz="0" w:space="0" w:color="auto"/>
        <w:left w:val="none" w:sz="0" w:space="0" w:color="auto"/>
        <w:bottom w:val="none" w:sz="0" w:space="0" w:color="auto"/>
        <w:right w:val="none" w:sz="0" w:space="0" w:color="auto"/>
      </w:divBdr>
    </w:div>
    <w:div w:id="529496928">
      <w:bodyDiv w:val="1"/>
      <w:marLeft w:val="0"/>
      <w:marRight w:val="0"/>
      <w:marTop w:val="0"/>
      <w:marBottom w:val="0"/>
      <w:divBdr>
        <w:top w:val="none" w:sz="0" w:space="0" w:color="auto"/>
        <w:left w:val="none" w:sz="0" w:space="0" w:color="auto"/>
        <w:bottom w:val="none" w:sz="0" w:space="0" w:color="auto"/>
        <w:right w:val="none" w:sz="0" w:space="0" w:color="auto"/>
      </w:divBdr>
    </w:div>
    <w:div w:id="615869729">
      <w:bodyDiv w:val="1"/>
      <w:marLeft w:val="0"/>
      <w:marRight w:val="0"/>
      <w:marTop w:val="0"/>
      <w:marBottom w:val="0"/>
      <w:divBdr>
        <w:top w:val="none" w:sz="0" w:space="0" w:color="auto"/>
        <w:left w:val="none" w:sz="0" w:space="0" w:color="auto"/>
        <w:bottom w:val="none" w:sz="0" w:space="0" w:color="auto"/>
        <w:right w:val="none" w:sz="0" w:space="0" w:color="auto"/>
      </w:divBdr>
    </w:div>
    <w:div w:id="628822188">
      <w:bodyDiv w:val="1"/>
      <w:marLeft w:val="0"/>
      <w:marRight w:val="0"/>
      <w:marTop w:val="0"/>
      <w:marBottom w:val="0"/>
      <w:divBdr>
        <w:top w:val="none" w:sz="0" w:space="0" w:color="auto"/>
        <w:left w:val="none" w:sz="0" w:space="0" w:color="auto"/>
        <w:bottom w:val="none" w:sz="0" w:space="0" w:color="auto"/>
        <w:right w:val="none" w:sz="0" w:space="0" w:color="auto"/>
      </w:divBdr>
    </w:div>
    <w:div w:id="686954110">
      <w:bodyDiv w:val="1"/>
      <w:marLeft w:val="0"/>
      <w:marRight w:val="0"/>
      <w:marTop w:val="0"/>
      <w:marBottom w:val="0"/>
      <w:divBdr>
        <w:top w:val="none" w:sz="0" w:space="0" w:color="auto"/>
        <w:left w:val="none" w:sz="0" w:space="0" w:color="auto"/>
        <w:bottom w:val="none" w:sz="0" w:space="0" w:color="auto"/>
        <w:right w:val="none" w:sz="0" w:space="0" w:color="auto"/>
      </w:divBdr>
    </w:div>
    <w:div w:id="1026906398">
      <w:bodyDiv w:val="1"/>
      <w:marLeft w:val="0"/>
      <w:marRight w:val="0"/>
      <w:marTop w:val="0"/>
      <w:marBottom w:val="0"/>
      <w:divBdr>
        <w:top w:val="none" w:sz="0" w:space="0" w:color="auto"/>
        <w:left w:val="none" w:sz="0" w:space="0" w:color="auto"/>
        <w:bottom w:val="none" w:sz="0" w:space="0" w:color="auto"/>
        <w:right w:val="none" w:sz="0" w:space="0" w:color="auto"/>
      </w:divBdr>
    </w:div>
    <w:div w:id="1061565638">
      <w:bodyDiv w:val="1"/>
      <w:marLeft w:val="0"/>
      <w:marRight w:val="0"/>
      <w:marTop w:val="0"/>
      <w:marBottom w:val="0"/>
      <w:divBdr>
        <w:top w:val="none" w:sz="0" w:space="0" w:color="auto"/>
        <w:left w:val="none" w:sz="0" w:space="0" w:color="auto"/>
        <w:bottom w:val="none" w:sz="0" w:space="0" w:color="auto"/>
        <w:right w:val="none" w:sz="0" w:space="0" w:color="auto"/>
      </w:divBdr>
    </w:div>
    <w:div w:id="1073510817">
      <w:bodyDiv w:val="1"/>
      <w:marLeft w:val="0"/>
      <w:marRight w:val="0"/>
      <w:marTop w:val="0"/>
      <w:marBottom w:val="0"/>
      <w:divBdr>
        <w:top w:val="none" w:sz="0" w:space="0" w:color="auto"/>
        <w:left w:val="none" w:sz="0" w:space="0" w:color="auto"/>
        <w:bottom w:val="none" w:sz="0" w:space="0" w:color="auto"/>
        <w:right w:val="none" w:sz="0" w:space="0" w:color="auto"/>
      </w:divBdr>
    </w:div>
    <w:div w:id="1390037435">
      <w:bodyDiv w:val="1"/>
      <w:marLeft w:val="0"/>
      <w:marRight w:val="0"/>
      <w:marTop w:val="0"/>
      <w:marBottom w:val="0"/>
      <w:divBdr>
        <w:top w:val="none" w:sz="0" w:space="0" w:color="auto"/>
        <w:left w:val="none" w:sz="0" w:space="0" w:color="auto"/>
        <w:bottom w:val="none" w:sz="0" w:space="0" w:color="auto"/>
        <w:right w:val="none" w:sz="0" w:space="0" w:color="auto"/>
      </w:divBdr>
    </w:div>
    <w:div w:id="1566329267">
      <w:bodyDiv w:val="1"/>
      <w:marLeft w:val="0"/>
      <w:marRight w:val="0"/>
      <w:marTop w:val="0"/>
      <w:marBottom w:val="0"/>
      <w:divBdr>
        <w:top w:val="none" w:sz="0" w:space="0" w:color="auto"/>
        <w:left w:val="none" w:sz="0" w:space="0" w:color="auto"/>
        <w:bottom w:val="none" w:sz="0" w:space="0" w:color="auto"/>
        <w:right w:val="none" w:sz="0" w:space="0" w:color="auto"/>
      </w:divBdr>
    </w:div>
    <w:div w:id="1627462648">
      <w:bodyDiv w:val="1"/>
      <w:marLeft w:val="0"/>
      <w:marRight w:val="0"/>
      <w:marTop w:val="0"/>
      <w:marBottom w:val="0"/>
      <w:divBdr>
        <w:top w:val="none" w:sz="0" w:space="0" w:color="auto"/>
        <w:left w:val="none" w:sz="0" w:space="0" w:color="auto"/>
        <w:bottom w:val="none" w:sz="0" w:space="0" w:color="auto"/>
        <w:right w:val="none" w:sz="0" w:space="0" w:color="auto"/>
      </w:divBdr>
    </w:div>
    <w:div w:id="1646857947">
      <w:bodyDiv w:val="1"/>
      <w:marLeft w:val="0"/>
      <w:marRight w:val="0"/>
      <w:marTop w:val="0"/>
      <w:marBottom w:val="0"/>
      <w:divBdr>
        <w:top w:val="none" w:sz="0" w:space="0" w:color="auto"/>
        <w:left w:val="none" w:sz="0" w:space="0" w:color="auto"/>
        <w:bottom w:val="none" w:sz="0" w:space="0" w:color="auto"/>
        <w:right w:val="none" w:sz="0" w:space="0" w:color="auto"/>
      </w:divBdr>
    </w:div>
    <w:div w:id="1837725835">
      <w:bodyDiv w:val="1"/>
      <w:marLeft w:val="0"/>
      <w:marRight w:val="0"/>
      <w:marTop w:val="0"/>
      <w:marBottom w:val="0"/>
      <w:divBdr>
        <w:top w:val="none" w:sz="0" w:space="0" w:color="auto"/>
        <w:left w:val="none" w:sz="0" w:space="0" w:color="auto"/>
        <w:bottom w:val="none" w:sz="0" w:space="0" w:color="auto"/>
        <w:right w:val="none" w:sz="0" w:space="0" w:color="auto"/>
      </w:divBdr>
    </w:div>
    <w:div w:id="1925067806">
      <w:bodyDiv w:val="1"/>
      <w:marLeft w:val="0"/>
      <w:marRight w:val="0"/>
      <w:marTop w:val="0"/>
      <w:marBottom w:val="0"/>
      <w:divBdr>
        <w:top w:val="none" w:sz="0" w:space="0" w:color="auto"/>
        <w:left w:val="none" w:sz="0" w:space="0" w:color="auto"/>
        <w:bottom w:val="none" w:sz="0" w:space="0" w:color="auto"/>
        <w:right w:val="none" w:sz="0" w:space="0" w:color="auto"/>
      </w:divBdr>
    </w:div>
    <w:div w:id="1983339360">
      <w:bodyDiv w:val="1"/>
      <w:marLeft w:val="0"/>
      <w:marRight w:val="0"/>
      <w:marTop w:val="0"/>
      <w:marBottom w:val="0"/>
      <w:divBdr>
        <w:top w:val="none" w:sz="0" w:space="0" w:color="auto"/>
        <w:left w:val="none" w:sz="0" w:space="0" w:color="auto"/>
        <w:bottom w:val="none" w:sz="0" w:space="0" w:color="auto"/>
        <w:right w:val="none" w:sz="0" w:space="0" w:color="auto"/>
      </w:divBdr>
    </w:div>
    <w:div w:id="2004966916">
      <w:bodyDiv w:val="1"/>
      <w:marLeft w:val="0"/>
      <w:marRight w:val="0"/>
      <w:marTop w:val="0"/>
      <w:marBottom w:val="0"/>
      <w:divBdr>
        <w:top w:val="none" w:sz="0" w:space="0" w:color="auto"/>
        <w:left w:val="none" w:sz="0" w:space="0" w:color="auto"/>
        <w:bottom w:val="none" w:sz="0" w:space="0" w:color="auto"/>
        <w:right w:val="none" w:sz="0" w:space="0" w:color="auto"/>
      </w:divBdr>
    </w:div>
    <w:div w:id="2050568314">
      <w:bodyDiv w:val="1"/>
      <w:marLeft w:val="0"/>
      <w:marRight w:val="0"/>
      <w:marTop w:val="0"/>
      <w:marBottom w:val="0"/>
      <w:divBdr>
        <w:top w:val="none" w:sz="0" w:space="0" w:color="auto"/>
        <w:left w:val="none" w:sz="0" w:space="0" w:color="auto"/>
        <w:bottom w:val="none" w:sz="0" w:space="0" w:color="auto"/>
        <w:right w:val="none" w:sz="0" w:space="0" w:color="auto"/>
      </w:divBdr>
    </w:div>
    <w:div w:id="2102138891">
      <w:bodyDiv w:val="1"/>
      <w:marLeft w:val="0"/>
      <w:marRight w:val="0"/>
      <w:marTop w:val="0"/>
      <w:marBottom w:val="0"/>
      <w:divBdr>
        <w:top w:val="none" w:sz="0" w:space="0" w:color="auto"/>
        <w:left w:val="none" w:sz="0" w:space="0" w:color="auto"/>
        <w:bottom w:val="none" w:sz="0" w:space="0" w:color="auto"/>
        <w:right w:val="none" w:sz="0" w:space="0" w:color="auto"/>
      </w:divBdr>
    </w:div>
    <w:div w:id="2128236371">
      <w:bodyDiv w:val="1"/>
      <w:marLeft w:val="0"/>
      <w:marRight w:val="0"/>
      <w:marTop w:val="0"/>
      <w:marBottom w:val="0"/>
      <w:divBdr>
        <w:top w:val="none" w:sz="0" w:space="0" w:color="auto"/>
        <w:left w:val="none" w:sz="0" w:space="0" w:color="auto"/>
        <w:bottom w:val="none" w:sz="0" w:space="0" w:color="auto"/>
        <w:right w:val="none" w:sz="0" w:space="0" w:color="auto"/>
      </w:divBdr>
    </w:div>
    <w:div w:id="213648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g9_tUwhHpH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1972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9</cp:revision>
  <dcterms:created xsi:type="dcterms:W3CDTF">2026-10-12T03:14:00Z</dcterms:created>
  <dcterms:modified xsi:type="dcterms:W3CDTF">2026-10-12T21:00:00Z</dcterms:modified>
</cp:coreProperties>
</file>