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524" w:rsidRPr="00381170" w:rsidRDefault="00381170" w:rsidP="00381170">
      <w:pPr>
        <w:pBdr>
          <w:top w:val="single" w:sz="4" w:space="1" w:color="auto"/>
          <w:left w:val="single" w:sz="4" w:space="4" w:color="auto"/>
          <w:bottom w:val="single" w:sz="4" w:space="1" w:color="auto"/>
          <w:right w:val="single" w:sz="4" w:space="4" w:color="auto"/>
        </w:pBdr>
        <w:rPr>
          <w:rFonts w:ascii="Times New Roman" w:hAnsi="Times New Roman" w:cs="Times New Roman"/>
          <w:b/>
          <w:sz w:val="24"/>
        </w:rPr>
      </w:pPr>
      <w:r w:rsidRPr="00381170">
        <w:rPr>
          <w:rFonts w:ascii="Times New Roman" w:hAnsi="Times New Roman" w:cs="Times New Roman"/>
          <w:b/>
          <w:sz w:val="24"/>
        </w:rPr>
        <w:t>LA ARGENTINA MOVILIZADA: EL RETORNO DEL PERONISMO Y LA VIOLENCIA POLÍTICA (1973-1976)</w:t>
      </w:r>
      <w:r w:rsidR="009431B2">
        <w:rPr>
          <w:rFonts w:ascii="Times New Roman" w:hAnsi="Times New Roman" w:cs="Times New Roman"/>
          <w:b/>
          <w:sz w:val="24"/>
        </w:rPr>
        <w:t xml:space="preserve">. PARTE </w:t>
      </w:r>
      <w:r w:rsidR="00B4087F">
        <w:rPr>
          <w:rFonts w:ascii="Times New Roman" w:hAnsi="Times New Roman" w:cs="Times New Roman"/>
          <w:b/>
          <w:sz w:val="24"/>
        </w:rPr>
        <w:t>I</w:t>
      </w:r>
      <w:r w:rsidR="002B1A0B">
        <w:rPr>
          <w:rFonts w:ascii="Times New Roman" w:hAnsi="Times New Roman" w:cs="Times New Roman"/>
          <w:b/>
          <w:sz w:val="24"/>
        </w:rPr>
        <w:t>I</w:t>
      </w:r>
      <w:r w:rsidR="009431B2">
        <w:rPr>
          <w:rFonts w:ascii="Times New Roman" w:hAnsi="Times New Roman" w:cs="Times New Roman"/>
          <w:b/>
          <w:sz w:val="24"/>
        </w:rPr>
        <w:t xml:space="preserve">I. </w:t>
      </w:r>
    </w:p>
    <w:p w:rsidR="00381170" w:rsidRPr="00381170" w:rsidRDefault="00381170" w:rsidP="00381170">
      <w:pPr>
        <w:rPr>
          <w:rFonts w:ascii="Times New Roman" w:hAnsi="Times New Roman" w:cs="Times New Roman"/>
          <w:sz w:val="2"/>
        </w:rPr>
      </w:pPr>
    </w:p>
    <w:p w:rsidR="00221D96" w:rsidRDefault="00381170" w:rsidP="00381170">
      <w:pPr>
        <w:pStyle w:val="NormalWeb"/>
        <w:rPr>
          <w:rStyle w:val="Strong"/>
        </w:rPr>
      </w:pPr>
      <w:r w:rsidRPr="00381170">
        <w:rPr>
          <w:b/>
        </w:rPr>
        <w:t>FUENTE 1:</w:t>
      </w:r>
      <w:r w:rsidRPr="00381170">
        <w:t xml:space="preserve"> </w:t>
      </w:r>
      <w:r w:rsidR="00221D96">
        <w:rPr>
          <w:rStyle w:val="Strong"/>
        </w:rPr>
        <w:t>Fragmentos de la obra “</w:t>
      </w:r>
      <w:r w:rsidR="002B1A0B">
        <w:rPr>
          <w:rStyle w:val="Strong"/>
        </w:rPr>
        <w:t>Perón, una biografía</w:t>
      </w:r>
      <w:r w:rsidR="00221D96">
        <w:rPr>
          <w:rStyle w:val="Strong"/>
        </w:rPr>
        <w:t xml:space="preserve">”, </w:t>
      </w:r>
      <w:r w:rsidR="002B1A0B">
        <w:rPr>
          <w:rStyle w:val="Strong"/>
        </w:rPr>
        <w:t>Joseph A. Page</w:t>
      </w:r>
      <w:r w:rsidR="00221D96">
        <w:rPr>
          <w:rStyle w:val="Strong"/>
        </w:rPr>
        <w:t xml:space="preserve">, </w:t>
      </w:r>
      <w:r w:rsidR="002B1A0B">
        <w:rPr>
          <w:rStyle w:val="Strong"/>
        </w:rPr>
        <w:t xml:space="preserve">Grijalbo </w:t>
      </w:r>
      <w:proofErr w:type="spellStart"/>
      <w:r w:rsidR="002B1A0B">
        <w:rPr>
          <w:rStyle w:val="Strong"/>
        </w:rPr>
        <w:t>Mondadori</w:t>
      </w:r>
      <w:proofErr w:type="spellEnd"/>
      <w:r w:rsidR="002B1A0B">
        <w:rPr>
          <w:rStyle w:val="Strong"/>
        </w:rPr>
        <w:t>, 1999</w:t>
      </w:r>
      <w:r w:rsidR="00221D96">
        <w:rPr>
          <w:rStyle w:val="Strong"/>
        </w:rPr>
        <w:t xml:space="preserve">. </w:t>
      </w:r>
    </w:p>
    <w:p w:rsidR="00381170" w:rsidRPr="00381170" w:rsidRDefault="00221D96" w:rsidP="00381170">
      <w:pPr>
        <w:pStyle w:val="NormalWeb"/>
      </w:pPr>
      <w:r>
        <w:rPr>
          <w:rStyle w:val="Strong"/>
        </w:rPr>
        <w:t xml:space="preserve">Fragmento 1: </w:t>
      </w:r>
      <w:r w:rsidR="002B1A0B">
        <w:rPr>
          <w:rStyle w:val="Strong"/>
        </w:rPr>
        <w:t>La derecha peronista gana el escenario político con la conformidad de Perón</w:t>
      </w:r>
      <w:r w:rsidR="00381170" w:rsidRPr="00381170">
        <w:t xml:space="preserve"> </w:t>
      </w:r>
    </w:p>
    <w:p w:rsidR="002B1A0B" w:rsidRDefault="002B1A0B" w:rsidP="002B1A0B">
      <w:pPr>
        <w:spacing w:before="100" w:beforeAutospacing="1" w:after="100" w:afterAutospacing="1" w:line="240" w:lineRule="auto"/>
        <w:rPr>
          <w:rFonts w:ascii="Times New Roman" w:eastAsia="Times New Roman" w:hAnsi="Times New Roman" w:cs="Times New Roman"/>
          <w:sz w:val="24"/>
          <w:szCs w:val="24"/>
          <w:lang w:val="es-ES" w:eastAsia="es-ES"/>
        </w:rPr>
      </w:pPr>
      <w:r w:rsidRPr="002B1A0B">
        <w:rPr>
          <w:rFonts w:ascii="Times New Roman" w:eastAsia="Times New Roman" w:hAnsi="Times New Roman" w:cs="Times New Roman"/>
          <w:sz w:val="24"/>
          <w:szCs w:val="24"/>
          <w:lang w:val="es-ES" w:eastAsia="es-ES"/>
        </w:rPr>
        <w:t xml:space="preserve">La izquierda combatiente del peronismo comenzó a repetir la acusación de que Perón era un prisionero de su círculo íntimo y de que el principal villano era López </w:t>
      </w:r>
      <w:proofErr w:type="spellStart"/>
      <w:r w:rsidRPr="002B1A0B">
        <w:rPr>
          <w:rFonts w:ascii="Times New Roman" w:eastAsia="Times New Roman" w:hAnsi="Times New Roman" w:cs="Times New Roman"/>
          <w:sz w:val="24"/>
          <w:szCs w:val="24"/>
          <w:lang w:val="es-ES" w:eastAsia="es-ES"/>
        </w:rPr>
        <w:t>Rega</w:t>
      </w:r>
      <w:proofErr w:type="spellEnd"/>
      <w:r w:rsidRPr="002B1A0B">
        <w:rPr>
          <w:rFonts w:ascii="Times New Roman" w:eastAsia="Times New Roman" w:hAnsi="Times New Roman" w:cs="Times New Roman"/>
          <w:sz w:val="24"/>
          <w:szCs w:val="24"/>
          <w:lang w:val="es-ES" w:eastAsia="es-ES"/>
        </w:rPr>
        <w:t xml:space="preserve">. El 21 de julio la JP organizó una marcha hacia Gaspar Campos para romper el cerco del brujo, como diría el titular de El descamisado. Unos 30.000 manifestantes disciplinados cantaron los característicos eslóganes revolucionarios, suplantando aquel que nombraba a la patria socialista por otro que decía el socialismo nacional, como quiere el general. También llamaron a López </w:t>
      </w:r>
      <w:proofErr w:type="spellStart"/>
      <w:r w:rsidRPr="002B1A0B">
        <w:rPr>
          <w:rFonts w:ascii="Times New Roman" w:eastAsia="Times New Roman" w:hAnsi="Times New Roman" w:cs="Times New Roman"/>
          <w:sz w:val="24"/>
          <w:szCs w:val="24"/>
          <w:lang w:val="es-ES" w:eastAsia="es-ES"/>
        </w:rPr>
        <w:t>Rega</w:t>
      </w:r>
      <w:proofErr w:type="spellEnd"/>
      <w:r w:rsidRPr="002B1A0B">
        <w:rPr>
          <w:rFonts w:ascii="Times New Roman" w:eastAsia="Times New Roman" w:hAnsi="Times New Roman" w:cs="Times New Roman"/>
          <w:sz w:val="24"/>
          <w:szCs w:val="24"/>
          <w:lang w:val="es-ES" w:eastAsia="es-ES"/>
        </w:rPr>
        <w:t xml:space="preserve"> un hijo de puta. Perón se reunió con un cuarteto de la JP y conversó con los líderes durante cerca de dos horas, aceptando aparentemente su pedido de acceso directo y sin intermediarios en lo futuro. Luego la oficina de prensa del gobierno anunciaría que Perón había designado una persona para mantener el contacto con la juventud peronista y que ese sujeto era José López </w:t>
      </w:r>
      <w:proofErr w:type="spellStart"/>
      <w:r w:rsidRPr="002B1A0B">
        <w:rPr>
          <w:rFonts w:ascii="Times New Roman" w:eastAsia="Times New Roman" w:hAnsi="Times New Roman" w:cs="Times New Roman"/>
          <w:sz w:val="24"/>
          <w:szCs w:val="24"/>
          <w:lang w:val="es-ES" w:eastAsia="es-ES"/>
        </w:rPr>
        <w:t>Rega</w:t>
      </w:r>
      <w:proofErr w:type="spellEnd"/>
      <w:r w:rsidRPr="002B1A0B">
        <w:rPr>
          <w:rFonts w:ascii="Times New Roman" w:eastAsia="Times New Roman" w:hAnsi="Times New Roman" w:cs="Times New Roman"/>
          <w:sz w:val="24"/>
          <w:szCs w:val="24"/>
          <w:lang w:val="es-ES" w:eastAsia="es-ES"/>
        </w:rPr>
        <w:t xml:space="preserve">. Los militantes de la JP no encontraron otra explicación mejor que asegurar que Perón no había tenido nada que ver con la designación. Pero el conductor guardó silencio y en menos de una semana López </w:t>
      </w:r>
      <w:proofErr w:type="spellStart"/>
      <w:r w:rsidRPr="002B1A0B">
        <w:rPr>
          <w:rFonts w:ascii="Times New Roman" w:eastAsia="Times New Roman" w:hAnsi="Times New Roman" w:cs="Times New Roman"/>
          <w:sz w:val="24"/>
          <w:szCs w:val="24"/>
          <w:lang w:val="es-ES" w:eastAsia="es-ES"/>
        </w:rPr>
        <w:t>Rega</w:t>
      </w:r>
      <w:proofErr w:type="spellEnd"/>
      <w:r w:rsidRPr="002B1A0B">
        <w:rPr>
          <w:rFonts w:ascii="Times New Roman" w:eastAsia="Times New Roman" w:hAnsi="Times New Roman" w:cs="Times New Roman"/>
          <w:sz w:val="24"/>
          <w:szCs w:val="24"/>
          <w:lang w:val="es-ES" w:eastAsia="es-ES"/>
        </w:rPr>
        <w:t xml:space="preserve"> había iniciado el diálogo con los representantes de un nuevo grupo llamado Juventud Peronista de la República Argentina, que estaba encabezado por un funcionario no muy conocido del Ministerio de Bienestar Social llamado Julio </w:t>
      </w:r>
      <w:proofErr w:type="spellStart"/>
      <w:r w:rsidRPr="002B1A0B">
        <w:rPr>
          <w:rFonts w:ascii="Times New Roman" w:eastAsia="Times New Roman" w:hAnsi="Times New Roman" w:cs="Times New Roman"/>
          <w:sz w:val="24"/>
          <w:szCs w:val="24"/>
          <w:lang w:val="es-ES" w:eastAsia="es-ES"/>
        </w:rPr>
        <w:t>Yessi</w:t>
      </w:r>
      <w:proofErr w:type="spellEnd"/>
      <w:r w:rsidRPr="002B1A0B">
        <w:rPr>
          <w:rFonts w:ascii="Times New Roman" w:eastAsia="Times New Roman" w:hAnsi="Times New Roman" w:cs="Times New Roman"/>
          <w:sz w:val="24"/>
          <w:szCs w:val="24"/>
          <w:lang w:val="es-ES" w:eastAsia="es-ES"/>
        </w:rPr>
        <w:t>. La organización había sido cortada con la misma tijera que la juventud sindical peronista. Había sido creada para servir de contrapeso a la organización de izquierda y juraba respetar la verticalidad. La jugada era increíblemente parecida a la forma en que los nuevos gremios leales a Perón habían adquirido personería en los años de 1944 y 1945.</w:t>
      </w:r>
    </w:p>
    <w:p w:rsidR="00E805A4" w:rsidRPr="002B1A0B" w:rsidRDefault="00E805A4" w:rsidP="002B1A0B">
      <w:pPr>
        <w:spacing w:before="100" w:beforeAutospacing="1" w:after="100" w:afterAutospacing="1" w:line="240" w:lineRule="auto"/>
        <w:rPr>
          <w:rFonts w:ascii="Times New Roman" w:eastAsia="Times New Roman" w:hAnsi="Times New Roman" w:cs="Times New Roman"/>
          <w:sz w:val="24"/>
          <w:szCs w:val="24"/>
          <w:lang w:val="es-ES" w:eastAsia="es-ES"/>
        </w:rPr>
      </w:pPr>
      <w:r w:rsidRPr="00E805A4">
        <w:rPr>
          <w:rFonts w:ascii="Times New Roman" w:eastAsia="Times New Roman" w:hAnsi="Times New Roman" w:cs="Times New Roman"/>
          <w:sz w:val="24"/>
          <w:szCs w:val="24"/>
          <w:lang w:val="es-ES" w:eastAsia="es-ES"/>
        </w:rPr>
        <w:t xml:space="preserve">El gobierno convocó nuevamente a elecciones presidenciales para el 23 de septiembre. Inmediatamente se comenzaría a hablar de la fórmula Perón-Balbín como nueva posibilidad </w:t>
      </w:r>
      <w:r>
        <w:rPr>
          <w:rFonts w:ascii="Times New Roman" w:eastAsia="Times New Roman" w:hAnsi="Times New Roman" w:cs="Times New Roman"/>
          <w:sz w:val="24"/>
          <w:szCs w:val="24"/>
          <w:lang w:val="es-ES" w:eastAsia="es-ES"/>
        </w:rPr>
        <w:t xml:space="preserve">de realización del sueño dorado […] La candidatura de Balbín a la vicepresidencia no despertaba mucho entusiasmo en las filas del peronismo […] </w:t>
      </w:r>
      <w:r w:rsidRPr="00E805A4">
        <w:rPr>
          <w:rFonts w:ascii="Times New Roman" w:eastAsia="Times New Roman" w:hAnsi="Times New Roman" w:cs="Times New Roman"/>
          <w:sz w:val="24"/>
          <w:szCs w:val="24"/>
          <w:lang w:val="es-ES" w:eastAsia="es-ES"/>
        </w:rPr>
        <w:t>El día 4 de agosto los delegados del partido peronista colmaron el elegante Teatro Cervantes de la ciudad de Buenos Aires para elegir a sus candidatos. La convención reunía, incluía al ala política del partido y la rama gremial, dominada por la CGT. La juventud peronista había sido excluida. No existía la más mínima duda de que Perón iba a ser elegido por aclamación. El punto importante que todavía quedaba sin resolver era qué hacer re</w:t>
      </w:r>
      <w:r>
        <w:rPr>
          <w:rFonts w:ascii="Times New Roman" w:eastAsia="Times New Roman" w:hAnsi="Times New Roman" w:cs="Times New Roman"/>
          <w:sz w:val="24"/>
          <w:szCs w:val="24"/>
          <w:lang w:val="es-ES" w:eastAsia="es-ES"/>
        </w:rPr>
        <w:t xml:space="preserve">specto del compañero de fórmula […] </w:t>
      </w:r>
      <w:r w:rsidRPr="00E805A4">
        <w:rPr>
          <w:rFonts w:ascii="Times New Roman" w:eastAsia="Times New Roman" w:hAnsi="Times New Roman" w:cs="Times New Roman"/>
          <w:sz w:val="24"/>
          <w:szCs w:val="24"/>
          <w:lang w:val="es-ES" w:eastAsia="es-ES"/>
        </w:rPr>
        <w:t>Un delegado se puso de pie y propuso a Isabel como candidata a la vicepresidencia. El rumor de que ella pretendía el cargo nunca había sido desmentido. Cómo no iba a contar con la aprobación de Perón, quién iba a osar plantarse frente a la mujer del conductor. La asamblea aprobó la moción por exclamación. La duración de todo el trámite no fue más de veinticinco minutos. El teniente general se mantuvo alejado de la convención y se abstuvo de dar su consentimiento. Isabel, sin embargo, no imitó su discreción. Se apresuró a dirigirse al teatro para declarar su aceptación incondicional de la candidatura y aseguró que Perón siempre hacía lo que el pueblo quería.</w:t>
      </w:r>
    </w:p>
    <w:p w:rsidR="00E805A4" w:rsidRPr="0080570A" w:rsidRDefault="0080570A" w:rsidP="00366DBE">
      <w:pPr>
        <w:pStyle w:val="NormalWeb"/>
        <w:rPr>
          <w:b/>
        </w:rPr>
      </w:pPr>
      <w:r w:rsidRPr="0080570A">
        <w:rPr>
          <w:b/>
        </w:rPr>
        <w:t xml:space="preserve">Fragmento </w:t>
      </w:r>
      <w:r w:rsidR="00031667">
        <w:rPr>
          <w:b/>
        </w:rPr>
        <w:t>2</w:t>
      </w:r>
      <w:r w:rsidRPr="0080570A">
        <w:rPr>
          <w:b/>
        </w:rPr>
        <w:t xml:space="preserve">: </w:t>
      </w:r>
      <w:r>
        <w:rPr>
          <w:b/>
        </w:rPr>
        <w:t>La izquierda peronista en retroceso y la salud de Perón en deterioro acelerado</w:t>
      </w:r>
    </w:p>
    <w:p w:rsidR="0080570A" w:rsidRDefault="0080570A" w:rsidP="00366DBE">
      <w:pPr>
        <w:pStyle w:val="NormalWeb"/>
      </w:pPr>
      <w:r w:rsidRPr="0080570A">
        <w:t xml:space="preserve">La designación de Isabel fue un duro golpe que aturdió a la juventud peronista. El desastre que había tenido lugar en </w:t>
      </w:r>
      <w:proofErr w:type="spellStart"/>
      <w:r w:rsidRPr="0080570A">
        <w:t>Ezeiza</w:t>
      </w:r>
      <w:proofErr w:type="spellEnd"/>
      <w:r w:rsidRPr="0080570A">
        <w:t xml:space="preserve">, la destitución de </w:t>
      </w:r>
      <w:proofErr w:type="spellStart"/>
      <w:r w:rsidRPr="0080570A">
        <w:t>Cámpora</w:t>
      </w:r>
      <w:proofErr w:type="spellEnd"/>
      <w:r w:rsidRPr="0080570A">
        <w:t xml:space="preserve"> y ahora la investidura presidencial recayendo sobre alguien que, se sabía, estaba bajo la influencia del detestado López </w:t>
      </w:r>
      <w:proofErr w:type="spellStart"/>
      <w:r w:rsidRPr="0080570A">
        <w:t>Rega</w:t>
      </w:r>
      <w:proofErr w:type="spellEnd"/>
      <w:r w:rsidRPr="0080570A">
        <w:t xml:space="preserve">, eran una seguidilla de derrotas </w:t>
      </w:r>
      <w:r>
        <w:t>para la izquierda del peronismo [</w:t>
      </w:r>
      <w:r w:rsidRPr="0080570A">
        <w:t>No obstante ello</w:t>
      </w:r>
      <w:r>
        <w:t>]</w:t>
      </w:r>
      <w:r w:rsidRPr="0080570A">
        <w:t xml:space="preserve"> los jóvenes combatientes reafirmaron su lealtad a Perón. </w:t>
      </w:r>
    </w:p>
    <w:p w:rsidR="00E805A4" w:rsidRDefault="0080570A" w:rsidP="00366DBE">
      <w:pPr>
        <w:pStyle w:val="NormalWeb"/>
      </w:pPr>
      <w:r>
        <w:lastRenderedPageBreak/>
        <w:t>H</w:t>
      </w:r>
      <w:r w:rsidRPr="0080570A">
        <w:t xml:space="preserve">abría una serie de racionalizaciones, la más ingenua de las cuales decía que estaban siendo testigos de la repetición de un hecho histórico y que Isabel iba a emular a Evita y a renunciar a su puesto en la fórmula. Hasta hubo quienes esperaron oír ese anuncio durante una concentración organizada por la JP el día 22 de agosto de 1973 para conmemorar la masacre de </w:t>
      </w:r>
      <w:proofErr w:type="spellStart"/>
      <w:r w:rsidRPr="0080570A">
        <w:t>Trelew</w:t>
      </w:r>
      <w:proofErr w:type="spellEnd"/>
      <w:r w:rsidRPr="0080570A">
        <w:t xml:space="preserve"> y el renunciamiento de Evita. </w:t>
      </w:r>
      <w:r w:rsidR="00031667">
        <w:t xml:space="preserve"> </w:t>
      </w:r>
      <w:r w:rsidRPr="0080570A">
        <w:t>Juan Perón aceptó formalmente la candidatura de su partido el 18 de agosto. Al comenzar su discurso aseguró a los delegados que estaba perfectamente consciente de las exigencias físicas y mentales q</w:t>
      </w:r>
      <w:r>
        <w:t>ue le demandaría la presidencia [n</w:t>
      </w:r>
      <w:r w:rsidRPr="0080570A">
        <w:t>o obstante lo cual</w:t>
      </w:r>
      <w:r>
        <w:t>]</w:t>
      </w:r>
      <w:r w:rsidRPr="0080570A">
        <w:t xml:space="preserve"> dio lectura a un documento que llevaba las firmas de </w:t>
      </w:r>
      <w:proofErr w:type="spellStart"/>
      <w:r w:rsidRPr="0080570A">
        <w:t>Cossio</w:t>
      </w:r>
      <w:proofErr w:type="spellEnd"/>
      <w:r w:rsidRPr="0080570A">
        <w:t xml:space="preserve"> </w:t>
      </w:r>
      <w:proofErr w:type="spellStart"/>
      <w:r w:rsidRPr="0080570A">
        <w:t>y</w:t>
      </w:r>
      <w:proofErr w:type="spellEnd"/>
      <w:r w:rsidRPr="0080570A">
        <w:t xml:space="preserve"> italiana, sus médicos personales, en el cual se afirmaba que estaba totalmente recuperado de la dolencia que había</w:t>
      </w:r>
      <w:r>
        <w:t xml:space="preserve"> sufrido el 16 de junio […]</w:t>
      </w:r>
    </w:p>
    <w:p w:rsidR="0080570A" w:rsidRDefault="00496386" w:rsidP="00366DBE">
      <w:pPr>
        <w:pStyle w:val="NormalWeb"/>
      </w:pPr>
      <w:r w:rsidRPr="00496386">
        <w:t>Un informe de la CIA sobre la salud de Perón, escrito en esos días, daba cuenta de una situación bastante diferente. Su problema del corazón era crónico y requería</w:t>
      </w:r>
      <w:r>
        <w:t xml:space="preserve"> </w:t>
      </w:r>
      <w:r w:rsidRPr="00496386">
        <w:t>de</w:t>
      </w:r>
      <w:r>
        <w:t>l</w:t>
      </w:r>
      <w:r w:rsidRPr="00496386">
        <w:t xml:space="preserve"> uso de drogas del tipo </w:t>
      </w:r>
      <w:bookmarkStart w:id="0" w:name="_GoBack"/>
      <w:bookmarkEnd w:id="0"/>
      <w:r w:rsidRPr="00496386">
        <w:t xml:space="preserve">digital para controlar la fibrilación o rápidas contracciones del músculo cardíaco y de tabletas de nitroglicerina para calmar los dolores </w:t>
      </w:r>
      <w:proofErr w:type="spellStart"/>
      <w:r w:rsidRPr="00496386">
        <w:t>anginales</w:t>
      </w:r>
      <w:proofErr w:type="spellEnd"/>
      <w:r w:rsidRPr="00496386">
        <w:t>. También sufría una dolencia vascular bastante severa que le producía dolores cuando caminaba o subía escaleras. Además, la sangre en la orina de tanto en tanto reaparecía. El informe citaba una opinión anónima que afirmaba que Perón podría vivir entre un año o un año y medio más.</w:t>
      </w:r>
    </w:p>
    <w:p w:rsidR="00564E6A" w:rsidRDefault="00564E6A" w:rsidP="00366DBE">
      <w:pPr>
        <w:pStyle w:val="NormalWeb"/>
        <w:rPr>
          <w:b/>
        </w:rPr>
      </w:pPr>
      <w:r>
        <w:rPr>
          <w:b/>
        </w:rPr>
        <w:t xml:space="preserve">FUENTE 2: </w:t>
      </w:r>
      <w:r w:rsidR="00496386">
        <w:rPr>
          <w:b/>
        </w:rPr>
        <w:t xml:space="preserve">Montoneros: origen, evolución y disolución (1970-1983). Elaboración del Prof. Claudio Sacco para uso escolar. </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M</w:t>
      </w:r>
      <w:r w:rsidRPr="00496386">
        <w:rPr>
          <w:rFonts w:ascii="Times New Roman" w:eastAsia="Times New Roman" w:hAnsi="Times New Roman" w:cs="Times New Roman"/>
          <w:sz w:val="24"/>
          <w:szCs w:val="24"/>
          <w:lang w:val="es-ES" w:eastAsia="es-ES"/>
        </w:rPr>
        <w:t xml:space="preserve">ontoneros fue una organización político-militar surgida en 1970, integrada inicialmente por jóvenes provenientes, en su mayoría, de sectores católicos nacionalistas. Se identificaba con el peronismo y proponía construir un «socialismo nacional» mediante la lucha revolucionaria. Su primera acción pública fue el secuestro </w:t>
      </w:r>
      <w:r w:rsidR="00DB622E">
        <w:rPr>
          <w:rFonts w:ascii="Times New Roman" w:eastAsia="Times New Roman" w:hAnsi="Times New Roman" w:cs="Times New Roman"/>
          <w:sz w:val="24"/>
          <w:szCs w:val="24"/>
          <w:lang w:val="es-ES" w:eastAsia="es-ES"/>
        </w:rPr>
        <w:t xml:space="preserve">(29 de mayo de 1970) </w:t>
      </w:r>
      <w:r w:rsidRPr="00496386">
        <w:rPr>
          <w:rFonts w:ascii="Times New Roman" w:eastAsia="Times New Roman" w:hAnsi="Times New Roman" w:cs="Times New Roman"/>
          <w:sz w:val="24"/>
          <w:szCs w:val="24"/>
          <w:lang w:val="es-ES" w:eastAsia="es-ES"/>
        </w:rPr>
        <w:t>y asesinato del general Pedro Eugenio Aramburu, expresidente de facto. Durante la dictadura militar desarrolló acciones armadas y participó en la resistencia contra la proscripción del peronismo.</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sidRPr="00496386">
        <w:rPr>
          <w:rFonts w:ascii="Times New Roman" w:eastAsia="Times New Roman" w:hAnsi="Times New Roman" w:cs="Times New Roman"/>
          <w:sz w:val="24"/>
          <w:szCs w:val="24"/>
          <w:lang w:val="es-ES" w:eastAsia="es-ES"/>
        </w:rPr>
        <w:t xml:space="preserve">Entre 1972 y 1973, Montoneros creció rápidamente. A través de la Juventud Peronista y otras organizaciones, consiguió una importante presencia entre estudiantes, trabajadores y sectores populares. Sin embargo, arrastraba una profunda contradicción: pretendía realizar una revolución socialista bajo el liderazgo de Perón, </w:t>
      </w:r>
      <w:r w:rsidR="00DB622E">
        <w:rPr>
          <w:rFonts w:ascii="Times New Roman" w:eastAsia="Times New Roman" w:hAnsi="Times New Roman" w:cs="Times New Roman"/>
          <w:sz w:val="24"/>
          <w:szCs w:val="24"/>
          <w:lang w:val="es-ES" w:eastAsia="es-ES"/>
        </w:rPr>
        <w:t xml:space="preserve">quien no sólo no compartía ese proyecto, sino que además pretendía mantener las relaciones capitalistas de producción y distribución, haciendo cuanto estuviese a su alcance para defenderlas. Esto implicaba que Perón no quería ningún tipo de revolución socialista que diera el control de los medios de producción a los trabajadores. En su forma de ver las cosas, obreros y burgueses debían cooperar “armónicamente” para desarrollar las fuerzas productivas de la nación. Es decir, las contradicciones entre capital y trabajo (o sea, las contradicciones de intereses que se dan entre el polo capitalista explotador de trabajo vivo y el polo de los trabajadores o explotados por el capital) podían atenuarse (según Perón) mediante la intervención del Estado. </w:t>
      </w:r>
    </w:p>
    <w:p w:rsidR="005C6F96" w:rsidRPr="005C6F96" w:rsidRDefault="00496386" w:rsidP="00496386">
      <w:pPr>
        <w:spacing w:before="100" w:beforeAutospacing="1" w:after="100" w:afterAutospacing="1" w:line="240" w:lineRule="auto"/>
        <w:rPr>
          <w:rFonts w:ascii="Times New Roman" w:hAnsi="Times New Roman" w:cs="Times New Roman"/>
          <w:sz w:val="24"/>
          <w:szCs w:val="24"/>
        </w:rPr>
      </w:pPr>
      <w:r w:rsidRPr="00496386">
        <w:rPr>
          <w:rFonts w:ascii="Times New Roman" w:eastAsia="Times New Roman" w:hAnsi="Times New Roman" w:cs="Times New Roman"/>
          <w:sz w:val="24"/>
          <w:szCs w:val="24"/>
          <w:lang w:val="es-ES" w:eastAsia="es-ES"/>
        </w:rPr>
        <w:t xml:space="preserve">El regreso del peronismo al gobierno en 1973 agravó esas diferencias. Montoneros apoyó inicialmente a Héctor </w:t>
      </w:r>
      <w:proofErr w:type="spellStart"/>
      <w:r w:rsidRPr="00496386">
        <w:rPr>
          <w:rFonts w:ascii="Times New Roman" w:eastAsia="Times New Roman" w:hAnsi="Times New Roman" w:cs="Times New Roman"/>
          <w:sz w:val="24"/>
          <w:szCs w:val="24"/>
          <w:lang w:val="es-ES" w:eastAsia="es-ES"/>
        </w:rPr>
        <w:t>Cámpora</w:t>
      </w:r>
      <w:proofErr w:type="spellEnd"/>
      <w:r w:rsidRPr="00496386">
        <w:rPr>
          <w:rFonts w:ascii="Times New Roman" w:eastAsia="Times New Roman" w:hAnsi="Times New Roman" w:cs="Times New Roman"/>
          <w:sz w:val="24"/>
          <w:szCs w:val="24"/>
          <w:lang w:val="es-ES" w:eastAsia="es-ES"/>
        </w:rPr>
        <w:t>, pero entró en conflicto con los sectores sindicales y políticos que respaldaban a Perón</w:t>
      </w:r>
      <w:r w:rsidR="00DB622E" w:rsidRPr="005C6F96">
        <w:rPr>
          <w:rFonts w:ascii="Times New Roman" w:eastAsia="Times New Roman" w:hAnsi="Times New Roman" w:cs="Times New Roman"/>
          <w:sz w:val="24"/>
          <w:szCs w:val="24"/>
          <w:lang w:val="es-ES" w:eastAsia="es-ES"/>
        </w:rPr>
        <w:t xml:space="preserve"> (y a su proyecto de implantación de un supuesto capitalismo nacional)</w:t>
      </w:r>
      <w:r w:rsidRPr="00496386">
        <w:rPr>
          <w:rFonts w:ascii="Times New Roman" w:eastAsia="Times New Roman" w:hAnsi="Times New Roman" w:cs="Times New Roman"/>
          <w:sz w:val="24"/>
          <w:szCs w:val="24"/>
          <w:lang w:val="es-ES" w:eastAsia="es-ES"/>
        </w:rPr>
        <w:t>. El asesinato del dirige</w:t>
      </w:r>
      <w:r w:rsidR="00DB622E" w:rsidRPr="005C6F96">
        <w:rPr>
          <w:rFonts w:ascii="Times New Roman" w:eastAsia="Times New Roman" w:hAnsi="Times New Roman" w:cs="Times New Roman"/>
          <w:sz w:val="24"/>
          <w:szCs w:val="24"/>
          <w:lang w:val="es-ES" w:eastAsia="es-ES"/>
        </w:rPr>
        <w:t xml:space="preserve">nte sindical José Ignacio </w:t>
      </w:r>
      <w:proofErr w:type="spellStart"/>
      <w:r w:rsidR="00DB622E" w:rsidRPr="005C6F96">
        <w:rPr>
          <w:rFonts w:ascii="Times New Roman" w:eastAsia="Times New Roman" w:hAnsi="Times New Roman" w:cs="Times New Roman"/>
          <w:sz w:val="24"/>
          <w:szCs w:val="24"/>
          <w:lang w:val="es-ES" w:eastAsia="es-ES"/>
        </w:rPr>
        <w:t>Rucci</w:t>
      </w:r>
      <w:proofErr w:type="spellEnd"/>
      <w:r w:rsidR="00DB622E" w:rsidRPr="005C6F96">
        <w:rPr>
          <w:rFonts w:ascii="Times New Roman" w:eastAsia="Times New Roman" w:hAnsi="Times New Roman" w:cs="Times New Roman"/>
          <w:sz w:val="24"/>
          <w:szCs w:val="24"/>
          <w:lang w:val="es-ES" w:eastAsia="es-ES"/>
        </w:rPr>
        <w:t xml:space="preserve"> (</w:t>
      </w:r>
      <w:r w:rsidR="00DB622E" w:rsidRPr="005C6F96">
        <w:rPr>
          <w:rFonts w:ascii="Times New Roman" w:hAnsi="Times New Roman" w:cs="Times New Roman"/>
          <w:sz w:val="24"/>
          <w:szCs w:val="24"/>
        </w:rPr>
        <w:t>25 de septiembre de 1973</w:t>
      </w:r>
      <w:r w:rsidR="00DB622E" w:rsidRPr="005C6F96">
        <w:rPr>
          <w:rFonts w:ascii="Times New Roman" w:hAnsi="Times New Roman" w:cs="Times New Roman"/>
          <w:sz w:val="24"/>
          <w:szCs w:val="24"/>
        </w:rPr>
        <w:t>)</w:t>
      </w:r>
      <w:r w:rsidRPr="00496386">
        <w:rPr>
          <w:rFonts w:ascii="Times New Roman" w:eastAsia="Times New Roman" w:hAnsi="Times New Roman" w:cs="Times New Roman"/>
          <w:sz w:val="24"/>
          <w:szCs w:val="24"/>
          <w:lang w:val="es-ES" w:eastAsia="es-ES"/>
        </w:rPr>
        <w:t xml:space="preserve"> atribuido a Montoneros, profundizó el enfrentamiento</w:t>
      </w:r>
      <w:r w:rsidR="00DB622E" w:rsidRPr="005C6F96">
        <w:rPr>
          <w:rStyle w:val="FootnoteReference"/>
          <w:rFonts w:ascii="Times New Roman" w:eastAsia="Times New Roman" w:hAnsi="Times New Roman" w:cs="Times New Roman"/>
          <w:sz w:val="24"/>
          <w:szCs w:val="24"/>
          <w:lang w:val="es-ES" w:eastAsia="es-ES"/>
        </w:rPr>
        <w:footnoteReference w:id="1"/>
      </w:r>
      <w:r w:rsidRPr="00496386">
        <w:rPr>
          <w:rFonts w:ascii="Times New Roman" w:eastAsia="Times New Roman" w:hAnsi="Times New Roman" w:cs="Times New Roman"/>
          <w:sz w:val="24"/>
          <w:szCs w:val="24"/>
          <w:lang w:val="es-ES" w:eastAsia="es-ES"/>
        </w:rPr>
        <w:t xml:space="preserve">. </w:t>
      </w:r>
      <w:r w:rsidR="005C6F96" w:rsidRPr="005C6F96">
        <w:rPr>
          <w:rFonts w:ascii="Times New Roman" w:eastAsia="Times New Roman" w:hAnsi="Times New Roman" w:cs="Times New Roman"/>
          <w:sz w:val="24"/>
          <w:szCs w:val="24"/>
          <w:lang w:val="es-ES" w:eastAsia="es-ES"/>
        </w:rPr>
        <w:t xml:space="preserve">La muerte de </w:t>
      </w:r>
      <w:proofErr w:type="spellStart"/>
      <w:r w:rsidR="005C6F96" w:rsidRPr="005C6F96">
        <w:rPr>
          <w:rFonts w:ascii="Times New Roman" w:eastAsia="Times New Roman" w:hAnsi="Times New Roman" w:cs="Times New Roman"/>
          <w:sz w:val="24"/>
          <w:szCs w:val="24"/>
          <w:lang w:val="es-ES" w:eastAsia="es-ES"/>
        </w:rPr>
        <w:t>Rucci</w:t>
      </w:r>
      <w:proofErr w:type="spellEnd"/>
      <w:r w:rsidR="005C6F96" w:rsidRPr="005C6F96">
        <w:rPr>
          <w:rFonts w:ascii="Times New Roman" w:eastAsia="Times New Roman" w:hAnsi="Times New Roman" w:cs="Times New Roman"/>
          <w:sz w:val="24"/>
          <w:szCs w:val="24"/>
          <w:lang w:val="es-ES" w:eastAsia="es-ES"/>
        </w:rPr>
        <w:t xml:space="preserve"> se produ</w:t>
      </w:r>
      <w:r w:rsidR="005C6F96">
        <w:rPr>
          <w:rFonts w:ascii="Times New Roman" w:eastAsia="Times New Roman" w:hAnsi="Times New Roman" w:cs="Times New Roman"/>
          <w:sz w:val="24"/>
          <w:szCs w:val="24"/>
          <w:lang w:val="es-ES" w:eastAsia="es-ES"/>
        </w:rPr>
        <w:t>jo</w:t>
      </w:r>
      <w:r w:rsidR="005C6F96" w:rsidRPr="005C6F96">
        <w:rPr>
          <w:rFonts w:ascii="Times New Roman" w:eastAsia="Times New Roman" w:hAnsi="Times New Roman" w:cs="Times New Roman"/>
          <w:sz w:val="24"/>
          <w:szCs w:val="24"/>
          <w:lang w:val="es-ES" w:eastAsia="es-ES"/>
        </w:rPr>
        <w:t xml:space="preserve"> dos días después del triunfo de la fórmula electoral Perón-Perón (que ganó las elecciones del </w:t>
      </w:r>
      <w:r w:rsidR="005C6F96" w:rsidRPr="005C6F96">
        <w:rPr>
          <w:rFonts w:ascii="Times New Roman" w:hAnsi="Times New Roman" w:cs="Times New Roman"/>
          <w:sz w:val="24"/>
          <w:szCs w:val="24"/>
        </w:rPr>
        <w:t>23 de septiembre de 1973</w:t>
      </w:r>
      <w:r w:rsidR="005C6F96" w:rsidRPr="005C6F96">
        <w:rPr>
          <w:rFonts w:ascii="Times New Roman" w:hAnsi="Times New Roman" w:cs="Times New Roman"/>
          <w:sz w:val="24"/>
          <w:szCs w:val="24"/>
        </w:rPr>
        <w:t>).</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sidRPr="00496386">
        <w:rPr>
          <w:rFonts w:ascii="Times New Roman" w:eastAsia="Times New Roman" w:hAnsi="Times New Roman" w:cs="Times New Roman"/>
          <w:sz w:val="24"/>
          <w:szCs w:val="24"/>
          <w:lang w:val="es-ES" w:eastAsia="es-ES"/>
        </w:rPr>
        <w:lastRenderedPageBreak/>
        <w:t>La organización cometió un grave error político al subestimar las diferencias con Perón y creer que podía disputarle la conducción del movimiento. La ruptura se hizo evidente el 1.º de mayo de 1974, cuando Perón enfrentó públicamente a la Juventud Peronista en Plaza de Mayo.</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sidRPr="00496386">
        <w:rPr>
          <w:rFonts w:ascii="Times New Roman" w:eastAsia="Times New Roman" w:hAnsi="Times New Roman" w:cs="Times New Roman"/>
          <w:sz w:val="24"/>
          <w:szCs w:val="24"/>
          <w:lang w:val="es-ES" w:eastAsia="es-ES"/>
        </w:rPr>
        <w:t>Tras la muerte de Perón, Montoneros anunció su regreso a la clandestinidad en septiembre de 1974, durante el gobierno de Isabel Perón. Esta decisión resultó especialmente perjudicial: debilitó sus vínculos con las organizaciones populares y favoreció el predominio de una conducción militarizada sobre la actividad política. Aunque continuó realizando actividades sindicales y políticas, otorgó una importancia cada vez mayor a las operaciones armadas.</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sidRPr="00496386">
        <w:rPr>
          <w:rFonts w:ascii="Times New Roman" w:eastAsia="Times New Roman" w:hAnsi="Times New Roman" w:cs="Times New Roman"/>
          <w:sz w:val="24"/>
          <w:szCs w:val="24"/>
          <w:lang w:val="es-ES" w:eastAsia="es-ES"/>
        </w:rPr>
        <w:t>Después del golpe de 1976, la dictadura persiguió y exterminó a gran parte de sus militantes mediante el terrorismo de Estado. Muchos dirigentes sobrevivientes se exiliaron, pero la conducción continuó apostando a la lucha armada.</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sidRPr="00496386">
        <w:rPr>
          <w:rFonts w:ascii="Times New Roman" w:eastAsia="Times New Roman" w:hAnsi="Times New Roman" w:cs="Times New Roman"/>
          <w:sz w:val="24"/>
          <w:szCs w:val="24"/>
          <w:lang w:val="es-ES" w:eastAsia="es-ES"/>
        </w:rPr>
        <w:t>En 1979 y 1980 organizó la llamada Contraofensiva, que consistió en enviar militantes desde el exterior para realizar acciones políticas, propagandísticas y militares contra la dictadura. La conducción calculó equivocadamente que existían condiciones para impulsar una insurrección popular. La operación tuvo consecuencias desastrosas: decenas de militantes fueron secuestrados, asesinados o desaparecidos. La decisión, considerada suicida por numerosos sobrevivientes, provocó fuertes rupturas internas.</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sidRPr="00496386">
        <w:rPr>
          <w:rFonts w:ascii="Times New Roman" w:eastAsia="Times New Roman" w:hAnsi="Times New Roman" w:cs="Times New Roman"/>
          <w:sz w:val="24"/>
          <w:szCs w:val="24"/>
          <w:lang w:val="es-ES" w:eastAsia="es-ES"/>
        </w:rPr>
        <w:t>La Contraofensiva terminó de desarticular a Montoneros como organización político-militar. Con el retorno de la democracia en 1983, sus dirigentes anunciaron la disolución del movimiento.</w:t>
      </w:r>
    </w:p>
    <w:p w:rsidR="00366DBE" w:rsidRPr="008B2C32" w:rsidRDefault="00366DBE" w:rsidP="00366DBE">
      <w:pPr>
        <w:pStyle w:val="NormalWeb"/>
        <w:rPr>
          <w:b/>
        </w:rPr>
      </w:pPr>
      <w:r w:rsidRPr="008B2C32">
        <w:rPr>
          <w:b/>
        </w:rPr>
        <w:t xml:space="preserve">FUENTE </w:t>
      </w:r>
      <w:r w:rsidR="00564E6A">
        <w:rPr>
          <w:b/>
        </w:rPr>
        <w:t>3</w:t>
      </w:r>
      <w:r w:rsidR="00F840BD">
        <w:rPr>
          <w:b/>
        </w:rPr>
        <w:t>: Fragmento</w:t>
      </w:r>
      <w:r w:rsidR="005C6F96">
        <w:rPr>
          <w:b/>
        </w:rPr>
        <w:t xml:space="preserve"> de la obra “Breve Historia Contemporánea de la Argentina</w:t>
      </w:r>
      <w:r w:rsidRPr="008B2C32">
        <w:rPr>
          <w:b/>
        </w:rPr>
        <w:t xml:space="preserve">”, </w:t>
      </w:r>
      <w:r w:rsidR="005C6F96">
        <w:rPr>
          <w:b/>
        </w:rPr>
        <w:t>Luis Alberto Romero</w:t>
      </w:r>
      <w:r w:rsidRPr="008B2C32">
        <w:rPr>
          <w:b/>
        </w:rPr>
        <w:t xml:space="preserve">, </w:t>
      </w:r>
      <w:r w:rsidR="005C6F96">
        <w:rPr>
          <w:b/>
        </w:rPr>
        <w:t xml:space="preserve">Fondo de Cultura Económica, 1998, </w:t>
      </w:r>
      <w:r w:rsidRPr="008B2C32">
        <w:rPr>
          <w:b/>
        </w:rPr>
        <w:t xml:space="preserve">pp. </w:t>
      </w:r>
      <w:r w:rsidR="005C6F96">
        <w:rPr>
          <w:b/>
        </w:rPr>
        <w:t>280-282</w:t>
      </w:r>
      <w:r w:rsidRPr="008B2C32">
        <w:rPr>
          <w:b/>
        </w:rPr>
        <w:t>.</w:t>
      </w:r>
    </w:p>
    <w:p w:rsidR="00366DBE" w:rsidRDefault="002D0E84" w:rsidP="00381170">
      <w:pPr>
        <w:pStyle w:val="NormalWeb"/>
        <w:rPr>
          <w:b/>
        </w:rPr>
      </w:pPr>
      <w:r>
        <w:rPr>
          <w:b/>
        </w:rPr>
        <w:t xml:space="preserve">Fragmento 1: </w:t>
      </w:r>
      <w:r w:rsidR="005C6F96">
        <w:rPr>
          <w:b/>
        </w:rPr>
        <w:t xml:space="preserve">Debacle de la izquierda peronista, represión </w:t>
      </w:r>
      <w:proofErr w:type="spellStart"/>
      <w:r w:rsidR="005C6F96">
        <w:rPr>
          <w:b/>
        </w:rPr>
        <w:t>arditista</w:t>
      </w:r>
      <w:proofErr w:type="spellEnd"/>
      <w:r w:rsidR="005C6F96">
        <w:rPr>
          <w:b/>
        </w:rPr>
        <w:t xml:space="preserve"> de la Triple A y ofensiva </w:t>
      </w:r>
      <w:r w:rsidR="00F840BD">
        <w:rPr>
          <w:b/>
        </w:rPr>
        <w:t xml:space="preserve">del Ejército </w:t>
      </w:r>
      <w:r w:rsidR="005C6F96">
        <w:rPr>
          <w:b/>
        </w:rPr>
        <w:t xml:space="preserve">contra la izquierda guevarista </w:t>
      </w:r>
      <w:r w:rsidR="00F840BD">
        <w:rPr>
          <w:b/>
        </w:rPr>
        <w:t xml:space="preserve">del ERP </w:t>
      </w:r>
    </w:p>
    <w:p w:rsidR="00F840BD" w:rsidRDefault="005C6F96" w:rsidP="00381170">
      <w:pPr>
        <w:pStyle w:val="NormalWeb"/>
      </w:pPr>
      <w:r w:rsidRPr="005C6F96">
        <w:t xml:space="preserve">Desde el 20 de junio el conflicto era público, pero durante un año los </w:t>
      </w:r>
      <w:r w:rsidR="00F840BD">
        <w:t>M</w:t>
      </w:r>
      <w:r w:rsidRPr="005C6F96">
        <w:t xml:space="preserve">ontoneros lograron soslayar la definición, mientras concentraban toda su artillería en los traidores, ajenos al peronismo, reinterpretando hasta donde era posible la palabra de Perón, sostenía que se trataba de desvíos puramente tácticos, muestras de la genialidad de un líder que no los desautorizaba explícitamente, elaboraron la teoría del cerco o el entorno que impedía a Perón conocer la verdadera voluntad de su pueblo y se aferraron a la imagen de una </w:t>
      </w:r>
      <w:r w:rsidR="00F840BD">
        <w:t>“</w:t>
      </w:r>
      <w:r w:rsidRPr="005C6F96">
        <w:t>Evita montonera</w:t>
      </w:r>
      <w:r w:rsidR="00F840BD">
        <w:t>”</w:t>
      </w:r>
      <w:r w:rsidRPr="005C6F96">
        <w:t xml:space="preserve"> que debía legitimar su ortodoxia en los orígenes mismos del peronismo. </w:t>
      </w:r>
    </w:p>
    <w:p w:rsidR="00F840BD" w:rsidRDefault="005C6F96" w:rsidP="00381170">
      <w:pPr>
        <w:pStyle w:val="NormalWeb"/>
      </w:pPr>
      <w:r w:rsidRPr="005C6F96">
        <w:t xml:space="preserve">El primero de mayo de 1974 se llegó a la ruptura. Al abandonar una plaza de donde el propio Perón los expulsaba, renunciaban a hablar en nombre del movimiento. Reaparecieron una vez más apenas dos meses después en los fantásticos funerales de Perón y luego pretendieron asumir su herencia fundando el Partido Peronista Auténtico sin mayor éxito. La magia se había roto y solo los seguían los militantes. </w:t>
      </w:r>
    </w:p>
    <w:p w:rsidR="005C6F96" w:rsidRDefault="005C6F96" w:rsidP="00381170">
      <w:pPr>
        <w:pStyle w:val="NormalWeb"/>
      </w:pPr>
      <w:r w:rsidRPr="005C6F96">
        <w:t>Pronto optaron por volver a la vieja táctica y pasaron a la clandestinidad</w:t>
      </w:r>
      <w:r w:rsidR="00F840BD">
        <w:t xml:space="preserve"> (</w:t>
      </w:r>
      <w:r w:rsidR="00F840BD">
        <w:t>6 de septiembre de 1974</w:t>
      </w:r>
      <w:r w:rsidR="00F840BD">
        <w:t>)</w:t>
      </w:r>
      <w:r w:rsidRPr="005C6F96">
        <w:t xml:space="preserve">. Hubo más asesinatos, secuestros espectaculares para mejorar sus finanzas; el de Jorge </w:t>
      </w:r>
      <w:proofErr w:type="spellStart"/>
      <w:r w:rsidRPr="005C6F96">
        <w:t>Born</w:t>
      </w:r>
      <w:proofErr w:type="spellEnd"/>
      <w:r w:rsidRPr="005C6F96">
        <w:t xml:space="preserve"> les reportó 60 millones de dólares; intervención en conflictos sindicales donde la Fuerzas Armada era </w:t>
      </w:r>
      <w:r w:rsidRPr="005C6F96">
        <w:lastRenderedPageBreak/>
        <w:t xml:space="preserve">usada para volcar en favor de los trabajadores las negociaciones con los patrones; y acciones militares de envergadura, pero fracasadas. En ese camino los siguió el ERP, que desde 1974 había instalado un foco en el monte de Tucumán. Contra ambos creció la represión clandestina a través de la Triple A, que se cebó sobre todo en quienes, intelectuales, estudiantes, obreros, militantes de villas o barrios, habían acompañado la </w:t>
      </w:r>
      <w:r w:rsidR="00F840BD" w:rsidRPr="005C6F96">
        <w:t>movilización,</w:t>
      </w:r>
      <w:r w:rsidRPr="005C6F96">
        <w:t xml:space="preserve"> pero no pudieron pasar a la clandestinidad. Desde febrero de 1975 el ejército convocado por la presidenta Isabel Perón asumió la tarea de reprimir la guerrilla en Tucumán</w:t>
      </w:r>
      <w:r w:rsidR="00F840BD">
        <w:t>. El genocidio estaba en marcha […]</w:t>
      </w:r>
    </w:p>
    <w:p w:rsidR="003F7A58" w:rsidRPr="008B2C32" w:rsidRDefault="003F7A58" w:rsidP="003F7A58">
      <w:pPr>
        <w:pStyle w:val="NormalWeb"/>
        <w:rPr>
          <w:b/>
        </w:rPr>
      </w:pPr>
      <w:r w:rsidRPr="008B2C32">
        <w:rPr>
          <w:b/>
        </w:rPr>
        <w:t xml:space="preserve">FUENTE </w:t>
      </w:r>
      <w:r w:rsidR="005E0B98">
        <w:rPr>
          <w:b/>
        </w:rPr>
        <w:t>4</w:t>
      </w:r>
      <w:r w:rsidRPr="008B2C32">
        <w:rPr>
          <w:b/>
        </w:rPr>
        <w:t xml:space="preserve">: </w:t>
      </w:r>
      <w:r w:rsidR="00F840BD">
        <w:rPr>
          <w:b/>
        </w:rPr>
        <w:t xml:space="preserve">Fragmento de la obra “El proceso militar”, Gonzalo Sanz </w:t>
      </w:r>
      <w:proofErr w:type="spellStart"/>
      <w:r w:rsidR="00F840BD">
        <w:rPr>
          <w:b/>
        </w:rPr>
        <w:t>Cerbino</w:t>
      </w:r>
      <w:proofErr w:type="spellEnd"/>
      <w:r w:rsidR="00F840BD">
        <w:rPr>
          <w:b/>
        </w:rPr>
        <w:t xml:space="preserve">, Biblioteca de la UNI, Ediciones </w:t>
      </w:r>
      <w:proofErr w:type="spellStart"/>
      <w:r w:rsidR="00F840BD">
        <w:rPr>
          <w:b/>
        </w:rPr>
        <w:t>RyR</w:t>
      </w:r>
      <w:proofErr w:type="spellEnd"/>
      <w:r w:rsidR="00F840BD">
        <w:rPr>
          <w:b/>
        </w:rPr>
        <w:t>, 2019, pp. 8-13</w:t>
      </w:r>
      <w:r w:rsidR="0089305E">
        <w:rPr>
          <w:b/>
        </w:rPr>
        <w:t>.</w:t>
      </w:r>
    </w:p>
    <w:p w:rsidR="00972985" w:rsidRPr="00972985" w:rsidRDefault="0089305E" w:rsidP="00972985">
      <w:pPr>
        <w:pStyle w:val="NormalWeb"/>
        <w:rPr>
          <w:b/>
        </w:rPr>
      </w:pPr>
      <w:r w:rsidRPr="00972985">
        <w:rPr>
          <w:b/>
        </w:rPr>
        <w:t xml:space="preserve">Fragmento 1: </w:t>
      </w:r>
      <w:r w:rsidR="00972985" w:rsidRPr="00972985">
        <w:rPr>
          <w:b/>
        </w:rPr>
        <w:t>Del conflicto económico a la conspiración golpista: el campo contra Isabel Perón</w:t>
      </w:r>
    </w:p>
    <w:p w:rsidR="0089305E" w:rsidRDefault="005E2E09" w:rsidP="00381170">
      <w:pPr>
        <w:pStyle w:val="NormalWeb"/>
      </w:pPr>
      <w:r w:rsidRPr="005E2E09">
        <w:t xml:space="preserve">El pacto social comenzó a mostrar signos de agotamiento a mediados de 1974. La crisis del petróleo, en pleno desarrollo, elevó el costo de los productos que Argentina importaba y, en paralelo, comenzaron a derrumbarse los de las exportaciones, primero los de la carne y, ya entrado 1975, los de los granos. Sin recursos para sostenerla, la política de conciliación de clases impulsada por el peronismo se tornaba inviable. Los empresarios comenzaron a violar el acuerdo de precios impuesto en 1973. Los productos no aparecían a los precios oficiales, pero se vendían en el mercado negro mucho más caros. Los salarios apenas recibían tibios reajustes. El desarrollo de la crisis y las internas del gobierno tras la muerte de Perón se llevaron puesto al ministro </w:t>
      </w:r>
      <w:r>
        <w:t>[</w:t>
      </w:r>
      <w:r w:rsidRPr="005E2E09">
        <w:t>de Economía</w:t>
      </w:r>
      <w:r>
        <w:t>]</w:t>
      </w:r>
      <w:r w:rsidRPr="005E2E09">
        <w:t xml:space="preserve"> </w:t>
      </w:r>
      <w:proofErr w:type="spellStart"/>
      <w:r w:rsidRPr="005E2E09">
        <w:t>Gelbard</w:t>
      </w:r>
      <w:proofErr w:type="spellEnd"/>
      <w:r w:rsidRPr="005E2E09">
        <w:t xml:space="preserve">, </w:t>
      </w:r>
      <w:r>
        <w:t>[…]</w:t>
      </w:r>
      <w:r w:rsidRPr="005E2E09">
        <w:t>, que debió renunciar en octubre de 1974.</w:t>
      </w:r>
      <w:r>
        <w:t xml:space="preserve"> [El sucesor de </w:t>
      </w:r>
      <w:proofErr w:type="spellStart"/>
      <w:r>
        <w:t>Gelbard</w:t>
      </w:r>
      <w:proofErr w:type="spellEnd"/>
      <w:r>
        <w:t xml:space="preserve"> fue Gómez Morales, quien] intentó aplicar un ajuste gradual, que no conformaba a nadie. </w:t>
      </w:r>
    </w:p>
    <w:p w:rsidR="005E2E09" w:rsidRDefault="005E2E09" w:rsidP="00381170">
      <w:pPr>
        <w:pStyle w:val="NormalWeb"/>
      </w:pPr>
      <w:r w:rsidRPr="005E2E09">
        <w:t xml:space="preserve">Es en este contexto que una fracción de la clase dominante, la burguesía agropecuaria, comienza a levantar la cabeza. Mientras los precios internacionales estuvieron altos, ello no fue mayor problema para la burguesía agropecuaria. Pero cuando los precios se derrumbaron fue otro cantar. El gobierno, que captaba el excedente agrario mediante impuestos y la fijación de precios internos, no podía renunciar a esos recursos. Por eso, mientras Gómez Morales permitía aumentos en todos los rubros, pisaba los precios agropecuarios. En esta situación, quienes habían cuestionado la concertación peronista desde el primer momento, los que pusieron el grito en el cielo frente a los tibios intentos de reforma de la estructura agraria, pasaron al frente. En pocos meses, un grupo de dirigentes agropecuarios, capitaneados por Jorge Aguado, de Confederaciones Rurales Argentinas, </w:t>
      </w:r>
      <w:r w:rsidR="00031667">
        <w:t>(</w:t>
      </w:r>
      <w:r w:rsidRPr="005E2E09">
        <w:t>CRA</w:t>
      </w:r>
      <w:r w:rsidR="00031667">
        <w:t>)</w:t>
      </w:r>
      <w:r w:rsidRPr="005E2E09">
        <w:t xml:space="preserve"> logró imponer su política al conjunto de las corporaciones agrarias. Debían salir a combatir frontalmente el populismo que ahogaba al campo. Aguado logró estructurar un frente: el Comité de Acción Agropecuaria, que reunía a CRA, la Sociedad Rural y la Confederación </w:t>
      </w:r>
      <w:proofErr w:type="spellStart"/>
      <w:r w:rsidRPr="005E2E09">
        <w:t>Intercoop</w:t>
      </w:r>
      <w:r w:rsidR="00031667">
        <w:t>erativa</w:t>
      </w:r>
      <w:proofErr w:type="spellEnd"/>
      <w:r w:rsidR="00031667">
        <w:t xml:space="preserve"> Agropecuaria (</w:t>
      </w:r>
      <w:proofErr w:type="spellStart"/>
      <w:r w:rsidR="00031667">
        <w:t>Coninagro</w:t>
      </w:r>
      <w:proofErr w:type="spellEnd"/>
      <w:r w:rsidR="00031667">
        <w:t xml:space="preserve">) […] </w:t>
      </w:r>
      <w:r w:rsidR="00972985">
        <w:t>Entre enero y febrero de 1975 se produjeron ocho “paros comerciales” agropecuarios afectando a distintas producciones: los ganaderos de Córdoba y Santa Fe, los productores de girasol de Chaco y Santa Fe, los frutícolas de Río Negro Neuquén y Mendoza, los tamberos del centro y noreste del país y los productores de ovinos en el sur. Estas protestas […] recibieron el apoyo de Federación Agraria [que cooperó con la] ofensiva golpista. [Aclaremos que este tipo de medidas] consistían en paralizar la comercialización de productos durante el tiempo que durara la medida […] El gobierno [de Isabel Perón] reprimió, y varios dirigentes ruralistas terminaron encarcelados. […]</w:t>
      </w:r>
    </w:p>
    <w:p w:rsidR="00972985" w:rsidRDefault="00972985" w:rsidP="00381170">
      <w:pPr>
        <w:pStyle w:val="NormalWeb"/>
      </w:pPr>
      <w:r w:rsidRPr="00972985">
        <w:t>La burguesía agropecuaria salía a la calle cuestionando primero el programa económico, aunque rápidamente la crítica alcanzó al gobierno todo y al propio régimen político. El campo oficiaba como la vanguardia golpista entre la clase dominante.</w:t>
      </w:r>
      <w:r>
        <w:t xml:space="preserve"> </w:t>
      </w:r>
    </w:p>
    <w:sectPr w:rsidR="00972985" w:rsidSect="0038117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4C7B" w:rsidRDefault="00404C7B" w:rsidP="00DB622E">
      <w:pPr>
        <w:spacing w:after="0" w:line="240" w:lineRule="auto"/>
      </w:pPr>
      <w:r>
        <w:separator/>
      </w:r>
    </w:p>
  </w:endnote>
  <w:endnote w:type="continuationSeparator" w:id="0">
    <w:p w:rsidR="00404C7B" w:rsidRDefault="00404C7B" w:rsidP="00DB6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4C7B" w:rsidRDefault="00404C7B" w:rsidP="00DB622E">
      <w:pPr>
        <w:spacing w:after="0" w:line="240" w:lineRule="auto"/>
      </w:pPr>
      <w:r>
        <w:separator/>
      </w:r>
    </w:p>
  </w:footnote>
  <w:footnote w:type="continuationSeparator" w:id="0">
    <w:p w:rsidR="00404C7B" w:rsidRDefault="00404C7B" w:rsidP="00DB622E">
      <w:pPr>
        <w:spacing w:after="0" w:line="240" w:lineRule="auto"/>
      </w:pPr>
      <w:r>
        <w:continuationSeparator/>
      </w:r>
    </w:p>
  </w:footnote>
  <w:footnote w:id="1">
    <w:p w:rsidR="00DB622E" w:rsidRPr="005C6F96" w:rsidRDefault="00DB622E" w:rsidP="005C6F96">
      <w:pPr>
        <w:pStyle w:val="FootnoteText"/>
        <w:jc w:val="both"/>
        <w:rPr>
          <w:rFonts w:ascii="Times New Roman" w:hAnsi="Times New Roman" w:cs="Times New Roman"/>
        </w:rPr>
      </w:pPr>
      <w:r w:rsidRPr="00F840BD">
        <w:rPr>
          <w:rStyle w:val="FootnoteReference"/>
          <w:rFonts w:ascii="Times New Roman" w:hAnsi="Times New Roman" w:cs="Times New Roman"/>
          <w:sz w:val="18"/>
        </w:rPr>
        <w:footnoteRef/>
      </w:r>
      <w:r w:rsidRPr="00F840BD">
        <w:rPr>
          <w:rFonts w:ascii="Times New Roman" w:hAnsi="Times New Roman" w:cs="Times New Roman"/>
          <w:sz w:val="18"/>
        </w:rPr>
        <w:t xml:space="preserve"> </w:t>
      </w:r>
      <w:r w:rsidRPr="00F840BD">
        <w:rPr>
          <w:rFonts w:ascii="Times New Roman" w:hAnsi="Times New Roman" w:cs="Times New Roman"/>
          <w:sz w:val="18"/>
        </w:rPr>
        <w:t xml:space="preserve">El asesinato del secretario general de la CGT, José Ignacio </w:t>
      </w:r>
      <w:proofErr w:type="spellStart"/>
      <w:r w:rsidRPr="00F840BD">
        <w:rPr>
          <w:rFonts w:ascii="Times New Roman" w:hAnsi="Times New Roman" w:cs="Times New Roman"/>
          <w:sz w:val="18"/>
        </w:rPr>
        <w:t>Rucci</w:t>
      </w:r>
      <w:proofErr w:type="spellEnd"/>
      <w:r w:rsidRPr="00F840BD">
        <w:rPr>
          <w:rFonts w:ascii="Times New Roman" w:hAnsi="Times New Roman" w:cs="Times New Roman"/>
          <w:sz w:val="18"/>
        </w:rPr>
        <w:t>, ocurrido el 25 de septiembre de 1973, fue atribuido a Montoneros. Aunque existen testimonios y documentos que respaldan esa atribución, la autoría del crimen continúa siendo objeto de controversia historiográfica.</w:t>
      </w:r>
      <w:r w:rsidRPr="00F840BD">
        <w:rPr>
          <w:rFonts w:ascii="Times New Roman" w:hAnsi="Times New Roman" w:cs="Times New Roman"/>
          <w:sz w:val="18"/>
        </w:rPr>
        <w:t xml:space="preserve"> Sabemos que existía una clara </w:t>
      </w:r>
      <w:r w:rsidRPr="00F840BD">
        <w:rPr>
          <w:rFonts w:ascii="Times New Roman" w:hAnsi="Times New Roman" w:cs="Times New Roman"/>
          <w:sz w:val="18"/>
        </w:rPr>
        <w:t>rivalid</w:t>
      </w:r>
      <w:r w:rsidRPr="00F840BD">
        <w:rPr>
          <w:rFonts w:ascii="Times New Roman" w:hAnsi="Times New Roman" w:cs="Times New Roman"/>
          <w:sz w:val="18"/>
        </w:rPr>
        <w:t xml:space="preserve">ad entre </w:t>
      </w:r>
      <w:proofErr w:type="spellStart"/>
      <w:r w:rsidRPr="00F840BD">
        <w:rPr>
          <w:rFonts w:ascii="Times New Roman" w:hAnsi="Times New Roman" w:cs="Times New Roman"/>
          <w:sz w:val="18"/>
        </w:rPr>
        <w:t>Rucci</w:t>
      </w:r>
      <w:proofErr w:type="spellEnd"/>
      <w:r w:rsidRPr="00F840BD">
        <w:rPr>
          <w:rFonts w:ascii="Times New Roman" w:hAnsi="Times New Roman" w:cs="Times New Roman"/>
          <w:sz w:val="18"/>
        </w:rPr>
        <w:t xml:space="preserve"> y Lorenzo Miguel, puesto que a</w:t>
      </w:r>
      <w:r w:rsidRPr="00F840BD">
        <w:rPr>
          <w:rFonts w:ascii="Times New Roman" w:hAnsi="Times New Roman" w:cs="Times New Roman"/>
          <w:sz w:val="18"/>
        </w:rPr>
        <w:t xml:space="preserve">mbos disputaban espacios de poder dentro del sindicalismo peronista. Miguel controlaba la poderosa Unión Obrera Metalúrgica (UOM) y las 62 Organizaciones, mientras </w:t>
      </w:r>
      <w:proofErr w:type="spellStart"/>
      <w:r w:rsidRPr="00F840BD">
        <w:rPr>
          <w:rFonts w:ascii="Times New Roman" w:hAnsi="Times New Roman" w:cs="Times New Roman"/>
          <w:sz w:val="18"/>
        </w:rPr>
        <w:t>Rucci</w:t>
      </w:r>
      <w:proofErr w:type="spellEnd"/>
      <w:r w:rsidRPr="00F840BD">
        <w:rPr>
          <w:rFonts w:ascii="Times New Roman" w:hAnsi="Times New Roman" w:cs="Times New Roman"/>
          <w:sz w:val="18"/>
        </w:rPr>
        <w:t xml:space="preserve"> dirigía la CGT y mantenía una relación privilegiada con Perón. No eran aliados incondicionales, sino dirigentes con intereses y estrategias diferentes.</w:t>
      </w:r>
      <w:r w:rsidRPr="00F840BD">
        <w:rPr>
          <w:rFonts w:ascii="Times New Roman" w:hAnsi="Times New Roman" w:cs="Times New Roman"/>
          <w:sz w:val="18"/>
        </w:rPr>
        <w:t xml:space="preserve"> Por otro lado, también había un </w:t>
      </w:r>
      <w:r w:rsidRPr="00F840BD">
        <w:rPr>
          <w:rFonts w:ascii="Times New Roman" w:hAnsi="Times New Roman" w:cs="Times New Roman"/>
          <w:sz w:val="18"/>
        </w:rPr>
        <w:t xml:space="preserve">enfrentamiento entre </w:t>
      </w:r>
      <w:proofErr w:type="spellStart"/>
      <w:r w:rsidRPr="00F840BD">
        <w:rPr>
          <w:rFonts w:ascii="Times New Roman" w:hAnsi="Times New Roman" w:cs="Times New Roman"/>
          <w:sz w:val="18"/>
        </w:rPr>
        <w:t>Rucci</w:t>
      </w:r>
      <w:proofErr w:type="spellEnd"/>
      <w:r w:rsidRPr="00F840BD">
        <w:rPr>
          <w:rFonts w:ascii="Times New Roman" w:hAnsi="Times New Roman" w:cs="Times New Roman"/>
          <w:sz w:val="18"/>
        </w:rPr>
        <w:t xml:space="preserve"> y López </w:t>
      </w:r>
      <w:proofErr w:type="spellStart"/>
      <w:r w:rsidRPr="00F840BD">
        <w:rPr>
          <w:rFonts w:ascii="Times New Roman" w:hAnsi="Times New Roman" w:cs="Times New Roman"/>
          <w:sz w:val="18"/>
        </w:rPr>
        <w:t>Rega</w:t>
      </w:r>
      <w:proofErr w:type="spellEnd"/>
      <w:r w:rsidRPr="00F840BD">
        <w:rPr>
          <w:rFonts w:ascii="Times New Roman" w:hAnsi="Times New Roman" w:cs="Times New Roman"/>
          <w:sz w:val="18"/>
        </w:rPr>
        <w:t xml:space="preserve">. Aunque ambos pertenecían a sectores enfrentados con la izquierda peronista, competían por la influencia política dentro del movimiento. La historiadora Julieta </w:t>
      </w:r>
      <w:proofErr w:type="spellStart"/>
      <w:r w:rsidRPr="00F840BD">
        <w:rPr>
          <w:rFonts w:ascii="Times New Roman" w:hAnsi="Times New Roman" w:cs="Times New Roman"/>
          <w:sz w:val="18"/>
        </w:rPr>
        <w:t>Rostica</w:t>
      </w:r>
      <w:proofErr w:type="spellEnd"/>
      <w:r w:rsidRPr="00F840BD">
        <w:rPr>
          <w:rFonts w:ascii="Times New Roman" w:hAnsi="Times New Roman" w:cs="Times New Roman"/>
          <w:sz w:val="18"/>
        </w:rPr>
        <w:t xml:space="preserve"> sostiene que existía una competencia entre ambos por la conducción de la derecha peronista y que el asesinato de </w:t>
      </w:r>
      <w:proofErr w:type="spellStart"/>
      <w:r w:rsidRPr="00F840BD">
        <w:rPr>
          <w:rFonts w:ascii="Times New Roman" w:hAnsi="Times New Roman" w:cs="Times New Roman"/>
          <w:sz w:val="18"/>
        </w:rPr>
        <w:t>Rucci</w:t>
      </w:r>
      <w:proofErr w:type="spellEnd"/>
      <w:r w:rsidRPr="00F840BD">
        <w:rPr>
          <w:rFonts w:ascii="Times New Roman" w:hAnsi="Times New Roman" w:cs="Times New Roman"/>
          <w:sz w:val="18"/>
        </w:rPr>
        <w:t xml:space="preserve"> terminó beneficiando políticamente a López </w:t>
      </w:r>
      <w:proofErr w:type="spellStart"/>
      <w:r w:rsidRPr="00F840BD">
        <w:rPr>
          <w:rFonts w:ascii="Times New Roman" w:hAnsi="Times New Roman" w:cs="Times New Roman"/>
          <w:sz w:val="18"/>
        </w:rPr>
        <w:t>Rega</w:t>
      </w:r>
      <w:proofErr w:type="spellEnd"/>
      <w:r w:rsidRPr="00F840BD">
        <w:rPr>
          <w:rFonts w:ascii="Times New Roman" w:hAnsi="Times New Roman" w:cs="Times New Roman"/>
          <w:sz w:val="18"/>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170"/>
    <w:rsid w:val="00031667"/>
    <w:rsid w:val="001C4F43"/>
    <w:rsid w:val="001D6226"/>
    <w:rsid w:val="00221D96"/>
    <w:rsid w:val="002B1A0B"/>
    <w:rsid w:val="002C016C"/>
    <w:rsid w:val="002D0E84"/>
    <w:rsid w:val="002E621C"/>
    <w:rsid w:val="00364D18"/>
    <w:rsid w:val="00366DBE"/>
    <w:rsid w:val="00381170"/>
    <w:rsid w:val="003F7A58"/>
    <w:rsid w:val="00404C7B"/>
    <w:rsid w:val="00496386"/>
    <w:rsid w:val="00545B4F"/>
    <w:rsid w:val="00564E6A"/>
    <w:rsid w:val="00596DAA"/>
    <w:rsid w:val="005C6F96"/>
    <w:rsid w:val="005E0B98"/>
    <w:rsid w:val="005E2E09"/>
    <w:rsid w:val="00624157"/>
    <w:rsid w:val="0063272E"/>
    <w:rsid w:val="0066777B"/>
    <w:rsid w:val="0080570A"/>
    <w:rsid w:val="0089305E"/>
    <w:rsid w:val="008B2C32"/>
    <w:rsid w:val="009431B2"/>
    <w:rsid w:val="00972985"/>
    <w:rsid w:val="009756E9"/>
    <w:rsid w:val="00A12C02"/>
    <w:rsid w:val="00A90EA1"/>
    <w:rsid w:val="00B4087F"/>
    <w:rsid w:val="00D336D4"/>
    <w:rsid w:val="00D477EB"/>
    <w:rsid w:val="00DB622E"/>
    <w:rsid w:val="00DC7369"/>
    <w:rsid w:val="00DD5548"/>
    <w:rsid w:val="00E702A3"/>
    <w:rsid w:val="00E805A4"/>
    <w:rsid w:val="00F003B6"/>
    <w:rsid w:val="00F35886"/>
    <w:rsid w:val="00F47688"/>
    <w:rsid w:val="00F840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E0139"/>
  <w15:chartTrackingRefBased/>
  <w15:docId w15:val="{8C4CE00E-DA12-4263-886B-D5CD1C3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6386"/>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unhideWhenUsed/>
    <w:rsid w:val="0038117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381170"/>
    <w:rPr>
      <w:b/>
      <w:bCs/>
    </w:rPr>
  </w:style>
  <w:style w:type="character" w:styleId="Hyperlink">
    <w:name w:val="Hyperlink"/>
    <w:basedOn w:val="DefaultParagraphFont"/>
    <w:uiPriority w:val="99"/>
    <w:unhideWhenUsed/>
    <w:rsid w:val="00564E6A"/>
    <w:rPr>
      <w:color w:val="0563C1" w:themeColor="hyperlink"/>
      <w:u w:val="single"/>
    </w:rPr>
  </w:style>
  <w:style w:type="character" w:styleId="Emphasis">
    <w:name w:val="Emphasis"/>
    <w:basedOn w:val="DefaultParagraphFont"/>
    <w:uiPriority w:val="20"/>
    <w:qFormat/>
    <w:rsid w:val="00564E6A"/>
    <w:rPr>
      <w:i/>
      <w:iCs/>
    </w:rPr>
  </w:style>
  <w:style w:type="character" w:customStyle="1" w:styleId="Heading3Char">
    <w:name w:val="Heading 3 Char"/>
    <w:basedOn w:val="DefaultParagraphFont"/>
    <w:link w:val="Heading3"/>
    <w:uiPriority w:val="9"/>
    <w:rsid w:val="00496386"/>
    <w:rPr>
      <w:rFonts w:ascii="Times New Roman" w:eastAsia="Times New Roman" w:hAnsi="Times New Roman" w:cs="Times New Roman"/>
      <w:b/>
      <w:bCs/>
      <w:sz w:val="27"/>
      <w:szCs w:val="27"/>
      <w:lang w:val="es-ES" w:eastAsia="es-ES"/>
    </w:rPr>
  </w:style>
  <w:style w:type="paragraph" w:styleId="FootnoteText">
    <w:name w:val="footnote text"/>
    <w:basedOn w:val="Normal"/>
    <w:link w:val="FootnoteTextChar"/>
    <w:uiPriority w:val="99"/>
    <w:semiHidden/>
    <w:unhideWhenUsed/>
    <w:rsid w:val="00DB62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622E"/>
    <w:rPr>
      <w:sz w:val="20"/>
      <w:szCs w:val="20"/>
    </w:rPr>
  </w:style>
  <w:style w:type="character" w:styleId="FootnoteReference">
    <w:name w:val="footnote reference"/>
    <w:basedOn w:val="DefaultParagraphFont"/>
    <w:uiPriority w:val="99"/>
    <w:semiHidden/>
    <w:unhideWhenUsed/>
    <w:rsid w:val="00DB62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057">
      <w:bodyDiv w:val="1"/>
      <w:marLeft w:val="0"/>
      <w:marRight w:val="0"/>
      <w:marTop w:val="0"/>
      <w:marBottom w:val="0"/>
      <w:divBdr>
        <w:top w:val="none" w:sz="0" w:space="0" w:color="auto"/>
        <w:left w:val="none" w:sz="0" w:space="0" w:color="auto"/>
        <w:bottom w:val="none" w:sz="0" w:space="0" w:color="auto"/>
        <w:right w:val="none" w:sz="0" w:space="0" w:color="auto"/>
      </w:divBdr>
    </w:div>
    <w:div w:id="81806935">
      <w:bodyDiv w:val="1"/>
      <w:marLeft w:val="0"/>
      <w:marRight w:val="0"/>
      <w:marTop w:val="0"/>
      <w:marBottom w:val="0"/>
      <w:divBdr>
        <w:top w:val="none" w:sz="0" w:space="0" w:color="auto"/>
        <w:left w:val="none" w:sz="0" w:space="0" w:color="auto"/>
        <w:bottom w:val="none" w:sz="0" w:space="0" w:color="auto"/>
        <w:right w:val="none" w:sz="0" w:space="0" w:color="auto"/>
      </w:divBdr>
    </w:div>
    <w:div w:id="135534697">
      <w:bodyDiv w:val="1"/>
      <w:marLeft w:val="0"/>
      <w:marRight w:val="0"/>
      <w:marTop w:val="0"/>
      <w:marBottom w:val="0"/>
      <w:divBdr>
        <w:top w:val="none" w:sz="0" w:space="0" w:color="auto"/>
        <w:left w:val="none" w:sz="0" w:space="0" w:color="auto"/>
        <w:bottom w:val="none" w:sz="0" w:space="0" w:color="auto"/>
        <w:right w:val="none" w:sz="0" w:space="0" w:color="auto"/>
      </w:divBdr>
    </w:div>
    <w:div w:id="143545478">
      <w:bodyDiv w:val="1"/>
      <w:marLeft w:val="0"/>
      <w:marRight w:val="0"/>
      <w:marTop w:val="0"/>
      <w:marBottom w:val="0"/>
      <w:divBdr>
        <w:top w:val="none" w:sz="0" w:space="0" w:color="auto"/>
        <w:left w:val="none" w:sz="0" w:space="0" w:color="auto"/>
        <w:bottom w:val="none" w:sz="0" w:space="0" w:color="auto"/>
        <w:right w:val="none" w:sz="0" w:space="0" w:color="auto"/>
      </w:divBdr>
    </w:div>
    <w:div w:id="256376922">
      <w:bodyDiv w:val="1"/>
      <w:marLeft w:val="0"/>
      <w:marRight w:val="0"/>
      <w:marTop w:val="0"/>
      <w:marBottom w:val="0"/>
      <w:divBdr>
        <w:top w:val="none" w:sz="0" w:space="0" w:color="auto"/>
        <w:left w:val="none" w:sz="0" w:space="0" w:color="auto"/>
        <w:bottom w:val="none" w:sz="0" w:space="0" w:color="auto"/>
        <w:right w:val="none" w:sz="0" w:space="0" w:color="auto"/>
      </w:divBdr>
    </w:div>
    <w:div w:id="271713080">
      <w:bodyDiv w:val="1"/>
      <w:marLeft w:val="0"/>
      <w:marRight w:val="0"/>
      <w:marTop w:val="0"/>
      <w:marBottom w:val="0"/>
      <w:divBdr>
        <w:top w:val="none" w:sz="0" w:space="0" w:color="auto"/>
        <w:left w:val="none" w:sz="0" w:space="0" w:color="auto"/>
        <w:bottom w:val="none" w:sz="0" w:space="0" w:color="auto"/>
        <w:right w:val="none" w:sz="0" w:space="0" w:color="auto"/>
      </w:divBdr>
    </w:div>
    <w:div w:id="408695126">
      <w:bodyDiv w:val="1"/>
      <w:marLeft w:val="0"/>
      <w:marRight w:val="0"/>
      <w:marTop w:val="0"/>
      <w:marBottom w:val="0"/>
      <w:divBdr>
        <w:top w:val="none" w:sz="0" w:space="0" w:color="auto"/>
        <w:left w:val="none" w:sz="0" w:space="0" w:color="auto"/>
        <w:bottom w:val="none" w:sz="0" w:space="0" w:color="auto"/>
        <w:right w:val="none" w:sz="0" w:space="0" w:color="auto"/>
      </w:divBdr>
    </w:div>
    <w:div w:id="449323528">
      <w:bodyDiv w:val="1"/>
      <w:marLeft w:val="0"/>
      <w:marRight w:val="0"/>
      <w:marTop w:val="0"/>
      <w:marBottom w:val="0"/>
      <w:divBdr>
        <w:top w:val="none" w:sz="0" w:space="0" w:color="auto"/>
        <w:left w:val="none" w:sz="0" w:space="0" w:color="auto"/>
        <w:bottom w:val="none" w:sz="0" w:space="0" w:color="auto"/>
        <w:right w:val="none" w:sz="0" w:space="0" w:color="auto"/>
      </w:divBdr>
    </w:div>
    <w:div w:id="468593640">
      <w:bodyDiv w:val="1"/>
      <w:marLeft w:val="0"/>
      <w:marRight w:val="0"/>
      <w:marTop w:val="0"/>
      <w:marBottom w:val="0"/>
      <w:divBdr>
        <w:top w:val="none" w:sz="0" w:space="0" w:color="auto"/>
        <w:left w:val="none" w:sz="0" w:space="0" w:color="auto"/>
        <w:bottom w:val="none" w:sz="0" w:space="0" w:color="auto"/>
        <w:right w:val="none" w:sz="0" w:space="0" w:color="auto"/>
      </w:divBdr>
    </w:div>
    <w:div w:id="529496928">
      <w:bodyDiv w:val="1"/>
      <w:marLeft w:val="0"/>
      <w:marRight w:val="0"/>
      <w:marTop w:val="0"/>
      <w:marBottom w:val="0"/>
      <w:divBdr>
        <w:top w:val="none" w:sz="0" w:space="0" w:color="auto"/>
        <w:left w:val="none" w:sz="0" w:space="0" w:color="auto"/>
        <w:bottom w:val="none" w:sz="0" w:space="0" w:color="auto"/>
        <w:right w:val="none" w:sz="0" w:space="0" w:color="auto"/>
      </w:divBdr>
    </w:div>
    <w:div w:id="615869729">
      <w:bodyDiv w:val="1"/>
      <w:marLeft w:val="0"/>
      <w:marRight w:val="0"/>
      <w:marTop w:val="0"/>
      <w:marBottom w:val="0"/>
      <w:divBdr>
        <w:top w:val="none" w:sz="0" w:space="0" w:color="auto"/>
        <w:left w:val="none" w:sz="0" w:space="0" w:color="auto"/>
        <w:bottom w:val="none" w:sz="0" w:space="0" w:color="auto"/>
        <w:right w:val="none" w:sz="0" w:space="0" w:color="auto"/>
      </w:divBdr>
    </w:div>
    <w:div w:id="628822188">
      <w:bodyDiv w:val="1"/>
      <w:marLeft w:val="0"/>
      <w:marRight w:val="0"/>
      <w:marTop w:val="0"/>
      <w:marBottom w:val="0"/>
      <w:divBdr>
        <w:top w:val="none" w:sz="0" w:space="0" w:color="auto"/>
        <w:left w:val="none" w:sz="0" w:space="0" w:color="auto"/>
        <w:bottom w:val="none" w:sz="0" w:space="0" w:color="auto"/>
        <w:right w:val="none" w:sz="0" w:space="0" w:color="auto"/>
      </w:divBdr>
    </w:div>
    <w:div w:id="686954110">
      <w:bodyDiv w:val="1"/>
      <w:marLeft w:val="0"/>
      <w:marRight w:val="0"/>
      <w:marTop w:val="0"/>
      <w:marBottom w:val="0"/>
      <w:divBdr>
        <w:top w:val="none" w:sz="0" w:space="0" w:color="auto"/>
        <w:left w:val="none" w:sz="0" w:space="0" w:color="auto"/>
        <w:bottom w:val="none" w:sz="0" w:space="0" w:color="auto"/>
        <w:right w:val="none" w:sz="0" w:space="0" w:color="auto"/>
      </w:divBdr>
    </w:div>
    <w:div w:id="1026906398">
      <w:bodyDiv w:val="1"/>
      <w:marLeft w:val="0"/>
      <w:marRight w:val="0"/>
      <w:marTop w:val="0"/>
      <w:marBottom w:val="0"/>
      <w:divBdr>
        <w:top w:val="none" w:sz="0" w:space="0" w:color="auto"/>
        <w:left w:val="none" w:sz="0" w:space="0" w:color="auto"/>
        <w:bottom w:val="none" w:sz="0" w:space="0" w:color="auto"/>
        <w:right w:val="none" w:sz="0" w:space="0" w:color="auto"/>
      </w:divBdr>
    </w:div>
    <w:div w:id="1061565638">
      <w:bodyDiv w:val="1"/>
      <w:marLeft w:val="0"/>
      <w:marRight w:val="0"/>
      <w:marTop w:val="0"/>
      <w:marBottom w:val="0"/>
      <w:divBdr>
        <w:top w:val="none" w:sz="0" w:space="0" w:color="auto"/>
        <w:left w:val="none" w:sz="0" w:space="0" w:color="auto"/>
        <w:bottom w:val="none" w:sz="0" w:space="0" w:color="auto"/>
        <w:right w:val="none" w:sz="0" w:space="0" w:color="auto"/>
      </w:divBdr>
    </w:div>
    <w:div w:id="1073510817">
      <w:bodyDiv w:val="1"/>
      <w:marLeft w:val="0"/>
      <w:marRight w:val="0"/>
      <w:marTop w:val="0"/>
      <w:marBottom w:val="0"/>
      <w:divBdr>
        <w:top w:val="none" w:sz="0" w:space="0" w:color="auto"/>
        <w:left w:val="none" w:sz="0" w:space="0" w:color="auto"/>
        <w:bottom w:val="none" w:sz="0" w:space="0" w:color="auto"/>
        <w:right w:val="none" w:sz="0" w:space="0" w:color="auto"/>
      </w:divBdr>
    </w:div>
    <w:div w:id="1228420544">
      <w:bodyDiv w:val="1"/>
      <w:marLeft w:val="0"/>
      <w:marRight w:val="0"/>
      <w:marTop w:val="0"/>
      <w:marBottom w:val="0"/>
      <w:divBdr>
        <w:top w:val="none" w:sz="0" w:space="0" w:color="auto"/>
        <w:left w:val="none" w:sz="0" w:space="0" w:color="auto"/>
        <w:bottom w:val="none" w:sz="0" w:space="0" w:color="auto"/>
        <w:right w:val="none" w:sz="0" w:space="0" w:color="auto"/>
      </w:divBdr>
    </w:div>
    <w:div w:id="1233009769">
      <w:bodyDiv w:val="1"/>
      <w:marLeft w:val="0"/>
      <w:marRight w:val="0"/>
      <w:marTop w:val="0"/>
      <w:marBottom w:val="0"/>
      <w:divBdr>
        <w:top w:val="none" w:sz="0" w:space="0" w:color="auto"/>
        <w:left w:val="none" w:sz="0" w:space="0" w:color="auto"/>
        <w:bottom w:val="none" w:sz="0" w:space="0" w:color="auto"/>
        <w:right w:val="none" w:sz="0" w:space="0" w:color="auto"/>
      </w:divBdr>
      <w:divsChild>
        <w:div w:id="467088486">
          <w:marLeft w:val="0"/>
          <w:marRight w:val="0"/>
          <w:marTop w:val="0"/>
          <w:marBottom w:val="0"/>
          <w:divBdr>
            <w:top w:val="none" w:sz="0" w:space="0" w:color="auto"/>
            <w:left w:val="none" w:sz="0" w:space="0" w:color="auto"/>
            <w:bottom w:val="none" w:sz="0" w:space="0" w:color="auto"/>
            <w:right w:val="none" w:sz="0" w:space="0" w:color="auto"/>
          </w:divBdr>
          <w:divsChild>
            <w:div w:id="567960587">
              <w:marLeft w:val="0"/>
              <w:marRight w:val="0"/>
              <w:marTop w:val="0"/>
              <w:marBottom w:val="0"/>
              <w:divBdr>
                <w:top w:val="none" w:sz="0" w:space="0" w:color="auto"/>
                <w:left w:val="none" w:sz="0" w:space="0" w:color="auto"/>
                <w:bottom w:val="none" w:sz="0" w:space="0" w:color="auto"/>
                <w:right w:val="none" w:sz="0" w:space="0" w:color="auto"/>
              </w:divBdr>
              <w:divsChild>
                <w:div w:id="8483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37435">
      <w:bodyDiv w:val="1"/>
      <w:marLeft w:val="0"/>
      <w:marRight w:val="0"/>
      <w:marTop w:val="0"/>
      <w:marBottom w:val="0"/>
      <w:divBdr>
        <w:top w:val="none" w:sz="0" w:space="0" w:color="auto"/>
        <w:left w:val="none" w:sz="0" w:space="0" w:color="auto"/>
        <w:bottom w:val="none" w:sz="0" w:space="0" w:color="auto"/>
        <w:right w:val="none" w:sz="0" w:space="0" w:color="auto"/>
      </w:divBdr>
    </w:div>
    <w:div w:id="1566329267">
      <w:bodyDiv w:val="1"/>
      <w:marLeft w:val="0"/>
      <w:marRight w:val="0"/>
      <w:marTop w:val="0"/>
      <w:marBottom w:val="0"/>
      <w:divBdr>
        <w:top w:val="none" w:sz="0" w:space="0" w:color="auto"/>
        <w:left w:val="none" w:sz="0" w:space="0" w:color="auto"/>
        <w:bottom w:val="none" w:sz="0" w:space="0" w:color="auto"/>
        <w:right w:val="none" w:sz="0" w:space="0" w:color="auto"/>
      </w:divBdr>
    </w:div>
    <w:div w:id="1627462648">
      <w:bodyDiv w:val="1"/>
      <w:marLeft w:val="0"/>
      <w:marRight w:val="0"/>
      <w:marTop w:val="0"/>
      <w:marBottom w:val="0"/>
      <w:divBdr>
        <w:top w:val="none" w:sz="0" w:space="0" w:color="auto"/>
        <w:left w:val="none" w:sz="0" w:space="0" w:color="auto"/>
        <w:bottom w:val="none" w:sz="0" w:space="0" w:color="auto"/>
        <w:right w:val="none" w:sz="0" w:space="0" w:color="auto"/>
      </w:divBdr>
    </w:div>
    <w:div w:id="1646857947">
      <w:bodyDiv w:val="1"/>
      <w:marLeft w:val="0"/>
      <w:marRight w:val="0"/>
      <w:marTop w:val="0"/>
      <w:marBottom w:val="0"/>
      <w:divBdr>
        <w:top w:val="none" w:sz="0" w:space="0" w:color="auto"/>
        <w:left w:val="none" w:sz="0" w:space="0" w:color="auto"/>
        <w:bottom w:val="none" w:sz="0" w:space="0" w:color="auto"/>
        <w:right w:val="none" w:sz="0" w:space="0" w:color="auto"/>
      </w:divBdr>
    </w:div>
    <w:div w:id="1837725835">
      <w:bodyDiv w:val="1"/>
      <w:marLeft w:val="0"/>
      <w:marRight w:val="0"/>
      <w:marTop w:val="0"/>
      <w:marBottom w:val="0"/>
      <w:divBdr>
        <w:top w:val="none" w:sz="0" w:space="0" w:color="auto"/>
        <w:left w:val="none" w:sz="0" w:space="0" w:color="auto"/>
        <w:bottom w:val="none" w:sz="0" w:space="0" w:color="auto"/>
        <w:right w:val="none" w:sz="0" w:space="0" w:color="auto"/>
      </w:divBdr>
    </w:div>
    <w:div w:id="1925067806">
      <w:bodyDiv w:val="1"/>
      <w:marLeft w:val="0"/>
      <w:marRight w:val="0"/>
      <w:marTop w:val="0"/>
      <w:marBottom w:val="0"/>
      <w:divBdr>
        <w:top w:val="none" w:sz="0" w:space="0" w:color="auto"/>
        <w:left w:val="none" w:sz="0" w:space="0" w:color="auto"/>
        <w:bottom w:val="none" w:sz="0" w:space="0" w:color="auto"/>
        <w:right w:val="none" w:sz="0" w:space="0" w:color="auto"/>
      </w:divBdr>
    </w:div>
    <w:div w:id="1983339360">
      <w:bodyDiv w:val="1"/>
      <w:marLeft w:val="0"/>
      <w:marRight w:val="0"/>
      <w:marTop w:val="0"/>
      <w:marBottom w:val="0"/>
      <w:divBdr>
        <w:top w:val="none" w:sz="0" w:space="0" w:color="auto"/>
        <w:left w:val="none" w:sz="0" w:space="0" w:color="auto"/>
        <w:bottom w:val="none" w:sz="0" w:space="0" w:color="auto"/>
        <w:right w:val="none" w:sz="0" w:space="0" w:color="auto"/>
      </w:divBdr>
    </w:div>
    <w:div w:id="2004966916">
      <w:bodyDiv w:val="1"/>
      <w:marLeft w:val="0"/>
      <w:marRight w:val="0"/>
      <w:marTop w:val="0"/>
      <w:marBottom w:val="0"/>
      <w:divBdr>
        <w:top w:val="none" w:sz="0" w:space="0" w:color="auto"/>
        <w:left w:val="none" w:sz="0" w:space="0" w:color="auto"/>
        <w:bottom w:val="none" w:sz="0" w:space="0" w:color="auto"/>
        <w:right w:val="none" w:sz="0" w:space="0" w:color="auto"/>
      </w:divBdr>
    </w:div>
    <w:div w:id="2050568314">
      <w:bodyDiv w:val="1"/>
      <w:marLeft w:val="0"/>
      <w:marRight w:val="0"/>
      <w:marTop w:val="0"/>
      <w:marBottom w:val="0"/>
      <w:divBdr>
        <w:top w:val="none" w:sz="0" w:space="0" w:color="auto"/>
        <w:left w:val="none" w:sz="0" w:space="0" w:color="auto"/>
        <w:bottom w:val="none" w:sz="0" w:space="0" w:color="auto"/>
        <w:right w:val="none" w:sz="0" w:space="0" w:color="auto"/>
      </w:divBdr>
    </w:div>
    <w:div w:id="2102138891">
      <w:bodyDiv w:val="1"/>
      <w:marLeft w:val="0"/>
      <w:marRight w:val="0"/>
      <w:marTop w:val="0"/>
      <w:marBottom w:val="0"/>
      <w:divBdr>
        <w:top w:val="none" w:sz="0" w:space="0" w:color="auto"/>
        <w:left w:val="none" w:sz="0" w:space="0" w:color="auto"/>
        <w:bottom w:val="none" w:sz="0" w:space="0" w:color="auto"/>
        <w:right w:val="none" w:sz="0" w:space="0" w:color="auto"/>
      </w:divBdr>
    </w:div>
    <w:div w:id="2128236371">
      <w:bodyDiv w:val="1"/>
      <w:marLeft w:val="0"/>
      <w:marRight w:val="0"/>
      <w:marTop w:val="0"/>
      <w:marBottom w:val="0"/>
      <w:divBdr>
        <w:top w:val="none" w:sz="0" w:space="0" w:color="auto"/>
        <w:left w:val="none" w:sz="0" w:space="0" w:color="auto"/>
        <w:bottom w:val="none" w:sz="0" w:space="0" w:color="auto"/>
        <w:right w:val="none" w:sz="0" w:space="0" w:color="auto"/>
      </w:divBdr>
    </w:div>
    <w:div w:id="213648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F7536-DD15-4B2E-83C0-5325AFBCE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2299</Words>
  <Characters>12646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7</cp:revision>
  <dcterms:created xsi:type="dcterms:W3CDTF">2026-10-12T21:01:00Z</dcterms:created>
  <dcterms:modified xsi:type="dcterms:W3CDTF">2026-10-12T22:40:00Z</dcterms:modified>
</cp:coreProperties>
</file>