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B5A8" w14:textId="506B66D3" w:rsidR="005A2F72" w:rsidRDefault="005A2F72" w:rsidP="005A2F72">
      <w:pPr>
        <w:pStyle w:val="Title"/>
      </w:pPr>
      <w:r>
        <w:t>Crowdfunding Report</w:t>
      </w:r>
    </w:p>
    <w:p w14:paraId="1BB5AD16" w14:textId="37AA31EF" w:rsidR="005A2F72" w:rsidRDefault="005A2F72" w:rsidP="005A2F72">
      <w:pPr>
        <w:pStyle w:val="Subtitle"/>
      </w:pPr>
      <w:r>
        <w:t>Analysis of Provided Dataset</w:t>
      </w:r>
    </w:p>
    <w:p w14:paraId="478F055A" w14:textId="42F58228" w:rsidR="00CA0A50" w:rsidRPr="00CA0A50" w:rsidRDefault="00CA0A50" w:rsidP="00C33BF9">
      <w:pPr>
        <w:pStyle w:val="Heading1"/>
        <w:spacing w:after="240"/>
      </w:pPr>
      <w:r>
        <w:t>Conclusions</w:t>
      </w:r>
    </w:p>
    <w:p w14:paraId="0EA76C9B" w14:textId="430181CC" w:rsidR="00B44C21" w:rsidRDefault="005A2F72" w:rsidP="00C33BF9">
      <w:pPr>
        <w:spacing w:after="240"/>
      </w:pPr>
      <w:r>
        <w:t>Given the provided data, the following three conclusions can be drawn about crowdfunding campaigns:</w:t>
      </w:r>
    </w:p>
    <w:p w14:paraId="12F28AA1" w14:textId="66424C85" w:rsidR="005A2F72" w:rsidRDefault="00D671E3" w:rsidP="00C33BF9">
      <w:pPr>
        <w:pStyle w:val="ListParagraph"/>
        <w:numPr>
          <w:ilvl w:val="0"/>
          <w:numId w:val="2"/>
        </w:numPr>
        <w:spacing w:after="240"/>
      </w:pPr>
      <w:r>
        <w:t>Regardless of the industry category or sub-category of the campaign, there’s at least about a 50% chance that the campaign will be successful</w:t>
      </w:r>
      <w:r w:rsidR="002C0B23">
        <w:t>.</w:t>
      </w:r>
    </w:p>
    <w:p w14:paraId="0BAF83E5" w14:textId="187E837A" w:rsidR="00D671E3" w:rsidRDefault="00D671E3" w:rsidP="00C33BF9">
      <w:pPr>
        <w:pStyle w:val="ListParagraph"/>
        <w:numPr>
          <w:ilvl w:val="0"/>
          <w:numId w:val="2"/>
        </w:numPr>
        <w:spacing w:after="240"/>
      </w:pPr>
      <w:r>
        <w:t>Campaigns started in June or July will likely have the best chance of being successful as compared with campaigns started in the other months of the year.</w:t>
      </w:r>
    </w:p>
    <w:p w14:paraId="2D36C64F" w14:textId="4886AE25" w:rsidR="005A2F72" w:rsidRDefault="00D671E3" w:rsidP="00C33BF9">
      <w:pPr>
        <w:pStyle w:val="ListParagraph"/>
        <w:numPr>
          <w:ilvl w:val="0"/>
          <w:numId w:val="2"/>
        </w:numPr>
        <w:spacing w:after="240"/>
      </w:pPr>
      <w:r>
        <w:t>Campaigns started in August will likely have the worst chance of being successful as compared with campaigns started in any other month of the year.</w:t>
      </w:r>
    </w:p>
    <w:p w14:paraId="20943483" w14:textId="56A5DC4A" w:rsidR="00CA0A50" w:rsidRDefault="00CA0A50" w:rsidP="00C33BF9">
      <w:pPr>
        <w:pStyle w:val="Heading1"/>
        <w:spacing w:after="240"/>
      </w:pPr>
      <w:r>
        <w:t>Limitations</w:t>
      </w:r>
    </w:p>
    <w:p w14:paraId="50906641" w14:textId="77777777" w:rsidR="001F4569" w:rsidRDefault="00277AE8" w:rsidP="001F4569">
      <w:pPr>
        <w:spacing w:after="240"/>
      </w:pPr>
      <w:r>
        <w:t>One major limitation of the data is that it does not provide a global picture of the success rates of crowdfunding campaigns; countries from Latin America, Eastern Europe, Africa, and Asia aren’t represented in the data at all.</w:t>
      </w:r>
    </w:p>
    <w:p w14:paraId="3F82BBE4" w14:textId="79085ACD" w:rsidR="00277AE8" w:rsidRDefault="00277AE8" w:rsidP="005A2F72">
      <w:r>
        <w:t>A</w:t>
      </w:r>
      <w:r w:rsidR="001F4569">
        <w:t xml:space="preserve">nother major limitation of </w:t>
      </w:r>
      <w:r>
        <w:t>the data</w:t>
      </w:r>
      <w:r w:rsidR="001F4569">
        <w:t xml:space="preserve"> is that they</w:t>
      </w:r>
      <w:r>
        <w:t xml:space="preserve"> are from the decade or so </w:t>
      </w:r>
      <w:r w:rsidRPr="00277AE8">
        <w:rPr>
          <w:rStyle w:val="Emphasis"/>
        </w:rPr>
        <w:t>prior</w:t>
      </w:r>
      <w:r>
        <w:t xml:space="preserve"> to the global Covid-19 pandemic; because of the pandemic’s impact on global economies, this dataset might not provide a clear picture of current success rates, even in the countries that are represented by the set.</w:t>
      </w:r>
    </w:p>
    <w:p w14:paraId="1ED8C5A0" w14:textId="1CC69B73" w:rsidR="00CA0A50" w:rsidRDefault="00CA0A50" w:rsidP="001F4569">
      <w:pPr>
        <w:pStyle w:val="Heading1"/>
        <w:spacing w:after="240"/>
      </w:pPr>
      <w:r>
        <w:t>Other Tables and/or Graphs to Consider</w:t>
      </w:r>
    </w:p>
    <w:p w14:paraId="3E20CD6A" w14:textId="038607EC" w:rsidR="00AA23FE" w:rsidRDefault="00A93C1F" w:rsidP="00E320DF">
      <w:pPr>
        <w:spacing w:after="240"/>
      </w:pPr>
      <w:r>
        <w:t xml:space="preserve">One potentially predictive </w:t>
      </w:r>
      <w:r w:rsidR="00C33BF9">
        <w:t>table</w:t>
      </w:r>
      <w:r w:rsidR="006A39E5">
        <w:t>/graph</w:t>
      </w:r>
      <w:r w:rsidR="00C33BF9">
        <w:t xml:space="preserve"> is</w:t>
      </w:r>
      <w:r>
        <w:t xml:space="preserve"> generated by</w:t>
      </w:r>
      <w:r w:rsidR="00C33BF9">
        <w:t xml:space="preserve"> first</w:t>
      </w:r>
      <w:r>
        <w:t xml:space="preserve"> calculating the average donation</w:t>
      </w:r>
      <w:r w:rsidR="00C33BF9" w:rsidRPr="00C33BF9">
        <w:t xml:space="preserve"> </w:t>
      </w:r>
      <w:r w:rsidR="00C33BF9">
        <w:t>as a percentage of the total goal for each campaign</w:t>
      </w:r>
      <w:r w:rsidR="00AA23FE">
        <w:t xml:space="preserve"> (to normalize/account for currency differences)</w:t>
      </w:r>
      <w:r w:rsidR="00C33BF9">
        <w:t>, then calculating and plotting the mean and median of those based on the campaigns’ outcomes</w:t>
      </w:r>
      <w:r>
        <w:t>.</w:t>
      </w:r>
      <w:r w:rsidR="00C33BF9">
        <w:t xml:space="preserve"> T</w:t>
      </w:r>
      <w:r>
        <w:t>here is a clear difference between successful and canceled/failed campaigns</w:t>
      </w:r>
      <w:r w:rsidR="00C33BF9">
        <w:t xml:space="preserve"> (more than double in either case</w:t>
      </w:r>
      <w:r w:rsidR="001F4569">
        <w:t xml:space="preserve">) </w:t>
      </w:r>
      <w:r w:rsidR="006A39E5">
        <w:t>which</w:t>
      </w:r>
      <w:r w:rsidR="001F4569">
        <w:t xml:space="preserve"> is easy to visualize with a bar graph.</w:t>
      </w:r>
    </w:p>
    <w:p w14:paraId="2B0AE351" w14:textId="153855FD" w:rsidR="00AA23FE" w:rsidRDefault="00AA23FE" w:rsidP="00AA23FE">
      <w:pPr>
        <w:jc w:val="center"/>
      </w:pPr>
      <w:r>
        <w:rPr>
          <w:noProof/>
        </w:rPr>
        <w:lastRenderedPageBreak/>
        <w:drawing>
          <wp:inline distT="0" distB="0" distL="0" distR="0" wp14:anchorId="2D4784AE" wp14:editId="0590064B">
            <wp:extent cx="3502890" cy="2286000"/>
            <wp:effectExtent l="0" t="0" r="2540" b="0"/>
            <wp:docPr id="172209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98094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8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2494" w14:textId="16CC5913" w:rsidR="005A2F72" w:rsidRDefault="00A93C1F" w:rsidP="00E320DF">
      <w:pPr>
        <w:spacing w:before="240" w:after="240"/>
      </w:pPr>
      <w:r>
        <w:t xml:space="preserve">This could be used to predict the outcome of </w:t>
      </w:r>
      <w:r w:rsidR="006A39E5">
        <w:t>ongoing</w:t>
      </w:r>
      <w:r>
        <w:t xml:space="preserve"> campaigns</w:t>
      </w:r>
      <w:r w:rsidR="006A39E5">
        <w:t xml:space="preserve"> with at least some donations</w:t>
      </w:r>
      <w:r>
        <w:t>.</w:t>
      </w:r>
      <w:r w:rsidR="002C0B23">
        <w:t xml:space="preserve"> Please see “OtherTables&amp;Graphs_CE.xlsx” for reference.</w:t>
      </w:r>
    </w:p>
    <w:p w14:paraId="45226194" w14:textId="1510E437" w:rsidR="00E320DF" w:rsidRDefault="00E320DF" w:rsidP="00E320DF">
      <w:pPr>
        <w:spacing w:after="240"/>
      </w:pPr>
      <w:r>
        <w:t xml:space="preserve">Another potentially useful table/graph </w:t>
      </w:r>
      <w:r w:rsidR="006A39E5">
        <w:t xml:space="preserve">investigates the relationship between </w:t>
      </w:r>
      <w:proofErr w:type="spellStart"/>
      <w:r w:rsidR="006A39E5">
        <w:t>staff_pick</w:t>
      </w:r>
      <w:proofErr w:type="spellEnd"/>
      <w:r w:rsidR="006A39E5">
        <w:t>/spotlight and campaign outcome. Although these two columns are not described to reflect their meaning</w:t>
      </w:r>
      <w:r w:rsidR="008A387E">
        <w:t>, their relationship to campaign outcome can still be explored.</w:t>
      </w:r>
    </w:p>
    <w:p w14:paraId="2D5BBC90" w14:textId="12041311" w:rsidR="008A387E" w:rsidRDefault="008A387E" w:rsidP="008A387E">
      <w:pPr>
        <w:spacing w:after="240"/>
        <w:jc w:val="center"/>
      </w:pPr>
      <w:r w:rsidRPr="008A387E">
        <w:drawing>
          <wp:inline distT="0" distB="0" distL="0" distR="0" wp14:anchorId="415C1F75" wp14:editId="64712858">
            <wp:extent cx="3041780" cy="914400"/>
            <wp:effectExtent l="0" t="0" r="6350" b="0"/>
            <wp:docPr id="584524786" name="Picture 1" descr="A table with numbers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24786" name="Picture 1" descr="A table with numbers and word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7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1A2A" w14:textId="3FF45974" w:rsidR="008A387E" w:rsidRDefault="008A387E" w:rsidP="00E320DF">
      <w:pPr>
        <w:spacing w:after="240"/>
      </w:pPr>
      <w:r>
        <w:t xml:space="preserve">If </w:t>
      </w:r>
      <w:proofErr w:type="spellStart"/>
      <w:r>
        <w:t>staff_pick</w:t>
      </w:r>
      <w:proofErr w:type="spellEnd"/>
      <w:r>
        <w:t xml:space="preserve"> and spotlight are both true, there’s a </w:t>
      </w:r>
      <w:r w:rsidRPr="008A387E">
        <w:rPr>
          <w:rStyle w:val="Emphasis"/>
        </w:rPr>
        <w:t>slightly</w:t>
      </w:r>
      <w:r>
        <w:t xml:space="preserve"> increased chance for success, compared to whether one </w:t>
      </w:r>
      <w:proofErr w:type="gramStart"/>
      <w:r>
        <w:t>is</w:t>
      </w:r>
      <w:proofErr w:type="gramEnd"/>
      <w:r>
        <w:t xml:space="preserve"> or both are false (which are all relatively similar). This likely doesn’t have too much predictive power for ongoing or future campaigns.</w:t>
      </w:r>
      <w:r w:rsidRPr="008A387E">
        <w:t xml:space="preserve"> </w:t>
      </w:r>
      <w:r>
        <w:t>Please see “OtherTables&amp;Graphs_CE.xlsx” for reference</w:t>
      </w:r>
      <w:r>
        <w:t>.</w:t>
      </w:r>
    </w:p>
    <w:sectPr w:rsidR="008A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418B5"/>
    <w:multiLevelType w:val="hybridMultilevel"/>
    <w:tmpl w:val="25221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213B0"/>
    <w:multiLevelType w:val="hybridMultilevel"/>
    <w:tmpl w:val="E0E43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584381">
    <w:abstractNumId w:val="1"/>
  </w:num>
  <w:num w:numId="2" w16cid:durableId="20645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CF"/>
    <w:rsid w:val="001F4569"/>
    <w:rsid w:val="00234067"/>
    <w:rsid w:val="00277AE8"/>
    <w:rsid w:val="002C0B23"/>
    <w:rsid w:val="005A2F72"/>
    <w:rsid w:val="006A39E5"/>
    <w:rsid w:val="008A387E"/>
    <w:rsid w:val="00A93C1F"/>
    <w:rsid w:val="00AA23FE"/>
    <w:rsid w:val="00B44C21"/>
    <w:rsid w:val="00C33BF9"/>
    <w:rsid w:val="00CA0A50"/>
    <w:rsid w:val="00D671E3"/>
    <w:rsid w:val="00E320DF"/>
    <w:rsid w:val="00E7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696C"/>
  <w15:chartTrackingRefBased/>
  <w15:docId w15:val="{20A873B6-C129-9941-8CC8-30555A72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A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2F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F7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2F7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A0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77A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Engelhart</dc:creator>
  <cp:keywords/>
  <dc:description/>
  <cp:lastModifiedBy>Curtis Engelhart</cp:lastModifiedBy>
  <cp:revision>7</cp:revision>
  <dcterms:created xsi:type="dcterms:W3CDTF">2023-12-20T02:54:00Z</dcterms:created>
  <dcterms:modified xsi:type="dcterms:W3CDTF">2023-12-21T22:32:00Z</dcterms:modified>
</cp:coreProperties>
</file>