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70" w:rsidRDefault="00C84BF3">
      <w:pPr>
        <w:rPr>
          <w:b/>
          <w:sz w:val="28"/>
        </w:rPr>
      </w:pPr>
      <w:r w:rsidRPr="00C84BF3">
        <w:rPr>
          <w:b/>
          <w:sz w:val="28"/>
        </w:rPr>
        <w:t xml:space="preserve">DENEY </w:t>
      </w:r>
      <w:r w:rsidR="009F43BA">
        <w:rPr>
          <w:b/>
          <w:sz w:val="28"/>
        </w:rPr>
        <w:t>3</w:t>
      </w:r>
      <w:bookmarkStart w:id="0" w:name="_GoBack"/>
      <w:bookmarkEnd w:id="0"/>
      <w:r w:rsidRPr="00C84BF3">
        <w:rPr>
          <w:b/>
          <w:sz w:val="28"/>
        </w:rPr>
        <w:t xml:space="preserve">: </w:t>
      </w:r>
      <w:r w:rsidR="00435210">
        <w:rPr>
          <w:b/>
          <w:sz w:val="28"/>
        </w:rPr>
        <w:t>WHEATSTONE KÖPRÜSÜ</w:t>
      </w:r>
    </w:p>
    <w:p w:rsidR="00523B29" w:rsidRDefault="00523B29">
      <w:pPr>
        <w:rPr>
          <w:b/>
          <w:sz w:val="24"/>
        </w:rPr>
      </w:pPr>
      <w:r>
        <w:rPr>
          <w:b/>
          <w:sz w:val="24"/>
        </w:rPr>
        <w:t>1</w:t>
      </w:r>
      <w:r w:rsidR="00C739B2">
        <w:rPr>
          <w:b/>
          <w:sz w:val="24"/>
        </w:rPr>
        <w:t>.</w:t>
      </w:r>
      <w:r>
        <w:rPr>
          <w:b/>
          <w:sz w:val="24"/>
        </w:rPr>
        <w:t xml:space="preserve"> Açıklama</w:t>
      </w:r>
    </w:p>
    <w:p w:rsidR="00523B29" w:rsidRPr="003D1E99" w:rsidRDefault="00C84BF3" w:rsidP="00435210">
      <w:pPr>
        <w:jc w:val="both"/>
      </w:pPr>
      <w:r>
        <w:t>Bu deney</w:t>
      </w:r>
      <w:r w:rsidR="00435210">
        <w:t>de</w:t>
      </w:r>
      <w:r w:rsidR="0027209F">
        <w:t xml:space="preserve">, </w:t>
      </w:r>
      <w:r w:rsidR="00435210">
        <w:t xml:space="preserve">dengeli bir </w:t>
      </w:r>
      <w:proofErr w:type="spellStart"/>
      <w:r w:rsidR="00435210">
        <w:t>Wheatstone</w:t>
      </w:r>
      <w:proofErr w:type="spellEnd"/>
      <w:r w:rsidR="00435210">
        <w:t xml:space="preserve"> köprüsünün analizi yapılacak ve dengesiz bir köprüye </w:t>
      </w:r>
      <w:proofErr w:type="spellStart"/>
      <w:r w:rsidR="0027209F">
        <w:t>Thevenin</w:t>
      </w:r>
      <w:proofErr w:type="spellEnd"/>
      <w:r w:rsidR="0027209F">
        <w:t xml:space="preserve"> teoremi</w:t>
      </w:r>
      <w:r w:rsidR="00435210">
        <w:t xml:space="preserve"> uygulanacaktır. Temel </w:t>
      </w:r>
      <w:proofErr w:type="spellStart"/>
      <w:r w:rsidR="00435210">
        <w:t>Wheatstone</w:t>
      </w:r>
      <w:proofErr w:type="spellEnd"/>
      <w:r w:rsidR="00435210">
        <w:t xml:space="preserve"> köprüsü çok eskiden beri kullanılmaktadır. Günümüzde ise sıfır göstergeli aletlerde çok kullanılır. Şekil 1.a </w:t>
      </w:r>
      <w:proofErr w:type="spellStart"/>
      <w:r w:rsidR="00435210">
        <w:t>daki</w:t>
      </w:r>
      <w:proofErr w:type="spellEnd"/>
      <w:r w:rsidR="00435210">
        <w:t xml:space="preserve"> devrede R</w:t>
      </w:r>
      <w:r w:rsidR="00435210" w:rsidRPr="00435210">
        <w:rPr>
          <w:vertAlign w:val="subscript"/>
        </w:rPr>
        <w:t>1</w:t>
      </w:r>
      <w:r w:rsidR="00435210">
        <w:t>R</w:t>
      </w:r>
      <w:r w:rsidR="00435210" w:rsidRPr="00435210">
        <w:rPr>
          <w:vertAlign w:val="subscript"/>
        </w:rPr>
        <w:t>4</w:t>
      </w:r>
      <w:r w:rsidR="00435210">
        <w:t>=R</w:t>
      </w:r>
      <w:r w:rsidR="00435210" w:rsidRPr="00435210">
        <w:rPr>
          <w:vertAlign w:val="subscript"/>
        </w:rPr>
        <w:t>2</w:t>
      </w:r>
      <w:r w:rsidR="00435210">
        <w:t>R</w:t>
      </w:r>
      <w:r w:rsidR="00435210" w:rsidRPr="00435210">
        <w:rPr>
          <w:vertAlign w:val="subscript"/>
        </w:rPr>
        <w:t>3</w:t>
      </w:r>
      <w:r w:rsidR="0027209F">
        <w:t xml:space="preserve"> </w:t>
      </w:r>
      <w:r w:rsidR="00435210">
        <w:t xml:space="preserve">eşitliği sağlandığında köprü dengededir ve ampermetreden akım akmaz. </w:t>
      </w:r>
      <w:proofErr w:type="spellStart"/>
      <w:r w:rsidR="00435210">
        <w:t>Wheatstone</w:t>
      </w:r>
      <w:proofErr w:type="spellEnd"/>
      <w:r w:rsidR="00435210">
        <w:t xml:space="preserve"> köprüsünün asıl kullanım amacı direnç ölçümüdür.</w:t>
      </w:r>
      <w:r w:rsidR="00523B29" w:rsidRPr="003D1E99">
        <w:t xml:space="preserve"> </w:t>
      </w:r>
    </w:p>
    <w:p w:rsidR="00104804" w:rsidRPr="00104804" w:rsidRDefault="0097496D" w:rsidP="00523B29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AF7E1F">
        <w:rPr>
          <w:b/>
          <w:sz w:val="24"/>
        </w:rPr>
        <w:t>.</w:t>
      </w:r>
      <w:r w:rsidR="001A5F6B">
        <w:rPr>
          <w:b/>
          <w:sz w:val="24"/>
        </w:rPr>
        <w:t xml:space="preserve"> </w:t>
      </w:r>
      <w:r w:rsidR="00104804" w:rsidRPr="00104804">
        <w:rPr>
          <w:b/>
          <w:sz w:val="24"/>
        </w:rPr>
        <w:t>Gerekli Cihaz ve Elemanlar</w:t>
      </w:r>
    </w:p>
    <w:p w:rsidR="00104804" w:rsidRDefault="00C64442" w:rsidP="00C64442">
      <w:pPr>
        <w:pStyle w:val="ListeParagraf"/>
        <w:numPr>
          <w:ilvl w:val="0"/>
          <w:numId w:val="1"/>
        </w:numPr>
        <w:jc w:val="both"/>
      </w:pPr>
      <w:r>
        <w:t xml:space="preserve">1 adet </w:t>
      </w:r>
      <w:r w:rsidR="000402B8">
        <w:t>dc</w:t>
      </w:r>
      <w:r>
        <w:t xml:space="preserve"> güç kaynağı</w:t>
      </w:r>
    </w:p>
    <w:p w:rsidR="00C64442" w:rsidRDefault="000402B8" w:rsidP="00C64442">
      <w:pPr>
        <w:pStyle w:val="ListeParagraf"/>
        <w:numPr>
          <w:ilvl w:val="0"/>
          <w:numId w:val="1"/>
        </w:numPr>
        <w:jc w:val="both"/>
      </w:pPr>
      <w:r>
        <w:t>1</w:t>
      </w:r>
      <w:r w:rsidR="00C64442">
        <w:t xml:space="preserve"> adet </w:t>
      </w:r>
      <w:proofErr w:type="spellStart"/>
      <w:r w:rsidR="00C64442">
        <w:t>avometre</w:t>
      </w:r>
      <w:proofErr w:type="spellEnd"/>
    </w:p>
    <w:p w:rsidR="00435210" w:rsidRDefault="00501EC5" w:rsidP="00C64442">
      <w:pPr>
        <w:pStyle w:val="ListeParagraf"/>
        <w:numPr>
          <w:ilvl w:val="0"/>
          <w:numId w:val="1"/>
        </w:numPr>
        <w:jc w:val="both"/>
      </w:pPr>
      <w:r>
        <w:t xml:space="preserve">4 adet </w:t>
      </w:r>
      <w:r w:rsidR="00435210">
        <w:t>direnç</w:t>
      </w:r>
      <w:r w:rsidR="00D62162">
        <w:t xml:space="preserve"> (</w:t>
      </w:r>
      <w:proofErr w:type="gramStart"/>
      <w:r w:rsidR="00D62162">
        <w:t>2.2</w:t>
      </w:r>
      <w:proofErr w:type="gramEnd"/>
      <w:r w:rsidR="00D62162">
        <w:t xml:space="preserve"> k</w:t>
      </w:r>
      <w:r w:rsidR="00D62162">
        <w:rPr>
          <w:rFonts w:cstheme="minorHAnsi"/>
        </w:rPr>
        <w:t xml:space="preserve">Ω, </w:t>
      </w:r>
      <w:r w:rsidR="00D62162">
        <w:t>2.2 k</w:t>
      </w:r>
      <w:r w:rsidR="00D62162">
        <w:rPr>
          <w:rFonts w:cstheme="minorHAnsi"/>
        </w:rPr>
        <w:t xml:space="preserve">Ω, </w:t>
      </w:r>
      <w:r w:rsidR="00D62162">
        <w:t>8.2 k</w:t>
      </w:r>
      <w:r w:rsidR="00D62162">
        <w:rPr>
          <w:rFonts w:cstheme="minorHAnsi"/>
        </w:rPr>
        <w:t xml:space="preserve">Ω, </w:t>
      </w:r>
      <w:r w:rsidR="00D62162">
        <w:t>3.9 k</w:t>
      </w:r>
      <w:r w:rsidR="00D62162">
        <w:rPr>
          <w:rFonts w:cstheme="minorHAnsi"/>
        </w:rPr>
        <w:t>Ω</w:t>
      </w:r>
      <w:r w:rsidR="00D62162">
        <w:t>)</w:t>
      </w:r>
    </w:p>
    <w:p w:rsidR="0005130D" w:rsidRDefault="0005130D" w:rsidP="0005130D">
      <w:pPr>
        <w:pStyle w:val="ListeParagraf"/>
        <w:numPr>
          <w:ilvl w:val="0"/>
          <w:numId w:val="1"/>
        </w:numPr>
        <w:jc w:val="both"/>
      </w:pPr>
      <w:r>
        <w:t>Direnç kutusu</w:t>
      </w:r>
    </w:p>
    <w:p w:rsidR="001A5F6B" w:rsidRDefault="0005130D" w:rsidP="001A5F6B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="00A563F7">
        <w:rPr>
          <w:b/>
          <w:sz w:val="24"/>
        </w:rPr>
        <w:t>.</w:t>
      </w:r>
      <w:r w:rsidR="001A5F6B" w:rsidRPr="000D4142">
        <w:rPr>
          <w:b/>
          <w:sz w:val="24"/>
        </w:rPr>
        <w:t xml:space="preserve"> Yapılacak İşlemler</w:t>
      </w:r>
    </w:p>
    <w:p w:rsidR="00501EC5" w:rsidRPr="00501EC5" w:rsidRDefault="00501EC5" w:rsidP="00CF3C55">
      <w:pPr>
        <w:pStyle w:val="ListeParagraf"/>
        <w:numPr>
          <w:ilvl w:val="0"/>
          <w:numId w:val="10"/>
        </w:numPr>
        <w:jc w:val="both"/>
      </w:pPr>
      <w:r>
        <w:t>2.2 k</w:t>
      </w:r>
      <w:r>
        <w:rPr>
          <w:rFonts w:cstheme="minorHAnsi"/>
        </w:rPr>
        <w:t>Ω’</w:t>
      </w:r>
      <w:proofErr w:type="spellStart"/>
      <w:r>
        <w:rPr>
          <w:rFonts w:cstheme="minorHAnsi"/>
        </w:rPr>
        <w:t>luk</w:t>
      </w:r>
      <w:proofErr w:type="spellEnd"/>
      <w:r>
        <w:rPr>
          <w:rFonts w:cstheme="minorHAnsi"/>
        </w:rPr>
        <w:t xml:space="preserve"> dirençlerin değerlerini ölçüp Tablo 1’e kaydediniz.</w:t>
      </w:r>
    </w:p>
    <w:p w:rsidR="00501EC5" w:rsidRDefault="00501EC5" w:rsidP="00CF3C55">
      <w:pPr>
        <w:pStyle w:val="ListeParagraf"/>
        <w:numPr>
          <w:ilvl w:val="0"/>
          <w:numId w:val="10"/>
        </w:numPr>
        <w:jc w:val="both"/>
      </w:pPr>
      <w:r w:rsidRPr="00501EC5">
        <w:rPr>
          <w:rFonts w:cstheme="minorHAnsi"/>
        </w:rPr>
        <w:t xml:space="preserve">Şekil </w:t>
      </w:r>
      <w:r w:rsidR="00247417">
        <w:rPr>
          <w:rFonts w:cstheme="minorHAnsi"/>
        </w:rPr>
        <w:t>1</w:t>
      </w:r>
      <w:r w:rsidRPr="00501EC5">
        <w:rPr>
          <w:rFonts w:cstheme="minorHAnsi"/>
        </w:rPr>
        <w:t>’deki devreyi kurunuz.</w:t>
      </w:r>
      <w:r w:rsidRPr="00CF3C55">
        <w:t xml:space="preserve"> </w:t>
      </w:r>
    </w:p>
    <w:p w:rsidR="00501EC5" w:rsidRDefault="00501EC5" w:rsidP="00CF3C55">
      <w:pPr>
        <w:pStyle w:val="ListeParagraf"/>
        <w:numPr>
          <w:ilvl w:val="0"/>
          <w:numId w:val="10"/>
        </w:numPr>
        <w:jc w:val="both"/>
      </w:pPr>
      <w:r>
        <w:t>I</w:t>
      </w:r>
      <w:r w:rsidRPr="00501EC5">
        <w:rPr>
          <w:vertAlign w:val="subscript"/>
        </w:rPr>
        <w:t>1</w:t>
      </w:r>
      <w:r>
        <w:t>, I</w:t>
      </w:r>
      <w:r w:rsidRPr="00501EC5">
        <w:rPr>
          <w:vertAlign w:val="subscript"/>
        </w:rPr>
        <w:t>2</w:t>
      </w:r>
      <w:r>
        <w:t>, I</w:t>
      </w:r>
      <w:r w:rsidRPr="00501EC5">
        <w:rPr>
          <w:vertAlign w:val="subscript"/>
        </w:rPr>
        <w:t xml:space="preserve">3, </w:t>
      </w:r>
      <w:r>
        <w:t>I</w:t>
      </w:r>
      <w:r w:rsidRPr="00501EC5">
        <w:rPr>
          <w:vertAlign w:val="subscript"/>
        </w:rPr>
        <w:t>4</w:t>
      </w:r>
      <w:r>
        <w:t xml:space="preserve"> ve I</w:t>
      </w:r>
      <w:r w:rsidRPr="00501EC5">
        <w:rPr>
          <w:vertAlign w:val="subscript"/>
        </w:rPr>
        <w:t xml:space="preserve">5 </w:t>
      </w:r>
      <w:r>
        <w:t>akımlarını ölçüp tabloya kaydediniz.</w:t>
      </w:r>
    </w:p>
    <w:p w:rsidR="001D09CB" w:rsidRDefault="00501EC5" w:rsidP="00CF3C55">
      <w:pPr>
        <w:pStyle w:val="ListeParagraf"/>
        <w:numPr>
          <w:ilvl w:val="0"/>
          <w:numId w:val="10"/>
        </w:numPr>
        <w:jc w:val="both"/>
      </w:pPr>
      <w:r>
        <w:t xml:space="preserve">Şekil </w:t>
      </w:r>
      <w:r w:rsidR="001D09CB">
        <w:t>2</w:t>
      </w:r>
      <w:r>
        <w:t xml:space="preserve">’deki devrede ampermetreyi devreden çıkartıp A – B noktalarına göre </w:t>
      </w:r>
      <w:proofErr w:type="spellStart"/>
      <w:r>
        <w:t>Thevenin</w:t>
      </w:r>
      <w:proofErr w:type="spellEnd"/>
      <w:r>
        <w:t xml:space="preserve"> eşdeğer elemanlarını hesaplayınız ve Tablo 1’e kaydediniz.</w:t>
      </w:r>
    </w:p>
    <w:p w:rsidR="00EC4AD1" w:rsidRDefault="00EC4AD1" w:rsidP="00CF3C55">
      <w:pPr>
        <w:pStyle w:val="ListeParagraf"/>
        <w:numPr>
          <w:ilvl w:val="0"/>
          <w:numId w:val="10"/>
        </w:numPr>
        <w:jc w:val="both"/>
      </w:pPr>
      <w:r>
        <w:t xml:space="preserve">Hesapladığınız değerlere </w:t>
      </w:r>
      <w:r w:rsidR="001D09CB">
        <w:t>göre</w:t>
      </w:r>
      <w:r>
        <w:t xml:space="preserve"> Şekil </w:t>
      </w:r>
      <w:r w:rsidR="00247417">
        <w:t>3</w:t>
      </w:r>
      <w:r>
        <w:t>’deki devreyi kur</w:t>
      </w:r>
      <w:r w:rsidR="00247417">
        <w:t>unuz</w:t>
      </w:r>
      <w:r>
        <w:t>.</w:t>
      </w:r>
      <w:r w:rsidR="00AC6862">
        <w:t xml:space="preserve"> Ampermetreden akan akımı Tablo 1’e kaydediniz.</w:t>
      </w:r>
    </w:p>
    <w:p w:rsidR="006B5D64" w:rsidRDefault="006B5D64" w:rsidP="00CF3C55">
      <w:pPr>
        <w:pStyle w:val="ListeParagraf"/>
        <w:numPr>
          <w:ilvl w:val="0"/>
          <w:numId w:val="10"/>
        </w:numPr>
        <w:jc w:val="both"/>
      </w:pPr>
      <w:r>
        <w:t>5. adımdan faydalanarak ampermetrenin iç direncini hesaplayınız.</w:t>
      </w:r>
    </w:p>
    <w:p w:rsidR="00D077DC" w:rsidRDefault="009F43BA" w:rsidP="00D077DC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97.3pt;margin-top:116.45pt;width:1in;height:25pt;z-index:251666432" filled="f" stroked="f">
            <v:textbox>
              <w:txbxContent>
                <w:p w:rsidR="00D077DC" w:rsidRDefault="00D077DC" w:rsidP="00D077DC">
                  <w:pPr>
                    <w:jc w:val="center"/>
                  </w:pPr>
                  <w:r>
                    <w:t>Şekil 1</w:t>
                  </w:r>
                </w:p>
              </w:txbxContent>
            </v:textbox>
          </v:shape>
        </w:pict>
      </w:r>
      <w:r w:rsidR="00046EA3">
        <w:object w:dxaOrig="2168" w:dyaOrig="1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131.5pt" o:ole="">
            <v:imagedata r:id="rId7" o:title=""/>
          </v:shape>
          <o:OLEObject Type="Embed" ProgID="Visio.Drawing.11" ShapeID="_x0000_i1025" DrawAspect="Content" ObjectID="_1518257056" r:id="rId8"/>
        </w:object>
      </w:r>
    </w:p>
    <w:p w:rsidR="00D62162" w:rsidRDefault="009F43BA" w:rsidP="00D077DC">
      <w:pPr>
        <w:jc w:val="center"/>
      </w:pPr>
      <w:r>
        <w:rPr>
          <w:noProof/>
        </w:rPr>
        <w:pict>
          <v:shape id="_x0000_s1051" type="#_x0000_t202" style="position:absolute;left:0;text-align:left;margin-left:190.1pt;margin-top:121pt;width:1in;height:25pt;z-index:251667456" filled="f" stroked="f">
            <v:textbox>
              <w:txbxContent>
                <w:p w:rsidR="006C462A" w:rsidRDefault="006C462A" w:rsidP="006C462A">
                  <w:pPr>
                    <w:jc w:val="center"/>
                  </w:pPr>
                  <w:r>
                    <w:t>Şekil 2</w:t>
                  </w:r>
                </w:p>
              </w:txbxContent>
            </v:textbox>
          </v:shape>
        </w:pict>
      </w:r>
      <w:r w:rsidR="00D62162">
        <w:rPr>
          <w:noProof/>
        </w:rPr>
        <w:drawing>
          <wp:inline distT="0" distB="0" distL="0" distR="0">
            <wp:extent cx="2676443" cy="1562290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11" cy="15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7DC" w:rsidRDefault="00D077DC" w:rsidP="00D077DC">
      <w:pPr>
        <w:jc w:val="center"/>
      </w:pPr>
    </w:p>
    <w:p w:rsidR="00AB3BAB" w:rsidRDefault="009F43BA" w:rsidP="00AB3BAB">
      <w:pPr>
        <w:jc w:val="center"/>
      </w:pPr>
      <w:r>
        <w:rPr>
          <w:noProof/>
        </w:rPr>
        <w:lastRenderedPageBreak/>
        <w:pict>
          <v:shape id="_x0000_s1049" type="#_x0000_t202" style="position:absolute;left:0;text-align:left;margin-left:197.3pt;margin-top:79.05pt;width:1in;height:25pt;z-index:251665408" filled="f" stroked="f">
            <v:textbox>
              <w:txbxContent>
                <w:p w:rsidR="00AB3BAB" w:rsidRDefault="00AB3BAB" w:rsidP="00AB3BAB">
                  <w:pPr>
                    <w:jc w:val="center"/>
                  </w:pPr>
                  <w:r>
                    <w:t>Şekil 3</w:t>
                  </w:r>
                </w:p>
              </w:txbxContent>
            </v:textbox>
          </v:shape>
        </w:pict>
      </w:r>
      <w:r w:rsidR="00AB3BAB">
        <w:object w:dxaOrig="1646" w:dyaOrig="961">
          <v:shape id="_x0000_i1026" type="#_x0000_t75" style="width:170.9pt;height:98.9pt" o:ole="">
            <v:imagedata r:id="rId10" o:title=""/>
          </v:shape>
          <o:OLEObject Type="Embed" ProgID="Visio.Drawing.11" ShapeID="_x0000_i1026" DrawAspect="Content" ObjectID="_1518257057" r:id="rId11"/>
        </w:object>
      </w:r>
    </w:p>
    <w:p w:rsidR="006B5D64" w:rsidRDefault="006B5D64" w:rsidP="00CF3C55">
      <w:pPr>
        <w:pStyle w:val="ListeParagraf"/>
        <w:numPr>
          <w:ilvl w:val="0"/>
          <w:numId w:val="10"/>
        </w:numPr>
        <w:jc w:val="both"/>
      </w:pPr>
      <w:r>
        <w:t xml:space="preserve">Aşağıdaki yaklaşık ifadeleri </w:t>
      </w:r>
      <w:r w:rsidR="00BD6DC9">
        <w:t>Ş</w:t>
      </w:r>
      <w:r>
        <w:t>ekil 2’deki devreye uygulayınız.</w:t>
      </w:r>
    </w:p>
    <w:p w:rsidR="00825CE1" w:rsidRDefault="006B5D64" w:rsidP="00825CE1">
      <w:pPr>
        <w:pStyle w:val="ListeParagraf"/>
        <w:ind w:left="2124"/>
        <w:jc w:val="both"/>
        <w:rPr>
          <w:rFonts w:cstheme="minorHAnsi"/>
        </w:rPr>
      </w:pPr>
      <w:r>
        <w:t>V</w:t>
      </w:r>
      <w:r w:rsidRPr="006B5D64">
        <w:rPr>
          <w:vertAlign w:val="subscript"/>
        </w:rPr>
        <w:t>TH</w:t>
      </w:r>
      <w:r>
        <w:rPr>
          <w:vertAlign w:val="subscript"/>
        </w:rPr>
        <w:t xml:space="preserve"> </w:t>
      </w:r>
      <w:r>
        <w:rPr>
          <w:rFonts w:cstheme="minorHAnsi"/>
        </w:rPr>
        <w:t>≈</w:t>
      </w:r>
      <w:r>
        <w:t xml:space="preserve"> E(</w:t>
      </w:r>
      <w:r>
        <w:rPr>
          <w:rFonts w:cstheme="minorHAnsi"/>
        </w:rPr>
        <w:t>∆</w:t>
      </w:r>
      <w:r>
        <w:t>R)/4R</w:t>
      </w:r>
      <w:r>
        <w:tab/>
      </w:r>
      <w:r>
        <w:tab/>
        <w:t>R</w:t>
      </w:r>
      <w:r w:rsidRPr="006B5D64">
        <w:rPr>
          <w:vertAlign w:val="subscript"/>
        </w:rPr>
        <w:t>TH</w:t>
      </w:r>
      <w:r>
        <w:rPr>
          <w:vertAlign w:val="subscript"/>
        </w:rPr>
        <w:t xml:space="preserve"> </w:t>
      </w:r>
      <w:r>
        <w:rPr>
          <w:rFonts w:cstheme="minorHAnsi"/>
        </w:rPr>
        <w:t>≈ R</w:t>
      </w:r>
    </w:p>
    <w:p w:rsidR="00825CE1" w:rsidRDefault="00825CE1" w:rsidP="00825CE1">
      <w:pPr>
        <w:pStyle w:val="ListeParagraf"/>
        <w:ind w:left="709"/>
        <w:jc w:val="both"/>
        <w:rPr>
          <w:rFonts w:cstheme="minorHAnsi"/>
        </w:rPr>
      </w:pPr>
      <w:r>
        <w:t xml:space="preserve">Buradaki </w:t>
      </w:r>
      <w:r>
        <w:rPr>
          <w:rFonts w:cstheme="minorHAnsi"/>
        </w:rPr>
        <w:t>∆</w:t>
      </w:r>
      <w:r>
        <w:t xml:space="preserve">R direnci; </w:t>
      </w:r>
      <w:proofErr w:type="spellStart"/>
      <w:r>
        <w:t>Wheatstone</w:t>
      </w:r>
      <w:proofErr w:type="spellEnd"/>
      <w:r>
        <w:t xml:space="preserve"> köprüsündeki dirençlerin üzerlerinde yazılı olan değerleri ile gerçek değerleri arasındaki farkı ifade eder. Mesela, Şekil 1’deki devrede tüm dirençlerin işaretli değerleri, 100 </w:t>
      </w:r>
      <w:r>
        <w:rPr>
          <w:rFonts w:cstheme="minorHAnsi"/>
        </w:rPr>
        <w:t>Ω ve gerçek değerleri, R</w:t>
      </w:r>
      <w:r w:rsidRPr="00825CE1">
        <w:rPr>
          <w:rFonts w:cstheme="minorHAnsi"/>
          <w:vertAlign w:val="subscript"/>
        </w:rPr>
        <w:t>1</w:t>
      </w:r>
      <w:r>
        <w:rPr>
          <w:rFonts w:cstheme="minorHAnsi"/>
        </w:rPr>
        <w:t>=90 Ω, R</w:t>
      </w:r>
      <w:r w:rsidRPr="00825CE1">
        <w:rPr>
          <w:rFonts w:cstheme="minorHAnsi"/>
          <w:vertAlign w:val="subscript"/>
        </w:rPr>
        <w:t>3</w:t>
      </w:r>
      <w:r>
        <w:rPr>
          <w:rFonts w:cstheme="minorHAnsi"/>
        </w:rPr>
        <w:t>=110 Ω, R</w:t>
      </w:r>
      <w:r w:rsidRPr="00825CE1">
        <w:rPr>
          <w:rFonts w:cstheme="minorHAnsi"/>
          <w:vertAlign w:val="subscript"/>
        </w:rPr>
        <w:t>2</w:t>
      </w:r>
      <w:r>
        <w:rPr>
          <w:rFonts w:cstheme="minorHAnsi"/>
        </w:rPr>
        <w:t>=100 Ω ve R</w:t>
      </w:r>
      <w:r w:rsidRPr="00825CE1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=105 Ω ise (R=100 Ω) </w:t>
      </w:r>
    </w:p>
    <w:p w:rsidR="00825CE1" w:rsidRDefault="00C951CB" w:rsidP="00825CE1">
      <w:pPr>
        <w:pStyle w:val="ListeParagraf"/>
        <w:ind w:left="709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∆</w:t>
      </w:r>
      <w:r>
        <w:t>R</w:t>
      </w:r>
      <w:r w:rsidRPr="00F30478">
        <w:rPr>
          <w:vertAlign w:val="subscript"/>
        </w:rPr>
        <w:t>31</w:t>
      </w:r>
      <w:r>
        <w:t xml:space="preserve">=10 </w:t>
      </w:r>
      <w:r>
        <w:rPr>
          <w:rFonts w:cstheme="minorHAnsi"/>
        </w:rPr>
        <w:t>Ω−(−10</w:t>
      </w:r>
      <w:r w:rsidRPr="00C951CB">
        <w:rPr>
          <w:rFonts w:cstheme="minorHAnsi"/>
        </w:rPr>
        <w:t xml:space="preserve"> </w:t>
      </w:r>
      <w:r>
        <w:rPr>
          <w:rFonts w:cstheme="minorHAnsi"/>
        </w:rPr>
        <w:t>Ω)=20 Ω</w:t>
      </w:r>
    </w:p>
    <w:p w:rsidR="00F30478" w:rsidRDefault="00F30478" w:rsidP="00F30478">
      <w:pPr>
        <w:pStyle w:val="ListeParagraf"/>
        <w:ind w:left="709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∆</w:t>
      </w:r>
      <w:r>
        <w:t>R</w:t>
      </w:r>
      <w:r>
        <w:rPr>
          <w:vertAlign w:val="subscript"/>
        </w:rPr>
        <w:t>42</w:t>
      </w:r>
      <w:r>
        <w:t xml:space="preserve">=5 </w:t>
      </w:r>
      <w:r>
        <w:rPr>
          <w:rFonts w:cstheme="minorHAnsi"/>
        </w:rPr>
        <w:t>Ω+0</w:t>
      </w:r>
      <w:r w:rsidRPr="00C951CB">
        <w:rPr>
          <w:rFonts w:cstheme="minorHAnsi"/>
        </w:rPr>
        <w:t xml:space="preserve"> </w:t>
      </w:r>
      <w:r>
        <w:rPr>
          <w:rFonts w:cstheme="minorHAnsi"/>
        </w:rPr>
        <w:t>Ω=5 Ω</w:t>
      </w:r>
    </w:p>
    <w:p w:rsidR="00F30478" w:rsidRDefault="00F30478" w:rsidP="00F30478">
      <w:pPr>
        <w:pStyle w:val="ListeParagraf"/>
        <w:ind w:left="709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∆</w:t>
      </w:r>
      <w:r>
        <w:t>R=</w:t>
      </w:r>
      <w:r>
        <w:rPr>
          <w:rFonts w:cstheme="minorHAnsi"/>
        </w:rPr>
        <w:t>∆</w:t>
      </w:r>
      <w:r>
        <w:t>R</w:t>
      </w:r>
      <w:r w:rsidRPr="00F30478">
        <w:rPr>
          <w:vertAlign w:val="subscript"/>
        </w:rPr>
        <w:t>31</w:t>
      </w:r>
      <w:r>
        <w:rPr>
          <w:rFonts w:cstheme="minorHAnsi"/>
        </w:rPr>
        <w:t>−∆</w:t>
      </w:r>
      <w:r>
        <w:t>R</w:t>
      </w:r>
      <w:r>
        <w:rPr>
          <w:vertAlign w:val="subscript"/>
        </w:rPr>
        <w:t>42</w:t>
      </w:r>
      <w:r>
        <w:t xml:space="preserve">=15 </w:t>
      </w:r>
      <w:r>
        <w:rPr>
          <w:rFonts w:cstheme="minorHAnsi"/>
        </w:rPr>
        <w:t>Ω</w:t>
      </w:r>
      <w:r w:rsidR="00BD6DC9">
        <w:rPr>
          <w:rFonts w:cstheme="minorHAnsi"/>
        </w:rPr>
        <w:tab/>
        <w:t>olur.</w:t>
      </w:r>
    </w:p>
    <w:p w:rsidR="00C41EF5" w:rsidRDefault="00BD6DC9" w:rsidP="00CF3C55">
      <w:pPr>
        <w:pStyle w:val="ListeParagraf"/>
        <w:numPr>
          <w:ilvl w:val="0"/>
          <w:numId w:val="10"/>
        </w:numPr>
        <w:jc w:val="both"/>
      </w:pPr>
      <w:r>
        <w:t xml:space="preserve">7. Adımdaki yaklaşık değerleri kullanarak, Şekil 3’deki </w:t>
      </w:r>
      <w:proofErr w:type="spellStart"/>
      <w:r>
        <w:t>Thevenin</w:t>
      </w:r>
      <w:proofErr w:type="spellEnd"/>
      <w:r>
        <w:t xml:space="preserve"> eşdeğer devresi kurunuz. Ampermetreden akan akımı Tablo 1’e kaydediniz.</w:t>
      </w:r>
    </w:p>
    <w:p w:rsidR="004F5CC4" w:rsidRDefault="004F5CC4" w:rsidP="00CF3C55">
      <w:pPr>
        <w:pStyle w:val="ListeParagraf"/>
        <w:numPr>
          <w:ilvl w:val="0"/>
          <w:numId w:val="10"/>
        </w:numPr>
        <w:jc w:val="both"/>
      </w:pPr>
      <w:r>
        <w:t>3. ve 5. adımlarda ölçülen akımlar arasındaki bağıl hatayı hesaplayıp kaydediniz.</w:t>
      </w:r>
    </w:p>
    <w:p w:rsidR="004F5CC4" w:rsidRDefault="004F5CC4" w:rsidP="004F5CC4">
      <w:pPr>
        <w:pStyle w:val="ListeParagraf"/>
        <w:numPr>
          <w:ilvl w:val="0"/>
          <w:numId w:val="10"/>
        </w:numPr>
        <w:jc w:val="both"/>
      </w:pPr>
      <w:r>
        <w:t>3. ve 8. adımlarda ölçülen akımlar arasındaki bağıl hatayı hesaplayıp kaydediniz.</w:t>
      </w:r>
    </w:p>
    <w:p w:rsidR="00CF35C7" w:rsidRDefault="00C943C6" w:rsidP="00CF35C7">
      <w:pPr>
        <w:pStyle w:val="ListeParagraf"/>
        <w:numPr>
          <w:ilvl w:val="0"/>
          <w:numId w:val="10"/>
        </w:numPr>
        <w:jc w:val="both"/>
        <w:sectPr w:rsidR="00CF35C7" w:rsidSect="00CC35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4. ve 7. adımlarda hesaplanan </w:t>
      </w:r>
      <w:proofErr w:type="spellStart"/>
      <w:r>
        <w:t>Thevenin</w:t>
      </w:r>
      <w:proofErr w:type="spellEnd"/>
      <w:r>
        <w:t xml:space="preserve"> gerilimleri arasındaki bağıl hatayı hesaplayıp kaydediniz.</w:t>
      </w:r>
    </w:p>
    <w:p w:rsidR="00B32261" w:rsidRDefault="00BB3157" w:rsidP="007B1107">
      <w:pPr>
        <w:pStyle w:val="ListeParagraf"/>
        <w:numPr>
          <w:ilvl w:val="0"/>
          <w:numId w:val="10"/>
        </w:numPr>
        <w:jc w:val="both"/>
      </w:pPr>
      <w:r>
        <w:lastRenderedPageBreak/>
        <w:t xml:space="preserve">4. ve 7. adımlarda hesaplanan </w:t>
      </w:r>
      <w:proofErr w:type="spellStart"/>
      <w:r>
        <w:t>Thevenin</w:t>
      </w:r>
      <w:proofErr w:type="spellEnd"/>
      <w:r>
        <w:t xml:space="preserve"> dirençleri arasındaki bağıl hatayı hesaplayıp kaydediniz</w:t>
      </w:r>
      <w:proofErr w:type="gramStart"/>
      <w:r>
        <w:t>.</w:t>
      </w:r>
      <w:r w:rsidR="00800D41">
        <w:t>.</w:t>
      </w:r>
      <w:proofErr w:type="gramEnd"/>
      <w:r w:rsidR="007B1107">
        <w:t xml:space="preserve"> </w:t>
      </w:r>
    </w:p>
    <w:p w:rsidR="002D51DF" w:rsidRDefault="00012A3A" w:rsidP="00012A3A">
      <w:pPr>
        <w:spacing w:after="0"/>
        <w:jc w:val="center"/>
      </w:pPr>
      <w:r w:rsidRPr="00012A3A">
        <w:t xml:space="preserve">Tablo </w:t>
      </w:r>
      <w:r w:rsidR="00B32261">
        <w:t>1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65"/>
        <w:gridCol w:w="1377"/>
        <w:gridCol w:w="1531"/>
      </w:tblGrid>
      <w:tr w:rsidR="007B1107" w:rsidTr="007B1107">
        <w:trPr>
          <w:trHeight w:val="818"/>
          <w:jc w:val="center"/>
        </w:trPr>
        <w:tc>
          <w:tcPr>
            <w:tcW w:w="1381" w:type="dxa"/>
          </w:tcPr>
          <w:p w:rsidR="007B1107" w:rsidRDefault="007B1107" w:rsidP="00437DAF">
            <w:pPr>
              <w:jc w:val="center"/>
            </w:pPr>
            <w:r>
              <w:t>Direnç değerleri</w:t>
            </w:r>
          </w:p>
        </w:tc>
        <w:tc>
          <w:tcPr>
            <w:tcW w:w="1365" w:type="dxa"/>
          </w:tcPr>
          <w:p w:rsidR="007B1107" w:rsidRDefault="007B1107" w:rsidP="007B1107">
            <w:pPr>
              <w:jc w:val="center"/>
            </w:pPr>
            <w:r>
              <w:t>Akım</w:t>
            </w:r>
          </w:p>
        </w:tc>
        <w:tc>
          <w:tcPr>
            <w:tcW w:w="1377" w:type="dxa"/>
          </w:tcPr>
          <w:p w:rsidR="007B1107" w:rsidRDefault="007B1107" w:rsidP="00437DAF">
            <w:pPr>
              <w:jc w:val="center"/>
            </w:pPr>
            <w:proofErr w:type="spellStart"/>
            <w:r>
              <w:t>Thevenin</w:t>
            </w:r>
            <w:proofErr w:type="spellEnd"/>
            <w:r>
              <w:t xml:space="preserve"> eşdeğer devresi</w:t>
            </w:r>
          </w:p>
        </w:tc>
        <w:tc>
          <w:tcPr>
            <w:tcW w:w="1531" w:type="dxa"/>
          </w:tcPr>
          <w:p w:rsidR="007B1107" w:rsidRDefault="007B1107" w:rsidP="00437DAF">
            <w:pPr>
              <w:jc w:val="center"/>
            </w:pPr>
            <w:r>
              <w:t>Ampermetre iç direnci</w:t>
            </w:r>
          </w:p>
        </w:tc>
      </w:tr>
      <w:tr w:rsidR="007B1107" w:rsidTr="007B1107">
        <w:trPr>
          <w:trHeight w:val="266"/>
          <w:jc w:val="center"/>
        </w:trPr>
        <w:tc>
          <w:tcPr>
            <w:tcW w:w="1381" w:type="dxa"/>
          </w:tcPr>
          <w:p w:rsidR="007B1107" w:rsidRDefault="007B1107" w:rsidP="004F2DE0">
            <w:pPr>
              <w:jc w:val="both"/>
            </w:pPr>
            <w:r>
              <w:t>R</w:t>
            </w:r>
            <w:r w:rsidRPr="007B1107">
              <w:rPr>
                <w:vertAlign w:val="subscript"/>
              </w:rPr>
              <w:t>1</w:t>
            </w:r>
          </w:p>
        </w:tc>
        <w:tc>
          <w:tcPr>
            <w:tcW w:w="1365" w:type="dxa"/>
          </w:tcPr>
          <w:p w:rsidR="007B1107" w:rsidRDefault="00BD7E80" w:rsidP="004F2DE0">
            <w:pPr>
              <w:jc w:val="both"/>
            </w:pPr>
            <w:r>
              <w:t>I</w:t>
            </w:r>
            <w:r w:rsidRPr="00BD7E80">
              <w:rPr>
                <w:vertAlign w:val="subscript"/>
              </w:rPr>
              <w:t>1</w:t>
            </w:r>
          </w:p>
        </w:tc>
        <w:tc>
          <w:tcPr>
            <w:tcW w:w="1377" w:type="dxa"/>
          </w:tcPr>
          <w:p w:rsidR="007B1107" w:rsidRDefault="00BD7E80" w:rsidP="004F2DE0">
            <w:pPr>
              <w:jc w:val="both"/>
            </w:pPr>
            <w:r>
              <w:t>V</w:t>
            </w:r>
            <w:r w:rsidRPr="00BD7E80">
              <w:rPr>
                <w:vertAlign w:val="subscript"/>
              </w:rPr>
              <w:t>TH</w:t>
            </w:r>
          </w:p>
        </w:tc>
        <w:tc>
          <w:tcPr>
            <w:tcW w:w="1531" w:type="dxa"/>
          </w:tcPr>
          <w:p w:rsidR="007B1107" w:rsidRDefault="00BD7E80" w:rsidP="004F2DE0">
            <w:pPr>
              <w:jc w:val="both"/>
            </w:pPr>
            <w:r>
              <w:t>R</w:t>
            </w:r>
          </w:p>
        </w:tc>
      </w:tr>
      <w:tr w:rsidR="007B1107" w:rsidTr="007B1107">
        <w:trPr>
          <w:trHeight w:val="276"/>
          <w:jc w:val="center"/>
        </w:trPr>
        <w:tc>
          <w:tcPr>
            <w:tcW w:w="1381" w:type="dxa"/>
          </w:tcPr>
          <w:p w:rsidR="007B1107" w:rsidRDefault="007B1107" w:rsidP="007B1107">
            <w:pPr>
              <w:jc w:val="both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365" w:type="dxa"/>
          </w:tcPr>
          <w:p w:rsidR="007B1107" w:rsidRDefault="00BD7E80" w:rsidP="00BD7E80">
            <w:pPr>
              <w:jc w:val="both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377" w:type="dxa"/>
          </w:tcPr>
          <w:p w:rsidR="007B1107" w:rsidRDefault="00BD7E80" w:rsidP="004F2DE0">
            <w:pPr>
              <w:jc w:val="both"/>
            </w:pPr>
            <w:r>
              <w:t>R</w:t>
            </w:r>
            <w:r w:rsidRPr="00BD7E80">
              <w:rPr>
                <w:vertAlign w:val="subscript"/>
              </w:rPr>
              <w:t>TH</w:t>
            </w:r>
          </w:p>
        </w:tc>
        <w:tc>
          <w:tcPr>
            <w:tcW w:w="1531" w:type="dxa"/>
          </w:tcPr>
          <w:p w:rsidR="007B1107" w:rsidRPr="00C046B7" w:rsidRDefault="007B1107" w:rsidP="007B1107">
            <w:pPr>
              <w:jc w:val="center"/>
            </w:pPr>
            <w:r>
              <w:t>--------------</w:t>
            </w:r>
          </w:p>
        </w:tc>
      </w:tr>
      <w:tr w:rsidR="007B1107" w:rsidTr="007B1107">
        <w:trPr>
          <w:trHeight w:val="266"/>
          <w:jc w:val="center"/>
        </w:trPr>
        <w:tc>
          <w:tcPr>
            <w:tcW w:w="1381" w:type="dxa"/>
          </w:tcPr>
          <w:p w:rsidR="007B1107" w:rsidRDefault="007B1107" w:rsidP="007B1107">
            <w:pPr>
              <w:jc w:val="both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365" w:type="dxa"/>
          </w:tcPr>
          <w:p w:rsidR="007B1107" w:rsidRDefault="00BD7E80" w:rsidP="00BD7E80">
            <w:pPr>
              <w:jc w:val="both"/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377" w:type="dxa"/>
          </w:tcPr>
          <w:p w:rsidR="007B1107" w:rsidRDefault="007B1107" w:rsidP="007B1107">
            <w:pPr>
              <w:jc w:val="center"/>
            </w:pPr>
            <w:r>
              <w:t>--------------</w:t>
            </w:r>
          </w:p>
        </w:tc>
        <w:tc>
          <w:tcPr>
            <w:tcW w:w="1531" w:type="dxa"/>
          </w:tcPr>
          <w:p w:rsidR="007B1107" w:rsidRPr="00C046B7" w:rsidRDefault="007B1107" w:rsidP="007B1107">
            <w:pPr>
              <w:jc w:val="center"/>
            </w:pPr>
            <w:r>
              <w:t>--------------</w:t>
            </w:r>
          </w:p>
        </w:tc>
      </w:tr>
      <w:tr w:rsidR="007B1107" w:rsidTr="007B1107">
        <w:trPr>
          <w:trHeight w:val="276"/>
          <w:jc w:val="center"/>
        </w:trPr>
        <w:tc>
          <w:tcPr>
            <w:tcW w:w="1381" w:type="dxa"/>
          </w:tcPr>
          <w:p w:rsidR="007B1107" w:rsidRDefault="007B1107" w:rsidP="007B1107">
            <w:pPr>
              <w:jc w:val="both"/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365" w:type="dxa"/>
          </w:tcPr>
          <w:p w:rsidR="007B1107" w:rsidRDefault="00BD7E80" w:rsidP="00BD7E80">
            <w:pPr>
              <w:jc w:val="both"/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377" w:type="dxa"/>
          </w:tcPr>
          <w:p w:rsidR="007B1107" w:rsidRDefault="007B1107" w:rsidP="007B1107">
            <w:pPr>
              <w:jc w:val="center"/>
            </w:pPr>
            <w:r>
              <w:t>--------------</w:t>
            </w:r>
          </w:p>
        </w:tc>
        <w:tc>
          <w:tcPr>
            <w:tcW w:w="1531" w:type="dxa"/>
          </w:tcPr>
          <w:p w:rsidR="007B1107" w:rsidRPr="00C046B7" w:rsidRDefault="007B1107" w:rsidP="007B1107">
            <w:pPr>
              <w:jc w:val="center"/>
            </w:pPr>
            <w:r>
              <w:t>--------------</w:t>
            </w:r>
          </w:p>
        </w:tc>
      </w:tr>
      <w:tr w:rsidR="007B1107" w:rsidTr="007B1107">
        <w:trPr>
          <w:trHeight w:val="287"/>
          <w:jc w:val="center"/>
        </w:trPr>
        <w:tc>
          <w:tcPr>
            <w:tcW w:w="1381" w:type="dxa"/>
          </w:tcPr>
          <w:p w:rsidR="007B1107" w:rsidRDefault="007B1107" w:rsidP="007B1107">
            <w:pPr>
              <w:jc w:val="center"/>
            </w:pPr>
            <w:r>
              <w:t>--------------</w:t>
            </w:r>
          </w:p>
        </w:tc>
        <w:tc>
          <w:tcPr>
            <w:tcW w:w="1365" w:type="dxa"/>
          </w:tcPr>
          <w:p w:rsidR="007B1107" w:rsidRDefault="00BD7E80" w:rsidP="00BD7E80">
            <w:pPr>
              <w:jc w:val="both"/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377" w:type="dxa"/>
          </w:tcPr>
          <w:p w:rsidR="007B1107" w:rsidRDefault="00BD7E80" w:rsidP="004F2DE0">
            <w:pPr>
              <w:jc w:val="both"/>
            </w:pPr>
            <w:r>
              <w:t>I</w:t>
            </w:r>
            <w:r w:rsidR="00FC43F0" w:rsidRPr="00BD7E80">
              <w:rPr>
                <w:vertAlign w:val="subscript"/>
              </w:rPr>
              <w:t>TH</w:t>
            </w:r>
          </w:p>
        </w:tc>
        <w:tc>
          <w:tcPr>
            <w:tcW w:w="1531" w:type="dxa"/>
          </w:tcPr>
          <w:p w:rsidR="007B1107" w:rsidRPr="00C046B7" w:rsidRDefault="007B1107" w:rsidP="007B1107">
            <w:pPr>
              <w:jc w:val="center"/>
            </w:pPr>
            <w:r>
              <w:t>--------------</w:t>
            </w:r>
          </w:p>
        </w:tc>
      </w:tr>
    </w:tbl>
    <w:p w:rsidR="005F03D5" w:rsidRDefault="005F03D5" w:rsidP="005F03D5">
      <w:pPr>
        <w:jc w:val="center"/>
      </w:pPr>
    </w:p>
    <w:p w:rsidR="005F03D5" w:rsidRDefault="005F03D5" w:rsidP="005F03D5">
      <w:pPr>
        <w:spacing w:after="0"/>
        <w:jc w:val="center"/>
      </w:pPr>
      <w:r>
        <w:t>Tablo 2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665"/>
        <w:gridCol w:w="3054"/>
      </w:tblGrid>
      <w:tr w:rsidR="005F03D5" w:rsidTr="00771BC5">
        <w:trPr>
          <w:trHeight w:val="835"/>
          <w:jc w:val="center"/>
        </w:trPr>
        <w:tc>
          <w:tcPr>
            <w:tcW w:w="2665" w:type="dxa"/>
            <w:vAlign w:val="center"/>
          </w:tcPr>
          <w:p w:rsidR="005F03D5" w:rsidRDefault="005F03D5" w:rsidP="005F03D5">
            <w:pPr>
              <w:jc w:val="center"/>
            </w:pPr>
            <w:r>
              <w:t xml:space="preserve">Yaklaşık </w:t>
            </w:r>
            <w:proofErr w:type="spellStart"/>
            <w:r>
              <w:t>thevenin</w:t>
            </w:r>
            <w:proofErr w:type="spellEnd"/>
            <w:r>
              <w:t xml:space="preserve"> eşdeğer devresi</w:t>
            </w:r>
          </w:p>
        </w:tc>
        <w:tc>
          <w:tcPr>
            <w:tcW w:w="3054" w:type="dxa"/>
            <w:vAlign w:val="center"/>
          </w:tcPr>
          <w:p w:rsidR="005F03D5" w:rsidRDefault="005F03D5" w:rsidP="005F03D5">
            <w:pPr>
              <w:jc w:val="center"/>
            </w:pPr>
            <w:r>
              <w:t>Bağıl Hata</w:t>
            </w:r>
          </w:p>
        </w:tc>
      </w:tr>
      <w:tr w:rsidR="00FC43F0" w:rsidTr="00771BC5">
        <w:trPr>
          <w:trHeight w:val="271"/>
          <w:jc w:val="center"/>
        </w:trPr>
        <w:tc>
          <w:tcPr>
            <w:tcW w:w="2665" w:type="dxa"/>
          </w:tcPr>
          <w:p w:rsidR="00FC43F0" w:rsidRDefault="00FC43F0" w:rsidP="002E4914">
            <w:pPr>
              <w:jc w:val="both"/>
            </w:pPr>
            <w:r>
              <w:t>R</w:t>
            </w:r>
            <w:r w:rsidRPr="007B1107">
              <w:rPr>
                <w:vertAlign w:val="subscript"/>
              </w:rPr>
              <w:t>1</w:t>
            </w:r>
          </w:p>
        </w:tc>
        <w:tc>
          <w:tcPr>
            <w:tcW w:w="3054" w:type="dxa"/>
          </w:tcPr>
          <w:p w:rsidR="00FC43F0" w:rsidRDefault="00FC43F0" w:rsidP="002E4914">
            <w:pPr>
              <w:jc w:val="both"/>
            </w:pPr>
            <w:r>
              <w:t>9.adım</w:t>
            </w:r>
          </w:p>
        </w:tc>
      </w:tr>
      <w:tr w:rsidR="00FC43F0" w:rsidTr="00771BC5">
        <w:trPr>
          <w:trHeight w:val="281"/>
          <w:jc w:val="center"/>
        </w:trPr>
        <w:tc>
          <w:tcPr>
            <w:tcW w:w="2665" w:type="dxa"/>
          </w:tcPr>
          <w:p w:rsidR="00FC43F0" w:rsidRDefault="00FC43F0" w:rsidP="002E4914">
            <w:pPr>
              <w:jc w:val="both"/>
            </w:pPr>
            <w:r>
              <w:t>R</w:t>
            </w:r>
            <w:r w:rsidRPr="00BD7E80">
              <w:rPr>
                <w:vertAlign w:val="subscript"/>
              </w:rPr>
              <w:t>TH</w:t>
            </w:r>
          </w:p>
        </w:tc>
        <w:tc>
          <w:tcPr>
            <w:tcW w:w="3054" w:type="dxa"/>
          </w:tcPr>
          <w:p w:rsidR="00FC43F0" w:rsidRDefault="00FC43F0" w:rsidP="002E4914">
            <w:pPr>
              <w:jc w:val="both"/>
            </w:pPr>
            <w:r>
              <w:t>10.adım</w:t>
            </w:r>
          </w:p>
        </w:tc>
      </w:tr>
      <w:tr w:rsidR="00FC43F0" w:rsidTr="00771BC5">
        <w:trPr>
          <w:trHeight w:val="271"/>
          <w:jc w:val="center"/>
        </w:trPr>
        <w:tc>
          <w:tcPr>
            <w:tcW w:w="2665" w:type="dxa"/>
          </w:tcPr>
          <w:p w:rsidR="00FC43F0" w:rsidRDefault="00FC43F0" w:rsidP="002E4914">
            <w:pPr>
              <w:jc w:val="both"/>
            </w:pPr>
            <w:r>
              <w:t>V</w:t>
            </w:r>
            <w:r w:rsidRPr="00BD7E80">
              <w:rPr>
                <w:vertAlign w:val="subscript"/>
              </w:rPr>
              <w:t>TH</w:t>
            </w:r>
          </w:p>
        </w:tc>
        <w:tc>
          <w:tcPr>
            <w:tcW w:w="3054" w:type="dxa"/>
          </w:tcPr>
          <w:p w:rsidR="00FC43F0" w:rsidRDefault="00FC43F0" w:rsidP="00FC43F0">
            <w:r>
              <w:t>11.adım</w:t>
            </w:r>
          </w:p>
        </w:tc>
      </w:tr>
      <w:tr w:rsidR="00FC43F0" w:rsidTr="00771BC5">
        <w:trPr>
          <w:trHeight w:val="281"/>
          <w:jc w:val="center"/>
        </w:trPr>
        <w:tc>
          <w:tcPr>
            <w:tcW w:w="2665" w:type="dxa"/>
          </w:tcPr>
          <w:p w:rsidR="00FC43F0" w:rsidRDefault="00FC43F0" w:rsidP="002E4914">
            <w:pPr>
              <w:jc w:val="both"/>
            </w:pPr>
            <w:r>
              <w:t>I</w:t>
            </w:r>
            <w:r w:rsidRPr="00BD7E80">
              <w:rPr>
                <w:vertAlign w:val="subscript"/>
              </w:rPr>
              <w:t>TH</w:t>
            </w:r>
          </w:p>
        </w:tc>
        <w:tc>
          <w:tcPr>
            <w:tcW w:w="3054" w:type="dxa"/>
          </w:tcPr>
          <w:p w:rsidR="00FC43F0" w:rsidRDefault="00FC43F0" w:rsidP="00FC43F0">
            <w:r>
              <w:t>12.adım</w:t>
            </w:r>
          </w:p>
        </w:tc>
      </w:tr>
    </w:tbl>
    <w:p w:rsidR="000372D9" w:rsidRPr="005F03D5" w:rsidRDefault="000372D9" w:rsidP="005F03D5">
      <w:pPr>
        <w:jc w:val="center"/>
      </w:pPr>
    </w:p>
    <w:sectPr w:rsidR="000372D9" w:rsidRPr="005F03D5" w:rsidSect="00CF35C7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2F"/>
    <w:multiLevelType w:val="hybridMultilevel"/>
    <w:tmpl w:val="1D549F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4D"/>
    <w:multiLevelType w:val="hybridMultilevel"/>
    <w:tmpl w:val="4DE018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01597"/>
    <w:multiLevelType w:val="hybridMultilevel"/>
    <w:tmpl w:val="51FC84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42C91"/>
    <w:multiLevelType w:val="hybridMultilevel"/>
    <w:tmpl w:val="70000E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9616B"/>
    <w:multiLevelType w:val="hybridMultilevel"/>
    <w:tmpl w:val="854674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669DD"/>
    <w:multiLevelType w:val="hybridMultilevel"/>
    <w:tmpl w:val="2EC0E8D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12681"/>
    <w:multiLevelType w:val="hybridMultilevel"/>
    <w:tmpl w:val="B2AE3B6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04D9A"/>
    <w:multiLevelType w:val="hybridMultilevel"/>
    <w:tmpl w:val="9E6AD7B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767A"/>
    <w:multiLevelType w:val="hybridMultilevel"/>
    <w:tmpl w:val="EF263C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9BF"/>
    <w:multiLevelType w:val="hybridMultilevel"/>
    <w:tmpl w:val="CF78DD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61A0"/>
    <w:multiLevelType w:val="hybridMultilevel"/>
    <w:tmpl w:val="E3C802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B7727"/>
    <w:multiLevelType w:val="hybridMultilevel"/>
    <w:tmpl w:val="7B26BD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66F6"/>
    <w:multiLevelType w:val="hybridMultilevel"/>
    <w:tmpl w:val="70000E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10A7B"/>
    <w:multiLevelType w:val="hybridMultilevel"/>
    <w:tmpl w:val="2BD637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8612C"/>
    <w:multiLevelType w:val="hybridMultilevel"/>
    <w:tmpl w:val="66EE203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A5EF1"/>
    <w:multiLevelType w:val="hybridMultilevel"/>
    <w:tmpl w:val="03E6CB2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00902"/>
    <w:multiLevelType w:val="hybridMultilevel"/>
    <w:tmpl w:val="87765E8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C501A"/>
    <w:multiLevelType w:val="hybridMultilevel"/>
    <w:tmpl w:val="C26C1E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2466A"/>
    <w:multiLevelType w:val="hybridMultilevel"/>
    <w:tmpl w:val="532875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12F97"/>
    <w:multiLevelType w:val="hybridMultilevel"/>
    <w:tmpl w:val="D1229876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2DB2CA3"/>
    <w:multiLevelType w:val="hybridMultilevel"/>
    <w:tmpl w:val="6FA2FE4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AF0689"/>
    <w:multiLevelType w:val="hybridMultilevel"/>
    <w:tmpl w:val="AE64DE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18"/>
  </w:num>
  <w:num w:numId="11">
    <w:abstractNumId w:val="8"/>
  </w:num>
  <w:num w:numId="12">
    <w:abstractNumId w:val="11"/>
  </w:num>
  <w:num w:numId="13">
    <w:abstractNumId w:val="6"/>
  </w:num>
  <w:num w:numId="14">
    <w:abstractNumId w:val="17"/>
  </w:num>
  <w:num w:numId="15">
    <w:abstractNumId w:val="7"/>
  </w:num>
  <w:num w:numId="16">
    <w:abstractNumId w:val="2"/>
  </w:num>
  <w:num w:numId="17">
    <w:abstractNumId w:val="20"/>
  </w:num>
  <w:num w:numId="18">
    <w:abstractNumId w:val="1"/>
  </w:num>
  <w:num w:numId="19">
    <w:abstractNumId w:val="16"/>
  </w:num>
  <w:num w:numId="20">
    <w:abstractNumId w:val="13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3B29"/>
    <w:rsid w:val="00005118"/>
    <w:rsid w:val="00012A3A"/>
    <w:rsid w:val="00021B0F"/>
    <w:rsid w:val="00024896"/>
    <w:rsid w:val="000372D9"/>
    <w:rsid w:val="000402B8"/>
    <w:rsid w:val="00046EA3"/>
    <w:rsid w:val="0005130D"/>
    <w:rsid w:val="00060EEC"/>
    <w:rsid w:val="000C3DEB"/>
    <w:rsid w:val="000D4142"/>
    <w:rsid w:val="00104804"/>
    <w:rsid w:val="00105161"/>
    <w:rsid w:val="00113DB1"/>
    <w:rsid w:val="00132E0A"/>
    <w:rsid w:val="001336A8"/>
    <w:rsid w:val="00135C54"/>
    <w:rsid w:val="00153817"/>
    <w:rsid w:val="0015641B"/>
    <w:rsid w:val="00160B4F"/>
    <w:rsid w:val="0016197D"/>
    <w:rsid w:val="00167E63"/>
    <w:rsid w:val="00183CF3"/>
    <w:rsid w:val="001A1476"/>
    <w:rsid w:val="001A5F6B"/>
    <w:rsid w:val="001D09CB"/>
    <w:rsid w:val="001D46E1"/>
    <w:rsid w:val="001E5618"/>
    <w:rsid w:val="001F7CA2"/>
    <w:rsid w:val="00205CF6"/>
    <w:rsid w:val="00233B7A"/>
    <w:rsid w:val="00247417"/>
    <w:rsid w:val="00247905"/>
    <w:rsid w:val="00250CB4"/>
    <w:rsid w:val="00255A0F"/>
    <w:rsid w:val="0027209F"/>
    <w:rsid w:val="00281E65"/>
    <w:rsid w:val="002826A7"/>
    <w:rsid w:val="00284F43"/>
    <w:rsid w:val="002937A2"/>
    <w:rsid w:val="002C4535"/>
    <w:rsid w:val="002C7BAE"/>
    <w:rsid w:val="002D03B7"/>
    <w:rsid w:val="002D51DF"/>
    <w:rsid w:val="002D77EE"/>
    <w:rsid w:val="002E2EBC"/>
    <w:rsid w:val="003152B3"/>
    <w:rsid w:val="00316B19"/>
    <w:rsid w:val="00324A1F"/>
    <w:rsid w:val="00360F6D"/>
    <w:rsid w:val="00362BD3"/>
    <w:rsid w:val="003A4C5D"/>
    <w:rsid w:val="003B6E67"/>
    <w:rsid w:val="003B75B6"/>
    <w:rsid w:val="003D1E99"/>
    <w:rsid w:val="003E0164"/>
    <w:rsid w:val="003E3218"/>
    <w:rsid w:val="003E34FE"/>
    <w:rsid w:val="003F1709"/>
    <w:rsid w:val="003F17BF"/>
    <w:rsid w:val="003F7F56"/>
    <w:rsid w:val="00403EEF"/>
    <w:rsid w:val="004235E8"/>
    <w:rsid w:val="0042544C"/>
    <w:rsid w:val="00426AD6"/>
    <w:rsid w:val="00435210"/>
    <w:rsid w:val="00437DAF"/>
    <w:rsid w:val="00440B2B"/>
    <w:rsid w:val="004422A9"/>
    <w:rsid w:val="00443EB8"/>
    <w:rsid w:val="0044500A"/>
    <w:rsid w:val="0044509B"/>
    <w:rsid w:val="004B1D22"/>
    <w:rsid w:val="004C150E"/>
    <w:rsid w:val="004C79F0"/>
    <w:rsid w:val="004F2DE0"/>
    <w:rsid w:val="004F5CC4"/>
    <w:rsid w:val="00501EC5"/>
    <w:rsid w:val="00523B29"/>
    <w:rsid w:val="00531A45"/>
    <w:rsid w:val="005401F2"/>
    <w:rsid w:val="0057062D"/>
    <w:rsid w:val="00573A8D"/>
    <w:rsid w:val="005A2CD4"/>
    <w:rsid w:val="005F03D5"/>
    <w:rsid w:val="005F600F"/>
    <w:rsid w:val="00614A0F"/>
    <w:rsid w:val="00623D04"/>
    <w:rsid w:val="006421F4"/>
    <w:rsid w:val="00647376"/>
    <w:rsid w:val="006545A3"/>
    <w:rsid w:val="00662062"/>
    <w:rsid w:val="00674B8C"/>
    <w:rsid w:val="006869B6"/>
    <w:rsid w:val="00695476"/>
    <w:rsid w:val="006B2B44"/>
    <w:rsid w:val="006B4779"/>
    <w:rsid w:val="006B5D64"/>
    <w:rsid w:val="006C462A"/>
    <w:rsid w:val="006D48C1"/>
    <w:rsid w:val="00703C00"/>
    <w:rsid w:val="0072106F"/>
    <w:rsid w:val="00732F5E"/>
    <w:rsid w:val="00752FC4"/>
    <w:rsid w:val="007631FF"/>
    <w:rsid w:val="00763FC7"/>
    <w:rsid w:val="00771BC5"/>
    <w:rsid w:val="007748BC"/>
    <w:rsid w:val="007A2562"/>
    <w:rsid w:val="007A3581"/>
    <w:rsid w:val="007A7DB6"/>
    <w:rsid w:val="007B1107"/>
    <w:rsid w:val="007B285F"/>
    <w:rsid w:val="007C17B3"/>
    <w:rsid w:val="007F43D2"/>
    <w:rsid w:val="007F5780"/>
    <w:rsid w:val="00800D41"/>
    <w:rsid w:val="00825CE1"/>
    <w:rsid w:val="00853F00"/>
    <w:rsid w:val="008646AA"/>
    <w:rsid w:val="00866022"/>
    <w:rsid w:val="00866E92"/>
    <w:rsid w:val="008B7224"/>
    <w:rsid w:val="008C44A1"/>
    <w:rsid w:val="008C486F"/>
    <w:rsid w:val="008D6F0E"/>
    <w:rsid w:val="008E1679"/>
    <w:rsid w:val="008E624D"/>
    <w:rsid w:val="008F4E65"/>
    <w:rsid w:val="00920913"/>
    <w:rsid w:val="009246CF"/>
    <w:rsid w:val="00927A60"/>
    <w:rsid w:val="0093673F"/>
    <w:rsid w:val="00940D81"/>
    <w:rsid w:val="009735D7"/>
    <w:rsid w:val="0097496D"/>
    <w:rsid w:val="00975F74"/>
    <w:rsid w:val="009A6DB2"/>
    <w:rsid w:val="009C1B21"/>
    <w:rsid w:val="009F3A7B"/>
    <w:rsid w:val="009F43BA"/>
    <w:rsid w:val="00A01C79"/>
    <w:rsid w:val="00A1102A"/>
    <w:rsid w:val="00A124C6"/>
    <w:rsid w:val="00A23BB1"/>
    <w:rsid w:val="00A25D85"/>
    <w:rsid w:val="00A35CA4"/>
    <w:rsid w:val="00A374E2"/>
    <w:rsid w:val="00A5140F"/>
    <w:rsid w:val="00A563F7"/>
    <w:rsid w:val="00A63AE2"/>
    <w:rsid w:val="00A665E5"/>
    <w:rsid w:val="00A73D22"/>
    <w:rsid w:val="00A74960"/>
    <w:rsid w:val="00A91D36"/>
    <w:rsid w:val="00AA4C95"/>
    <w:rsid w:val="00AA5D34"/>
    <w:rsid w:val="00AB3BAB"/>
    <w:rsid w:val="00AC0901"/>
    <w:rsid w:val="00AC1343"/>
    <w:rsid w:val="00AC24E1"/>
    <w:rsid w:val="00AC6862"/>
    <w:rsid w:val="00AE36BD"/>
    <w:rsid w:val="00AF7E1F"/>
    <w:rsid w:val="00B01C0F"/>
    <w:rsid w:val="00B04D5F"/>
    <w:rsid w:val="00B14E19"/>
    <w:rsid w:val="00B25EE8"/>
    <w:rsid w:val="00B32261"/>
    <w:rsid w:val="00B76A62"/>
    <w:rsid w:val="00B917C7"/>
    <w:rsid w:val="00B9579C"/>
    <w:rsid w:val="00BA1543"/>
    <w:rsid w:val="00BB1F8D"/>
    <w:rsid w:val="00BB3157"/>
    <w:rsid w:val="00BC0EDA"/>
    <w:rsid w:val="00BD5E8C"/>
    <w:rsid w:val="00BD6DC9"/>
    <w:rsid w:val="00BD7E80"/>
    <w:rsid w:val="00BE3186"/>
    <w:rsid w:val="00BE64EF"/>
    <w:rsid w:val="00BE6829"/>
    <w:rsid w:val="00BF6BEA"/>
    <w:rsid w:val="00C11F71"/>
    <w:rsid w:val="00C129B6"/>
    <w:rsid w:val="00C32D27"/>
    <w:rsid w:val="00C41EF5"/>
    <w:rsid w:val="00C50C09"/>
    <w:rsid w:val="00C64442"/>
    <w:rsid w:val="00C70590"/>
    <w:rsid w:val="00C739B2"/>
    <w:rsid w:val="00C837C6"/>
    <w:rsid w:val="00C84BF3"/>
    <w:rsid w:val="00C943C6"/>
    <w:rsid w:val="00C951CB"/>
    <w:rsid w:val="00CC3570"/>
    <w:rsid w:val="00CE1E58"/>
    <w:rsid w:val="00CF1F8C"/>
    <w:rsid w:val="00CF2A9E"/>
    <w:rsid w:val="00CF35C7"/>
    <w:rsid w:val="00CF3C55"/>
    <w:rsid w:val="00D077DC"/>
    <w:rsid w:val="00D27879"/>
    <w:rsid w:val="00D30BBD"/>
    <w:rsid w:val="00D46473"/>
    <w:rsid w:val="00D46D85"/>
    <w:rsid w:val="00D62162"/>
    <w:rsid w:val="00D653AD"/>
    <w:rsid w:val="00D9188D"/>
    <w:rsid w:val="00DA639D"/>
    <w:rsid w:val="00E04203"/>
    <w:rsid w:val="00E32BFB"/>
    <w:rsid w:val="00E332A1"/>
    <w:rsid w:val="00E37B3D"/>
    <w:rsid w:val="00E457BA"/>
    <w:rsid w:val="00E45F43"/>
    <w:rsid w:val="00E5037A"/>
    <w:rsid w:val="00E559A9"/>
    <w:rsid w:val="00EC10DC"/>
    <w:rsid w:val="00EC4AD1"/>
    <w:rsid w:val="00ED56D7"/>
    <w:rsid w:val="00EF1658"/>
    <w:rsid w:val="00F109F6"/>
    <w:rsid w:val="00F30478"/>
    <w:rsid w:val="00F370F0"/>
    <w:rsid w:val="00F60112"/>
    <w:rsid w:val="00F73DB9"/>
    <w:rsid w:val="00F836B6"/>
    <w:rsid w:val="00FB356C"/>
    <w:rsid w:val="00FB50AE"/>
    <w:rsid w:val="00FC382A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44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CF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05C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161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0FD9A-D5E2-4D0C-A328-7F4F6142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osmancik</cp:lastModifiedBy>
  <cp:revision>5</cp:revision>
  <dcterms:created xsi:type="dcterms:W3CDTF">2013-04-01T10:10:00Z</dcterms:created>
  <dcterms:modified xsi:type="dcterms:W3CDTF">2016-02-29T11:18:00Z</dcterms:modified>
</cp:coreProperties>
</file>