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b/>
          <w:i w:val="0"/>
          <w:color w:val="B7251C"/>
          <w:sz w:val="22"/>
        </w:rPr>
        <w:t>OVERLAY REVIEW</w:t>
      </w:r>
    </w:p>
    <w:p>
      <w:pPr>
        <w:spacing w:after="80" w:before="0"/>
      </w:pPr>
      <w:r>
        <w:rPr>
          <w:rFonts w:ascii="Arial" w:hAnsi="Arial"/>
          <w:b/>
          <w:i w:val="0"/>
          <w:color w:val="4A4743"/>
          <w:sz w:val="44"/>
        </w:rPr>
        <w:t>OC4IDS Field-Level Mapping Report</w:t>
      </w:r>
    </w:p>
    <w:p>
      <w:pPr>
        <w:spacing w:after="240" w:before="0"/>
      </w:pPr>
      <w:r>
        <w:rPr>
          <w:rFonts w:ascii="Arial" w:hAnsi="Arial"/>
          <w:b w:val="0"/>
          <w:i w:val="0"/>
          <w:color w:val="6B6A68"/>
          <w:sz w:val="26"/>
        </w:rPr>
        <w:t>Zambia (ZPPA / NCC / CoST Zambia)  ·  Draft of 3 March 2026</w:t>
      </w:r>
    </w:p>
    <w:tbl>
      <w:tblPr>
        <w:tblW w:type="auto" w:w="0"/>
        <w:tblLayout w:type="fixed"/>
        <w:tblLook w:firstColumn="1" w:firstRow="1" w:lastColumn="0" w:lastRow="0" w:noHBand="0" w:noVBand="1" w:val="04A0"/>
        <w:tblW w:w="7600" w:type="dxa"/>
      </w:tblPr>
      <w:tblGrid>
        <w:gridCol w:w="14798"/>
      </w:tblGrid>
      <w:tr>
        <w:tc>
          <w:tcPr>
            <w:tcW w:type="dxa" w:w="14798"/>
            <w:tcBorders>
              <w:top w:val="nil"/>
              <w:bottom w:val="single" w:sz="24" w:color="B7251C"/>
              <w:left w:val="nil"/>
              <w:right w:val="nil"/>
            </w:tcBorders>
          </w:tcPr>
          <w:p>
            <w:r/>
          </w:p>
        </w:tc>
      </w:tr>
    </w:tbl>
    <w:p>
      <w:pPr>
        <w:spacing w:after="120" w:before="0"/>
      </w:pPr>
    </w:p>
    <w:tbl>
      <w:tblPr>
        <w:tblW w:type="auto" w:w="0"/>
        <w:tblLayout w:type="fixed"/>
        <w:tblLook w:firstColumn="1" w:firstRow="1" w:lastColumn="0" w:lastRow="0" w:noHBand="0" w:noVBand="1" w:val="04A0"/>
      </w:tblPr>
      <w:tblGrid>
        <w:gridCol w:w="7399"/>
        <w:gridCol w:w="7399"/>
      </w:tblGrid>
      <w:tr>
        <w:tc>
          <w:tcPr>
            <w:tcW w:type="dxa" w:w="2551"/>
            <w:tcBorders>
              <w:top w:val="nil"/>
              <w:bottom w:val="nil"/>
              <w:left w:val="nil"/>
              <w:right w:val="nil"/>
            </w:tcBorders>
          </w:tcPr>
          <w:p>
            <w:r>
              <w:rPr>
                <w:rFonts w:ascii="Arial" w:hAnsi="Arial"/>
                <w:b/>
                <w:i w:val="0"/>
                <w:color w:val="6B6A68"/>
                <w:sz w:val="20"/>
              </w:rPr>
              <w:t>Review framework:</w:t>
            </w:r>
          </w:p>
        </w:tc>
        <w:tc>
          <w:tcPr>
            <w:tcW w:type="dxa" w:w="10205"/>
            <w:tcBorders>
              <w:top w:val="nil"/>
              <w:bottom w:val="nil"/>
              <w:left w:val="nil"/>
              <w:right w:val="nil"/>
            </w:tcBorders>
          </w:tcPr>
          <w:p>
            <w:r>
              <w:rPr>
                <w:rFonts w:ascii="Arial" w:hAnsi="Arial"/>
                <w:b w:val="0"/>
                <w:i w:val="0"/>
                <w:color w:val="4A4743"/>
                <w:sz w:val="21"/>
              </w:rPr>
              <w:t>Overlay v0.9  ·  Reviewer Gate Check (Part B) + Full Rubric (Part C)</w:t>
            </w:r>
          </w:p>
        </w:tc>
      </w:tr>
      <w:tr>
        <w:tc>
          <w:tcPr>
            <w:tcW w:type="dxa" w:w="2551"/>
            <w:tcBorders>
              <w:top w:val="nil"/>
              <w:bottom w:val="nil"/>
              <w:left w:val="nil"/>
              <w:right w:val="nil"/>
            </w:tcBorders>
          </w:tcPr>
          <w:p>
            <w:r>
              <w:rPr>
                <w:rFonts w:ascii="Arial" w:hAnsi="Arial"/>
                <w:b/>
                <w:i w:val="0"/>
                <w:color w:val="6B6A68"/>
                <w:sz w:val="20"/>
              </w:rPr>
              <w:t>Reviewed by:</w:t>
            </w:r>
          </w:p>
        </w:tc>
        <w:tc>
          <w:tcPr>
            <w:tcW w:type="dxa" w:w="10205"/>
            <w:tcBorders>
              <w:top w:val="nil"/>
              <w:bottom w:val="nil"/>
              <w:left w:val="nil"/>
              <w:right w:val="nil"/>
            </w:tcBorders>
          </w:tcPr>
          <w:p>
            <w:r>
              <w:rPr>
                <w:rFonts w:ascii="Arial" w:hAnsi="Arial"/>
                <w:b w:val="0"/>
                <w:i w:val="0"/>
                <w:color w:val="4A4743"/>
                <w:sz w:val="21"/>
              </w:rPr>
              <w:t>Michael Cengkuru  ·  CoST International Secretariat</w:t>
            </w:r>
          </w:p>
        </w:tc>
      </w:tr>
      <w:tr>
        <w:tc>
          <w:tcPr>
            <w:tcW w:type="dxa" w:w="2551"/>
            <w:tcBorders>
              <w:top w:val="nil"/>
              <w:bottom w:val="nil"/>
              <w:left w:val="nil"/>
              <w:right w:val="nil"/>
            </w:tcBorders>
          </w:tcPr>
          <w:p>
            <w:r>
              <w:rPr>
                <w:rFonts w:ascii="Arial" w:hAnsi="Arial"/>
                <w:b/>
                <w:i w:val="0"/>
                <w:color w:val="6B6A68"/>
                <w:sz w:val="20"/>
              </w:rPr>
              <w:t>Review date:</w:t>
            </w:r>
          </w:p>
        </w:tc>
        <w:tc>
          <w:tcPr>
            <w:tcW w:type="dxa" w:w="10205"/>
            <w:tcBorders>
              <w:top w:val="nil"/>
              <w:bottom w:val="nil"/>
              <w:left w:val="nil"/>
              <w:right w:val="nil"/>
            </w:tcBorders>
          </w:tcPr>
          <w:p>
            <w:r>
              <w:rPr>
                <w:rFonts w:ascii="Arial" w:hAnsi="Arial"/>
                <w:b w:val="0"/>
                <w:i w:val="0"/>
                <w:color w:val="4A4743"/>
                <w:sz w:val="21"/>
              </w:rPr>
              <w:t>2026-04-23</w:t>
            </w:r>
          </w:p>
        </w:tc>
      </w:tr>
      <w:tr>
        <w:tc>
          <w:tcPr>
            <w:tcW w:type="dxa" w:w="2551"/>
            <w:tcBorders>
              <w:top w:val="nil"/>
              <w:bottom w:val="nil"/>
              <w:left w:val="nil"/>
              <w:right w:val="nil"/>
            </w:tcBorders>
          </w:tcPr>
          <w:p>
            <w:r>
              <w:rPr>
                <w:rFonts w:ascii="Arial" w:hAnsi="Arial"/>
                <w:b/>
                <w:i w:val="0"/>
                <w:color w:val="6B6A68"/>
                <w:sz w:val="20"/>
              </w:rPr>
              <w:t>Decision:</w:t>
            </w:r>
          </w:p>
        </w:tc>
        <w:tc>
          <w:tcPr>
            <w:tcW w:type="dxa" w:w="10205"/>
            <w:tcBorders>
              <w:top w:val="nil"/>
              <w:bottom w:val="nil"/>
              <w:left w:val="nil"/>
              <w:right w:val="nil"/>
            </w:tcBorders>
          </w:tcPr>
          <w:p>
            <w:r>
              <w:rPr>
                <w:rFonts w:ascii="Arial" w:hAnsi="Arial"/>
                <w:b/>
                <w:i w:val="0"/>
                <w:color w:val="B7251C"/>
                <w:sz w:val="21"/>
              </w:rPr>
              <w:t>REVISE AND RESUBMIT</w:t>
            </w:r>
            <w:r>
              <w:rPr>
                <w:rFonts w:ascii="Arial" w:hAnsi="Arial"/>
                <w:b w:val="0"/>
                <w:i w:val="0"/>
                <w:color w:val="4A4743"/>
                <w:sz w:val="21"/>
              </w:rPr>
              <w:t xml:space="preserve">  ·  Gate score 3 / 10</w:t>
            </w:r>
          </w:p>
        </w:tc>
      </w:tr>
    </w:tbl>
    <w:p>
      <w:pPr>
        <w:spacing w:after="240" w:before="0"/>
      </w:pPr>
    </w:p>
    <w:tbl>
      <w:tblPr>
        <w:tblW w:type="auto" w:w="0"/>
        <w:tblLayout w:type="fixed"/>
        <w:tblLook w:firstColumn="1" w:firstRow="1" w:lastColumn="0" w:lastRow="0" w:noHBand="0" w:noVBand="1" w:val="04A0"/>
      </w:tblPr>
      <w:tblGrid>
        <w:gridCol w:w="14798"/>
      </w:tblGrid>
      <w:tr>
        <w:tc>
          <w:tcPr>
            <w:tcW w:type="dxa" w:w="14798"/>
            <w:shd w:val="clear" w:color="auto" w:fill="F3F2F1"/>
            <w:tcBorders>
              <w:top w:val="single" w:sz="24" w:color="B7251C"/>
              <w:bottom w:val="single" w:sz="24" w:color="B7251C"/>
              <w:left w:val="nil"/>
              <w:right w:val="nil"/>
            </w:tcBorders>
          </w:tcPr>
          <w:p>
            <w:r>
              <w:rPr>
                <w:rFonts w:ascii="Arial" w:hAnsi="Arial"/>
                <w:b/>
                <w:i w:val="0"/>
                <w:color w:val="B7251C"/>
                <w:sz w:val="20"/>
              </w:rPr>
              <w:t xml:space="preserve">VERDICT   </w:t>
            </w:r>
            <w:r>
              <w:rPr>
                <w:rFonts w:ascii="Arial" w:hAnsi="Arial"/>
                <w:b w:val="0"/>
                <w:i w:val="0"/>
                <w:color w:val="4A4743"/>
                <w:sz w:val="21"/>
              </w:rPr>
              <w:t xml:space="preserve">Zambia has produced a materially stronger mapping template than the Kaduna calibration floor </w:t>
            </w:r>
            <w:r>
              <w:rPr>
                <w:rFonts w:ascii="Arial" w:hAnsi="Arial"/>
                <w:b/>
                <w:i w:val="0"/>
                <w:color w:val="4A4743"/>
                <w:sz w:val="21"/>
              </w:rPr>
              <w:t xml:space="preserve">(73 mapped fields, all substantive, 97.9% source forward-mapping). </w:t>
            </w:r>
            <w:r>
              <w:rPr>
                <w:rFonts w:ascii="Arial" w:hAnsi="Arial"/>
                <w:b w:val="0"/>
                <w:i w:val="0"/>
                <w:color w:val="4A4743"/>
                <w:sz w:val="21"/>
              </w:rPr>
              <w:t>The narrative report does not surface any of these numbers. The legal framework analysis in Annex 8.1 is the strongest we have seen on this kind of report. Fix the quantitative layer and this report reaches a solid band.</w:t>
            </w:r>
          </w:p>
          <w:p>
            <w:pPr>
              <w:spacing w:before="80"/>
            </w:pPr>
            <w:r>
              <w:rPr>
                <w:rFonts w:ascii="Arial" w:hAnsi="Arial"/>
                <w:b/>
                <w:i w:val="0"/>
                <w:color w:val="4A4743"/>
                <w:sz w:val="20"/>
              </w:rPr>
              <w:t>Resubmission target: 2026-05-21.</w:t>
            </w:r>
          </w:p>
        </w:tc>
      </w:tr>
    </w:tbl>
    <w:p>
      <w:pPr>
        <w:spacing w:after="280" w:before="0"/>
      </w:pPr>
    </w:p>
    <w:p>
      <w:r>
        <w:rPr>
          <w:rFonts w:ascii="Arial" w:hAnsi="Arial"/>
          <w:b/>
          <w:i w:val="0"/>
          <w:color w:val="4A4743"/>
          <w:sz w:val="26"/>
        </w:rPr>
        <w:t>1.  The template evidence</w:t>
      </w:r>
    </w:p>
    <w:tbl>
      <w:tblPr>
        <w:tblW w:type="auto" w:w="0"/>
        <w:tblLayout w:type="fixed"/>
        <w:tblLook w:firstColumn="1" w:firstRow="1" w:lastColumn="0" w:lastRow="0" w:noHBand="0" w:noVBand="1" w:val="04A0"/>
        <w:tblW w:w="3200" w:type="dxa"/>
      </w:tblPr>
      <w:tblGrid>
        <w:gridCol w:w="14798"/>
      </w:tblGrid>
      <w:tr>
        <w:tc>
          <w:tcPr>
            <w:tcW w:type="dxa" w:w="14798"/>
            <w:tcBorders>
              <w:top w:val="nil"/>
              <w:bottom w:val="single" w:sz="24" w:color="B7251C"/>
              <w:left w:val="nil"/>
              <w:right w:val="nil"/>
            </w:tcBorders>
          </w:tcPr>
          <w:p>
            <w:r/>
          </w:p>
        </w:tc>
      </w:tr>
    </w:tbl>
    <w:p>
      <w:pPr>
        <w:spacing w:after="80" w:before="0"/>
      </w:pPr>
    </w:p>
    <w:p>
      <w:pPr>
        <w:spacing w:after="160" w:before="0"/>
      </w:pPr>
      <w:r>
        <w:rPr>
          <w:rFonts w:ascii="Arial" w:hAnsi="Arial"/>
          <w:b w:val="0"/>
          <w:i w:val="0"/>
          <w:color w:val="4A4743"/>
          <w:sz w:val="21"/>
        </w:rPr>
        <w:t>Zambia mapped 73 of 1,480 OC4IDS template slots across four sheets. All mapped fields are substantive (no placeholders). The Projects and Contracting Processes sheets carry the bulk of the coverage; Linked Releases is at zero and Parties is effectively silent.</w:t>
      </w:r>
    </w:p>
    <w:p>
      <w:pPr>
        <w:jc w:val="center"/>
      </w:pPr>
      <w:r>
        <w:drawing>
          <wp:inline xmlns:a="http://schemas.openxmlformats.org/drawingml/2006/main" xmlns:pic="http://schemas.openxmlformats.org/drawingml/2006/picture">
            <wp:extent cx="6480000" cy="3869183"/>
            <wp:docPr id="1" name="Picture 1"/>
            <wp:cNvGraphicFramePr>
              <a:graphicFrameLocks noChangeAspect="1"/>
            </wp:cNvGraphicFramePr>
            <a:graphic>
              <a:graphicData uri="http://schemas.openxmlformats.org/drawingml/2006/picture">
                <pic:pic>
                  <pic:nvPicPr>
                    <pic:cNvPr id="0" name="01-sheet-coverage.png"/>
                    <pic:cNvPicPr/>
                  </pic:nvPicPr>
                  <pic:blipFill>
                    <a:blip r:embed="rId11"/>
                    <a:stretch>
                      <a:fillRect/>
                    </a:stretch>
                  </pic:blipFill>
                  <pic:spPr>
                    <a:xfrm>
                      <a:off x="0" y="0"/>
                      <a:ext cx="6480000" cy="3869183"/>
                    </a:xfrm>
                    <a:prstGeom prst="rect"/>
                  </pic:spPr>
                </pic:pic>
              </a:graphicData>
            </a:graphic>
          </wp:inline>
        </w:drawing>
      </w:r>
    </w:p>
    <w:p>
      <w:pPr>
        <w:spacing w:after="120" w:before="0"/>
      </w:pPr>
    </w:p>
    <w:p>
      <w:r>
        <w:rPr>
          <w:rFonts w:ascii="Arial" w:hAnsi="Arial"/>
          <w:b/>
          <w:i w:val="0"/>
          <w:color w:val="4A4743"/>
          <w:sz w:val="26"/>
        </w:rPr>
        <w:t>2.  Gate scorecard</w:t>
      </w:r>
    </w:p>
    <w:tbl>
      <w:tblPr>
        <w:tblW w:type="auto" w:w="0"/>
        <w:tblLayout w:type="fixed"/>
        <w:tblLook w:firstColumn="1" w:firstRow="1" w:lastColumn="0" w:lastRow="0" w:noHBand="0" w:noVBand="1" w:val="04A0"/>
        <w:tblW w:w="3200" w:type="dxa"/>
      </w:tblPr>
      <w:tblGrid>
        <w:gridCol w:w="14798"/>
      </w:tblGrid>
      <w:tr>
        <w:tc>
          <w:tcPr>
            <w:tcW w:type="dxa" w:w="14798"/>
            <w:tcBorders>
              <w:top w:val="nil"/>
              <w:bottom w:val="single" w:sz="24" w:color="B7251C"/>
              <w:left w:val="nil"/>
              <w:right w:val="nil"/>
            </w:tcBorders>
          </w:tcPr>
          <w:p>
            <w:r/>
          </w:p>
        </w:tc>
      </w:tr>
    </w:tbl>
    <w:p>
      <w:pPr>
        <w:spacing w:after="80" w:before="0"/>
      </w:pPr>
    </w:p>
    <w:p>
      <w:pPr>
        <w:spacing w:after="160" w:before="0"/>
      </w:pPr>
      <w:r>
        <w:rPr>
          <w:rFonts w:ascii="Arial" w:hAnsi="Arial"/>
          <w:b w:val="0"/>
          <w:i w:val="0"/>
          <w:color w:val="4A4743"/>
          <w:sz w:val="21"/>
        </w:rPr>
        <w:t>Overlay's 10-item gate check is pass/fail. A score below 7 returns the report at triage without full-rubric scoring. Zambia scored 3 / 10.</w:t>
      </w:r>
    </w:p>
    <w:tbl>
      <w:tblPr>
        <w:tblW w:type="auto" w:w="0"/>
        <w:tblLayout w:type="fixed"/>
        <w:tblLook w:firstColumn="1" w:firstRow="1" w:lastColumn="0" w:lastRow="0" w:noHBand="0" w:noVBand="1" w:val="04A0"/>
      </w:tblPr>
      <w:tblGrid>
        <w:gridCol w:w="3699"/>
        <w:gridCol w:w="3699"/>
        <w:gridCol w:w="3699"/>
        <w:gridCol w:w="3699"/>
      </w:tblGrid>
      <w:tr>
        <w:tc>
          <w:tcPr>
            <w:tcW w:type="dxa" w:w="567"/>
            <w:shd w:val="clear" w:color="auto" w:fill="2D2D2D"/>
            <w:tcBorders>
              <w:top w:val="single" w:sz="4" w:color="2D2D2D"/>
              <w:bottom w:val="single" w:sz="4" w:color="2D2D2D"/>
              <w:left w:val="single" w:sz="4" w:color="2D2D2D"/>
              <w:right w:val="single" w:sz="4" w:color="2D2D2D"/>
            </w:tcBorders>
          </w:tcPr>
          <w:p>
            <w:r>
              <w:rPr>
                <w:rFonts w:ascii="Arial" w:hAnsi="Arial"/>
                <w:b/>
                <w:i w:val="0"/>
                <w:color w:val="FFFFFF"/>
                <w:sz w:val="20"/>
              </w:rPr>
              <w:t>#</w:t>
            </w:r>
          </w:p>
        </w:tc>
        <w:tc>
          <w:tcPr>
            <w:tcW w:type="dxa" w:w="3288"/>
            <w:shd w:val="clear" w:color="auto" w:fill="2D2D2D"/>
            <w:tcBorders>
              <w:top w:val="single" w:sz="4" w:color="2D2D2D"/>
              <w:bottom w:val="single" w:sz="4" w:color="2D2D2D"/>
              <w:left w:val="single" w:sz="4" w:color="2D2D2D"/>
              <w:right w:val="single" w:sz="4" w:color="2D2D2D"/>
            </w:tcBorders>
          </w:tcPr>
          <w:p>
            <w:r>
              <w:rPr>
                <w:rFonts w:ascii="Arial" w:hAnsi="Arial"/>
                <w:b/>
                <w:i w:val="0"/>
                <w:color w:val="FFFFFF"/>
                <w:sz w:val="20"/>
              </w:rPr>
              <w:t>Gate item</w:t>
            </w:r>
          </w:p>
        </w:tc>
        <w:tc>
          <w:tcPr>
            <w:tcW w:type="dxa" w:w="1134"/>
            <w:shd w:val="clear" w:color="auto" w:fill="2D2D2D"/>
            <w:tcBorders>
              <w:top w:val="single" w:sz="4" w:color="2D2D2D"/>
              <w:bottom w:val="single" w:sz="4" w:color="2D2D2D"/>
              <w:left w:val="single" w:sz="4" w:color="2D2D2D"/>
              <w:right w:val="single" w:sz="4" w:color="2D2D2D"/>
            </w:tcBorders>
          </w:tcPr>
          <w:p>
            <w:r>
              <w:rPr>
                <w:rFonts w:ascii="Arial" w:hAnsi="Arial"/>
                <w:b/>
                <w:i w:val="0"/>
                <w:color w:val="FFFFFF"/>
                <w:sz w:val="20"/>
              </w:rPr>
              <w:t>Result</w:t>
            </w:r>
          </w:p>
        </w:tc>
        <w:tc>
          <w:tcPr>
            <w:tcW w:type="dxa" w:w="8957"/>
            <w:shd w:val="clear" w:color="auto" w:fill="2D2D2D"/>
            <w:tcBorders>
              <w:top w:val="single" w:sz="4" w:color="2D2D2D"/>
              <w:bottom w:val="single" w:sz="4" w:color="2D2D2D"/>
              <w:left w:val="single" w:sz="4" w:color="2D2D2D"/>
              <w:right w:val="single" w:sz="4" w:color="2D2D2D"/>
            </w:tcBorders>
          </w:tcPr>
          <w:p>
            <w:r>
              <w:rPr>
                <w:rFonts w:ascii="Arial" w:hAnsi="Arial"/>
                <w:b/>
                <w:i w:val="0"/>
                <w:color w:val="FFFFFF"/>
                <w:sz w:val="20"/>
              </w:rPr>
              <w:t>Note</w:t>
            </w:r>
          </w:p>
        </w:tc>
      </w:tr>
      <w:tr>
        <w:tc>
          <w:tcPr>
            <w:tcW w:type="dxa" w:w="567"/>
            <w:shd w:val="clear" w:color="auto" w:fill="FFFFFF"/>
            <w:tcBorders>
              <w:top w:val="nil"/>
              <w:bottom w:val="nil"/>
              <w:left w:val="nil"/>
              <w:right w:val="nil"/>
            </w:tcBorders>
          </w:tcPr>
          <w:p>
            <w:r>
              <w:rPr>
                <w:rFonts w:ascii="Arial" w:hAnsi="Arial"/>
                <w:b w:val="0"/>
                <w:i w:val="0"/>
                <w:color w:val="9C9B99"/>
                <w:sz w:val="20"/>
              </w:rPr>
              <w:t>1</w:t>
            </w:r>
          </w:p>
        </w:tc>
        <w:tc>
          <w:tcPr>
            <w:tcW w:type="dxa" w:w="3288"/>
            <w:shd w:val="clear" w:color="auto" w:fill="FFFFFF"/>
            <w:tcBorders>
              <w:top w:val="nil"/>
              <w:bottom w:val="nil"/>
              <w:left w:val="nil"/>
              <w:right w:val="nil"/>
            </w:tcBorders>
          </w:tcPr>
          <w:p>
            <w:r>
              <w:rPr>
                <w:rFonts w:ascii="Arial" w:hAnsi="Arial"/>
                <w:b w:val="0"/>
                <w:i w:val="0"/>
                <w:color w:val="4A4743"/>
                <w:sz w:val="20"/>
              </w:rPr>
              <w:t>Quantified headline (%)</w:t>
            </w:r>
          </w:p>
        </w:tc>
        <w:tc>
          <w:tcPr>
            <w:tcW w:type="dxa" w:w="1134"/>
            <w:shd w:val="clear" w:color="auto" w:fill="FFFFFF"/>
            <w:tcBorders>
              <w:top w:val="nil"/>
              <w:bottom w:val="nil"/>
              <w:left w:val="nil"/>
              <w:right w:val="nil"/>
            </w:tcBorders>
            <w:shd w:val="clear" w:color="auto" w:fill="F5D5D3"/>
          </w:tcPr>
          <w:p>
            <w:r>
              <w:rPr>
                <w:rFonts w:ascii="Arial" w:hAnsi="Arial"/>
                <w:b/>
                <w:i w:val="0"/>
                <w:color w:val="B7251C"/>
                <w:sz w:val="20"/>
              </w:rPr>
              <w:t>FAIL</w:t>
            </w:r>
          </w:p>
        </w:tc>
        <w:tc>
          <w:tcPr>
            <w:tcW w:type="dxa" w:w="8957"/>
            <w:shd w:val="clear" w:color="auto" w:fill="FFFFFF"/>
            <w:tcBorders>
              <w:top w:val="nil"/>
              <w:bottom w:val="nil"/>
              <w:left w:val="nil"/>
              <w:right w:val="nil"/>
            </w:tcBorders>
          </w:tcPr>
          <w:p>
            <w:r>
              <w:rPr>
                <w:rFonts w:ascii="Arial" w:hAnsi="Arial"/>
                <w:b w:val="0"/>
                <w:i w:val="0"/>
                <w:color w:val="4A4743"/>
                <w:sz w:val="19"/>
              </w:rPr>
              <w:t>Executive summary states "significant data gaps". No percentage anywhere.</w:t>
            </w:r>
          </w:p>
        </w:tc>
      </w:tr>
      <w:tr>
        <w:tc>
          <w:tcPr>
            <w:tcW w:type="dxa" w:w="567"/>
            <w:shd w:val="clear" w:color="auto" w:fill="F3F2F1"/>
            <w:tcBorders>
              <w:top w:val="nil"/>
              <w:bottom w:val="nil"/>
              <w:left w:val="nil"/>
              <w:right w:val="nil"/>
            </w:tcBorders>
          </w:tcPr>
          <w:p>
            <w:r>
              <w:rPr>
                <w:rFonts w:ascii="Arial" w:hAnsi="Arial"/>
                <w:b w:val="0"/>
                <w:i w:val="0"/>
                <w:color w:val="9C9B99"/>
                <w:sz w:val="20"/>
              </w:rPr>
              <w:t>2</w:t>
            </w:r>
          </w:p>
        </w:tc>
        <w:tc>
          <w:tcPr>
            <w:tcW w:type="dxa" w:w="3288"/>
            <w:shd w:val="clear" w:color="auto" w:fill="F3F2F1"/>
            <w:tcBorders>
              <w:top w:val="nil"/>
              <w:bottom w:val="nil"/>
              <w:left w:val="nil"/>
              <w:right w:val="nil"/>
            </w:tcBorders>
          </w:tcPr>
          <w:p>
            <w:r>
              <w:rPr>
                <w:rFonts w:ascii="Arial" w:hAnsi="Arial"/>
                <w:b w:val="0"/>
                <w:i w:val="0"/>
                <w:color w:val="4A4743"/>
                <w:sz w:val="20"/>
              </w:rPr>
              <w:t>Portal URLs + access dates</w:t>
            </w:r>
          </w:p>
        </w:tc>
        <w:tc>
          <w:tcPr>
            <w:tcW w:type="dxa" w:w="1134"/>
            <w:shd w:val="clear" w:color="auto" w:fill="F3F2F1"/>
            <w:tcBorders>
              <w:top w:val="nil"/>
              <w:bottom w:val="nil"/>
              <w:left w:val="nil"/>
              <w:right w:val="nil"/>
            </w:tcBorders>
            <w:shd w:val="clear" w:color="auto" w:fill="F5D5D3"/>
          </w:tcPr>
          <w:p>
            <w:r>
              <w:rPr>
                <w:rFonts w:ascii="Arial" w:hAnsi="Arial"/>
                <w:b/>
                <w:i w:val="0"/>
                <w:color w:val="B7251C"/>
                <w:sz w:val="20"/>
              </w:rPr>
              <w:t>FAIL</w:t>
            </w:r>
          </w:p>
        </w:tc>
        <w:tc>
          <w:tcPr>
            <w:tcW w:type="dxa" w:w="8957"/>
            <w:shd w:val="clear" w:color="auto" w:fill="F3F2F1"/>
            <w:tcBorders>
              <w:top w:val="nil"/>
              <w:bottom w:val="nil"/>
              <w:left w:val="nil"/>
              <w:right w:val="nil"/>
            </w:tcBorders>
          </w:tcPr>
          <w:p>
            <w:r>
              <w:rPr>
                <w:rFonts w:ascii="Arial" w:hAnsi="Arial"/>
                <w:b w:val="0"/>
                <w:i w:val="0"/>
                <w:color w:val="4A4743"/>
                <w:sz w:val="19"/>
              </w:rPr>
              <w:t>ZPPA e-GP named; URL (eprocure.zppa.org.zm) lives only in the template. No access date.</w:t>
            </w:r>
          </w:p>
        </w:tc>
      </w:tr>
      <w:tr>
        <w:tc>
          <w:tcPr>
            <w:tcW w:type="dxa" w:w="567"/>
            <w:shd w:val="clear" w:color="auto" w:fill="FFFFFF"/>
            <w:tcBorders>
              <w:top w:val="nil"/>
              <w:bottom w:val="nil"/>
              <w:left w:val="nil"/>
              <w:right w:val="nil"/>
            </w:tcBorders>
          </w:tcPr>
          <w:p>
            <w:r>
              <w:rPr>
                <w:rFonts w:ascii="Arial" w:hAnsi="Arial"/>
                <w:b w:val="0"/>
                <w:i w:val="0"/>
                <w:color w:val="9C9B99"/>
                <w:sz w:val="20"/>
              </w:rPr>
              <w:t>3</w:t>
            </w:r>
          </w:p>
        </w:tc>
        <w:tc>
          <w:tcPr>
            <w:tcW w:type="dxa" w:w="3288"/>
            <w:shd w:val="clear" w:color="auto" w:fill="FFFFFF"/>
            <w:tcBorders>
              <w:top w:val="nil"/>
              <w:bottom w:val="nil"/>
              <w:left w:val="nil"/>
              <w:right w:val="nil"/>
            </w:tcBorders>
          </w:tcPr>
          <w:p>
            <w:r>
              <w:rPr>
                <w:rFonts w:ascii="Arial" w:hAnsi="Arial"/>
                <w:b w:val="0"/>
                <w:i w:val="0"/>
                <w:color w:val="4A4743"/>
                <w:sz w:val="20"/>
              </w:rPr>
              <w:t>Sample defined</w:t>
            </w:r>
          </w:p>
        </w:tc>
        <w:tc>
          <w:tcPr>
            <w:tcW w:type="dxa" w:w="1134"/>
            <w:shd w:val="clear" w:color="auto" w:fill="FFFFFF"/>
            <w:tcBorders>
              <w:top w:val="nil"/>
              <w:bottom w:val="nil"/>
              <w:left w:val="nil"/>
              <w:right w:val="nil"/>
            </w:tcBorders>
            <w:shd w:val="clear" w:color="auto" w:fill="F5D5D3"/>
          </w:tcPr>
          <w:p>
            <w:r>
              <w:rPr>
                <w:rFonts w:ascii="Arial" w:hAnsi="Arial"/>
                <w:b/>
                <w:i w:val="0"/>
                <w:color w:val="B7251C"/>
                <w:sz w:val="20"/>
              </w:rPr>
              <w:t>FAIL</w:t>
            </w:r>
          </w:p>
        </w:tc>
        <w:tc>
          <w:tcPr>
            <w:tcW w:type="dxa" w:w="8957"/>
            <w:shd w:val="clear" w:color="auto" w:fill="FFFFFF"/>
            <w:tcBorders>
              <w:top w:val="nil"/>
              <w:bottom w:val="nil"/>
              <w:left w:val="nil"/>
              <w:right w:val="nil"/>
            </w:tcBorders>
          </w:tcPr>
          <w:p>
            <w:r>
              <w:rPr>
                <w:rFonts w:ascii="Arial" w:hAnsi="Arial"/>
                <w:b w:val="0"/>
                <w:i w:val="0"/>
                <w:color w:val="4A4743"/>
                <w:sz w:val="19"/>
              </w:rPr>
              <w:t>No project count, value, sectors, time window, or sampling method.</w:t>
            </w:r>
          </w:p>
        </w:tc>
      </w:tr>
      <w:tr>
        <w:tc>
          <w:tcPr>
            <w:tcW w:type="dxa" w:w="567"/>
            <w:shd w:val="clear" w:color="auto" w:fill="F3F2F1"/>
            <w:tcBorders>
              <w:top w:val="nil"/>
              <w:bottom w:val="nil"/>
              <w:left w:val="nil"/>
              <w:right w:val="nil"/>
            </w:tcBorders>
          </w:tcPr>
          <w:p>
            <w:r>
              <w:rPr>
                <w:rFonts w:ascii="Arial" w:hAnsi="Arial"/>
                <w:b w:val="0"/>
                <w:i w:val="0"/>
                <w:color w:val="9C9B99"/>
                <w:sz w:val="20"/>
              </w:rPr>
              <w:t>4</w:t>
            </w:r>
          </w:p>
        </w:tc>
        <w:tc>
          <w:tcPr>
            <w:tcW w:type="dxa" w:w="3288"/>
            <w:shd w:val="clear" w:color="auto" w:fill="F3F2F1"/>
            <w:tcBorders>
              <w:top w:val="nil"/>
              <w:bottom w:val="nil"/>
              <w:left w:val="nil"/>
              <w:right w:val="nil"/>
            </w:tcBorders>
          </w:tcPr>
          <w:p>
            <w:r>
              <w:rPr>
                <w:rFonts w:ascii="Arial" w:hAnsi="Arial"/>
                <w:b w:val="0"/>
                <w:i w:val="0"/>
                <w:color w:val="4A4743"/>
                <w:sz w:val="20"/>
              </w:rPr>
              <w:t>OC4IDS template version</w:t>
            </w:r>
          </w:p>
        </w:tc>
        <w:tc>
          <w:tcPr>
            <w:tcW w:type="dxa" w:w="1134"/>
            <w:shd w:val="clear" w:color="auto" w:fill="F3F2F1"/>
            <w:tcBorders>
              <w:top w:val="nil"/>
              <w:bottom w:val="nil"/>
              <w:left w:val="nil"/>
              <w:right w:val="nil"/>
            </w:tcBorders>
            <w:shd w:val="clear" w:color="auto" w:fill="E8F5E9"/>
          </w:tcPr>
          <w:p>
            <w:r>
              <w:rPr>
                <w:rFonts w:ascii="Arial" w:hAnsi="Arial"/>
                <w:b/>
                <w:i w:val="0"/>
                <w:color w:val="4EA83D"/>
                <w:sz w:val="20"/>
              </w:rPr>
              <w:t>PASS</w:t>
            </w:r>
          </w:p>
        </w:tc>
        <w:tc>
          <w:tcPr>
            <w:tcW w:type="dxa" w:w="8957"/>
            <w:shd w:val="clear" w:color="auto" w:fill="F3F2F1"/>
            <w:tcBorders>
              <w:top w:val="nil"/>
              <w:bottom w:val="nil"/>
              <w:left w:val="nil"/>
              <w:right w:val="nil"/>
            </w:tcBorders>
          </w:tcPr>
          <w:p>
            <w:r>
              <w:rPr>
                <w:rFonts w:ascii="Arial" w:hAnsi="Arial"/>
                <w:b w:val="0"/>
                <w:i w:val="0"/>
                <w:color w:val="4A4743"/>
                <w:sz w:val="19"/>
              </w:rPr>
              <w:t>"OC4IDS v0.9.5" stated in §3 Methodology.</w:t>
            </w:r>
          </w:p>
        </w:tc>
      </w:tr>
      <w:tr>
        <w:tc>
          <w:tcPr>
            <w:tcW w:type="dxa" w:w="567"/>
            <w:shd w:val="clear" w:color="auto" w:fill="FFFFFF"/>
            <w:tcBorders>
              <w:top w:val="nil"/>
              <w:bottom w:val="nil"/>
              <w:left w:val="nil"/>
              <w:right w:val="nil"/>
            </w:tcBorders>
          </w:tcPr>
          <w:p>
            <w:r>
              <w:rPr>
                <w:rFonts w:ascii="Arial" w:hAnsi="Arial"/>
                <w:b w:val="0"/>
                <w:i w:val="0"/>
                <w:color w:val="9C9B99"/>
                <w:sz w:val="20"/>
              </w:rPr>
              <w:t>5</w:t>
            </w:r>
          </w:p>
        </w:tc>
        <w:tc>
          <w:tcPr>
            <w:tcW w:type="dxa" w:w="3288"/>
            <w:shd w:val="clear" w:color="auto" w:fill="FFFFFF"/>
            <w:tcBorders>
              <w:top w:val="nil"/>
              <w:bottom w:val="nil"/>
              <w:left w:val="nil"/>
              <w:right w:val="nil"/>
            </w:tcBorders>
          </w:tcPr>
          <w:p>
            <w:r>
              <w:rPr>
                <w:rFonts w:ascii="Arial" w:hAnsi="Arial"/>
                <w:b w:val="0"/>
                <w:i w:val="0"/>
                <w:color w:val="4A4743"/>
                <w:sz w:val="20"/>
              </w:rPr>
              <w:t>Coverage % by phase</w:t>
            </w:r>
          </w:p>
        </w:tc>
        <w:tc>
          <w:tcPr>
            <w:tcW w:type="dxa" w:w="1134"/>
            <w:shd w:val="clear" w:color="auto" w:fill="FFFFFF"/>
            <w:tcBorders>
              <w:top w:val="nil"/>
              <w:bottom w:val="nil"/>
              <w:left w:val="nil"/>
              <w:right w:val="nil"/>
            </w:tcBorders>
            <w:shd w:val="clear" w:color="auto" w:fill="F5D5D3"/>
          </w:tcPr>
          <w:p>
            <w:r>
              <w:rPr>
                <w:rFonts w:ascii="Arial" w:hAnsi="Arial"/>
                <w:b/>
                <w:i w:val="0"/>
                <w:color w:val="B7251C"/>
                <w:sz w:val="20"/>
              </w:rPr>
              <w:t>FAIL</w:t>
            </w:r>
          </w:p>
        </w:tc>
        <w:tc>
          <w:tcPr>
            <w:tcW w:type="dxa" w:w="8957"/>
            <w:shd w:val="clear" w:color="auto" w:fill="FFFFFF"/>
            <w:tcBorders>
              <w:top w:val="nil"/>
              <w:bottom w:val="nil"/>
              <w:left w:val="nil"/>
              <w:right w:val="nil"/>
            </w:tcBorders>
          </w:tcPr>
          <w:p>
            <w:r>
              <w:rPr>
                <w:rFonts w:ascii="Arial" w:hAnsi="Arial"/>
                <w:b w:val="0"/>
                <w:i w:val="0"/>
                <w:color w:val="4A4743"/>
                <w:sz w:val="19"/>
              </w:rPr>
              <w:t>Phases discussed qualitatively. Template supports percentages directly.</w:t>
            </w:r>
          </w:p>
        </w:tc>
      </w:tr>
      <w:tr>
        <w:tc>
          <w:tcPr>
            <w:tcW w:type="dxa" w:w="567"/>
            <w:shd w:val="clear" w:color="auto" w:fill="F3F2F1"/>
            <w:tcBorders>
              <w:top w:val="nil"/>
              <w:bottom w:val="nil"/>
              <w:left w:val="nil"/>
              <w:right w:val="nil"/>
            </w:tcBorders>
          </w:tcPr>
          <w:p>
            <w:r>
              <w:rPr>
                <w:rFonts w:ascii="Arial" w:hAnsi="Arial"/>
                <w:b w:val="0"/>
                <w:i w:val="0"/>
                <w:color w:val="9C9B99"/>
                <w:sz w:val="20"/>
              </w:rPr>
              <w:t>6</w:t>
            </w:r>
          </w:p>
        </w:tc>
        <w:tc>
          <w:tcPr>
            <w:tcW w:type="dxa" w:w="3288"/>
            <w:shd w:val="clear" w:color="auto" w:fill="F3F2F1"/>
            <w:tcBorders>
              <w:top w:val="nil"/>
              <w:bottom w:val="nil"/>
              <w:left w:val="nil"/>
              <w:right w:val="nil"/>
            </w:tcBorders>
          </w:tcPr>
          <w:p>
            <w:r>
              <w:rPr>
                <w:rFonts w:ascii="Arial" w:hAnsi="Arial"/>
                <w:b w:val="0"/>
                <w:i w:val="0"/>
                <w:color w:val="4A4743"/>
                <w:sz w:val="20"/>
              </w:rPr>
              <w:t>Source-field provenance</w:t>
            </w:r>
          </w:p>
        </w:tc>
        <w:tc>
          <w:tcPr>
            <w:tcW w:type="dxa" w:w="1134"/>
            <w:shd w:val="clear" w:color="auto" w:fill="F3F2F1"/>
            <w:tcBorders>
              <w:top w:val="nil"/>
              <w:bottom w:val="nil"/>
              <w:left w:val="nil"/>
              <w:right w:val="nil"/>
            </w:tcBorders>
            <w:shd w:val="clear" w:color="auto" w:fill="F5D5D3"/>
          </w:tcPr>
          <w:p>
            <w:r>
              <w:rPr>
                <w:rFonts w:ascii="Arial" w:hAnsi="Arial"/>
                <w:b/>
                <w:i w:val="0"/>
                <w:color w:val="B7251C"/>
                <w:sz w:val="20"/>
              </w:rPr>
              <w:t>FAIL</w:t>
            </w:r>
          </w:p>
        </w:tc>
        <w:tc>
          <w:tcPr>
            <w:tcW w:type="dxa" w:w="8957"/>
            <w:shd w:val="clear" w:color="auto" w:fill="F3F2F1"/>
            <w:tcBorders>
              <w:top w:val="nil"/>
              <w:bottom w:val="nil"/>
              <w:left w:val="nil"/>
              <w:right w:val="nil"/>
            </w:tcBorders>
          </w:tcPr>
          <w:p>
            <w:r>
              <w:rPr>
                <w:rFonts w:ascii="Arial" w:hAnsi="Arial"/>
                <w:b w:val="0"/>
                <w:i w:val="0"/>
                <w:color w:val="4A4743"/>
                <w:sz w:val="19"/>
              </w:rPr>
              <w:t>Template has clean notation (zppa_egp.project.project.id). Report buries it.</w:t>
            </w:r>
          </w:p>
        </w:tc>
      </w:tr>
      <w:tr>
        <w:tc>
          <w:tcPr>
            <w:tcW w:type="dxa" w:w="567"/>
            <w:shd w:val="clear" w:color="auto" w:fill="FFFFFF"/>
            <w:tcBorders>
              <w:top w:val="nil"/>
              <w:bottom w:val="nil"/>
              <w:left w:val="nil"/>
              <w:right w:val="nil"/>
            </w:tcBorders>
          </w:tcPr>
          <w:p>
            <w:r>
              <w:rPr>
                <w:rFonts w:ascii="Arial" w:hAnsi="Arial"/>
                <w:b w:val="0"/>
                <w:i w:val="0"/>
                <w:color w:val="9C9B99"/>
                <w:sz w:val="20"/>
              </w:rPr>
              <w:t>7</w:t>
            </w:r>
          </w:p>
        </w:tc>
        <w:tc>
          <w:tcPr>
            <w:tcW w:type="dxa" w:w="3288"/>
            <w:shd w:val="clear" w:color="auto" w:fill="FFFFFF"/>
            <w:tcBorders>
              <w:top w:val="nil"/>
              <w:bottom w:val="nil"/>
              <w:left w:val="nil"/>
              <w:right w:val="nil"/>
            </w:tcBorders>
          </w:tcPr>
          <w:p>
            <w:r>
              <w:rPr>
                <w:rFonts w:ascii="Arial" w:hAnsi="Arial"/>
                <w:b w:val="0"/>
                <w:i w:val="0"/>
                <w:color w:val="4A4743"/>
                <w:sz w:val="20"/>
              </w:rPr>
              <w:t>Gap root causes (typology)</w:t>
            </w:r>
          </w:p>
        </w:tc>
        <w:tc>
          <w:tcPr>
            <w:tcW w:type="dxa" w:w="1134"/>
            <w:shd w:val="clear" w:color="auto" w:fill="FFFFFF"/>
            <w:tcBorders>
              <w:top w:val="nil"/>
              <w:bottom w:val="nil"/>
              <w:left w:val="nil"/>
              <w:right w:val="nil"/>
            </w:tcBorders>
            <w:shd w:val="clear" w:color="auto" w:fill="F5D5D3"/>
          </w:tcPr>
          <w:p>
            <w:r>
              <w:rPr>
                <w:rFonts w:ascii="Arial" w:hAnsi="Arial"/>
                <w:b/>
                <w:i w:val="0"/>
                <w:color w:val="B7251C"/>
                <w:sz w:val="20"/>
              </w:rPr>
              <w:t>FAIL</w:t>
            </w:r>
          </w:p>
        </w:tc>
        <w:tc>
          <w:tcPr>
            <w:tcW w:type="dxa" w:w="8957"/>
            <w:shd w:val="clear" w:color="auto" w:fill="FFFFFF"/>
            <w:tcBorders>
              <w:top w:val="nil"/>
              <w:bottom w:val="nil"/>
              <w:left w:val="nil"/>
              <w:right w:val="nil"/>
            </w:tcBorders>
          </w:tcPr>
          <w:p>
            <w:r>
              <w:rPr>
                <w:rFonts w:ascii="Arial" w:hAnsi="Arial"/>
                <w:b w:val="0"/>
                <w:i w:val="0"/>
                <w:color w:val="4A4743"/>
                <w:sz w:val="19"/>
              </w:rPr>
              <w:t>Gaps labelled "missing". The NCC-already-collects-this insight is a type-6 gap (collected, not disclosed) and should be labelled.</w:t>
            </w:r>
          </w:p>
        </w:tc>
      </w:tr>
      <w:tr>
        <w:tc>
          <w:tcPr>
            <w:tcW w:type="dxa" w:w="567"/>
            <w:shd w:val="clear" w:color="auto" w:fill="F3F2F1"/>
            <w:tcBorders>
              <w:top w:val="nil"/>
              <w:bottom w:val="nil"/>
              <w:left w:val="nil"/>
              <w:right w:val="nil"/>
            </w:tcBorders>
          </w:tcPr>
          <w:p>
            <w:r>
              <w:rPr>
                <w:rFonts w:ascii="Arial" w:hAnsi="Arial"/>
                <w:b w:val="0"/>
                <w:i w:val="0"/>
                <w:color w:val="9C9B99"/>
                <w:sz w:val="20"/>
              </w:rPr>
              <w:t>8</w:t>
            </w:r>
          </w:p>
        </w:tc>
        <w:tc>
          <w:tcPr>
            <w:tcW w:type="dxa" w:w="3288"/>
            <w:shd w:val="clear" w:color="auto" w:fill="F3F2F1"/>
            <w:tcBorders>
              <w:top w:val="nil"/>
              <w:bottom w:val="nil"/>
              <w:left w:val="nil"/>
              <w:right w:val="nil"/>
            </w:tcBorders>
          </w:tcPr>
          <w:p>
            <w:r>
              <w:rPr>
                <w:rFonts w:ascii="Arial" w:hAnsi="Arial"/>
                <w:b w:val="0"/>
                <w:i w:val="0"/>
                <w:color w:val="4A4743"/>
                <w:sz w:val="20"/>
              </w:rPr>
              <w:t>Procurement + FOI law cited</w:t>
            </w:r>
          </w:p>
        </w:tc>
        <w:tc>
          <w:tcPr>
            <w:tcW w:type="dxa" w:w="1134"/>
            <w:shd w:val="clear" w:color="auto" w:fill="F3F2F1"/>
            <w:tcBorders>
              <w:top w:val="nil"/>
              <w:bottom w:val="nil"/>
              <w:left w:val="nil"/>
              <w:right w:val="nil"/>
            </w:tcBorders>
            <w:shd w:val="clear" w:color="auto" w:fill="E8F5E9"/>
          </w:tcPr>
          <w:p>
            <w:r>
              <w:rPr>
                <w:rFonts w:ascii="Arial" w:hAnsi="Arial"/>
                <w:b/>
                <w:i w:val="0"/>
                <w:color w:val="4EA83D"/>
                <w:sz w:val="20"/>
              </w:rPr>
              <w:t>PASS</w:t>
            </w:r>
          </w:p>
        </w:tc>
        <w:tc>
          <w:tcPr>
            <w:tcW w:type="dxa" w:w="8957"/>
            <w:shd w:val="clear" w:color="auto" w:fill="F3F2F1"/>
            <w:tcBorders>
              <w:top w:val="nil"/>
              <w:bottom w:val="nil"/>
              <w:left w:val="nil"/>
              <w:right w:val="nil"/>
            </w:tcBorders>
          </w:tcPr>
          <w:p>
            <w:r>
              <w:rPr>
                <w:rFonts w:ascii="Arial" w:hAnsi="Arial"/>
                <w:b w:val="0"/>
                <w:i w:val="0"/>
                <w:color w:val="4A4743"/>
                <w:sz w:val="19"/>
              </w:rPr>
              <w:t>Strong: ATI Act s.6/8/9/17, ZPPA Act s.67/70, NCC Act s.5/31/33/53.</w:t>
            </w:r>
          </w:p>
        </w:tc>
      </w:tr>
      <w:tr>
        <w:tc>
          <w:tcPr>
            <w:tcW w:type="dxa" w:w="567"/>
            <w:shd w:val="clear" w:color="auto" w:fill="FFFFFF"/>
            <w:tcBorders>
              <w:top w:val="nil"/>
              <w:bottom w:val="nil"/>
              <w:left w:val="nil"/>
              <w:right w:val="nil"/>
            </w:tcBorders>
          </w:tcPr>
          <w:p>
            <w:r>
              <w:rPr>
                <w:rFonts w:ascii="Arial" w:hAnsi="Arial"/>
                <w:b w:val="0"/>
                <w:i w:val="0"/>
                <w:color w:val="9C9B99"/>
                <w:sz w:val="20"/>
              </w:rPr>
              <w:t>9</w:t>
            </w:r>
          </w:p>
        </w:tc>
        <w:tc>
          <w:tcPr>
            <w:tcW w:type="dxa" w:w="3288"/>
            <w:shd w:val="clear" w:color="auto" w:fill="FFFFFF"/>
            <w:tcBorders>
              <w:top w:val="nil"/>
              <w:bottom w:val="nil"/>
              <w:left w:val="nil"/>
              <w:right w:val="nil"/>
            </w:tcBorders>
          </w:tcPr>
          <w:p>
            <w:r>
              <w:rPr>
                <w:rFonts w:ascii="Arial" w:hAnsi="Arial"/>
                <w:b w:val="0"/>
                <w:i w:val="0"/>
                <w:color w:val="4A4743"/>
                <w:sz w:val="20"/>
              </w:rPr>
              <w:t>Recommendations with owners + timelines</w:t>
            </w:r>
          </w:p>
        </w:tc>
        <w:tc>
          <w:tcPr>
            <w:tcW w:type="dxa" w:w="1134"/>
            <w:shd w:val="clear" w:color="auto" w:fill="FFFFFF"/>
            <w:tcBorders>
              <w:top w:val="nil"/>
              <w:bottom w:val="nil"/>
              <w:left w:val="nil"/>
              <w:right w:val="nil"/>
            </w:tcBorders>
            <w:shd w:val="clear" w:color="auto" w:fill="F5D5D3"/>
          </w:tcPr>
          <w:p>
            <w:r>
              <w:rPr>
                <w:rFonts w:ascii="Arial" w:hAnsi="Arial"/>
                <w:b/>
                <w:i w:val="0"/>
                <w:color w:val="B7251C"/>
                <w:sz w:val="20"/>
              </w:rPr>
              <w:t>FAIL</w:t>
            </w:r>
          </w:p>
        </w:tc>
        <w:tc>
          <w:tcPr>
            <w:tcW w:type="dxa" w:w="8957"/>
            <w:shd w:val="clear" w:color="auto" w:fill="FFFFFF"/>
            <w:tcBorders>
              <w:top w:val="nil"/>
              <w:bottom w:val="nil"/>
              <w:left w:val="nil"/>
              <w:right w:val="nil"/>
            </w:tcBorders>
          </w:tcPr>
          <w:p>
            <w:r>
              <w:rPr>
                <w:rFonts w:ascii="Arial" w:hAnsi="Arial"/>
                <w:b w:val="0"/>
                <w:i w:val="0"/>
                <w:color w:val="4A4743"/>
                <w:sz w:val="19"/>
              </w:rPr>
              <w:t>Six groups, all directional. No owner, no timeline, no effort level.</w:t>
            </w:r>
          </w:p>
        </w:tc>
      </w:tr>
      <w:tr>
        <w:tc>
          <w:tcPr>
            <w:tcW w:type="dxa" w:w="567"/>
            <w:shd w:val="clear" w:color="auto" w:fill="F3F2F1"/>
            <w:tcBorders>
              <w:top w:val="nil"/>
              <w:bottom w:val="nil"/>
              <w:left w:val="nil"/>
              <w:right w:val="nil"/>
            </w:tcBorders>
          </w:tcPr>
          <w:p>
            <w:r>
              <w:rPr>
                <w:rFonts w:ascii="Arial" w:hAnsi="Arial"/>
                <w:b w:val="0"/>
                <w:i w:val="0"/>
                <w:color w:val="9C9B99"/>
                <w:sz w:val="20"/>
              </w:rPr>
              <w:t>10</w:t>
            </w:r>
          </w:p>
        </w:tc>
        <w:tc>
          <w:tcPr>
            <w:tcW w:type="dxa" w:w="3288"/>
            <w:shd w:val="clear" w:color="auto" w:fill="F3F2F1"/>
            <w:tcBorders>
              <w:top w:val="nil"/>
              <w:bottom w:val="nil"/>
              <w:left w:val="nil"/>
              <w:right w:val="nil"/>
            </w:tcBorders>
          </w:tcPr>
          <w:p>
            <w:r>
              <w:rPr>
                <w:rFonts w:ascii="Arial" w:hAnsi="Arial"/>
                <w:b w:val="0"/>
                <w:i w:val="0"/>
                <w:color w:val="4A4743"/>
                <w:sz w:val="20"/>
              </w:rPr>
              <w:t>Template attached</w:t>
            </w:r>
          </w:p>
        </w:tc>
        <w:tc>
          <w:tcPr>
            <w:tcW w:type="dxa" w:w="1134"/>
            <w:shd w:val="clear" w:color="auto" w:fill="F3F2F1"/>
            <w:tcBorders>
              <w:top w:val="nil"/>
              <w:bottom w:val="nil"/>
              <w:left w:val="nil"/>
              <w:right w:val="nil"/>
            </w:tcBorders>
            <w:shd w:val="clear" w:color="auto" w:fill="E8F5E9"/>
          </w:tcPr>
          <w:p>
            <w:r>
              <w:rPr>
                <w:rFonts w:ascii="Arial" w:hAnsi="Arial"/>
                <w:b/>
                <w:i w:val="0"/>
                <w:color w:val="4EA83D"/>
                <w:sz w:val="20"/>
              </w:rPr>
              <w:t>PASS</w:t>
            </w:r>
          </w:p>
        </w:tc>
        <w:tc>
          <w:tcPr>
            <w:tcW w:type="dxa" w:w="8957"/>
            <w:shd w:val="clear" w:color="auto" w:fill="F3F2F1"/>
            <w:tcBorders>
              <w:top w:val="nil"/>
              <w:bottom w:val="nil"/>
              <w:left w:val="nil"/>
              <w:right w:val="nil"/>
            </w:tcBorders>
          </w:tcPr>
          <w:p>
            <w:r>
              <w:rPr>
                <w:rFonts w:ascii="Arial" w:hAnsi="Arial"/>
                <w:b w:val="0"/>
                <w:i w:val="0"/>
                <w:color w:val="4A4743"/>
                <w:sz w:val="19"/>
              </w:rPr>
              <w:t>Workbook attached alongside.</w:t>
            </w:r>
          </w:p>
        </w:tc>
      </w:tr>
    </w:tbl>
    <w:p>
      <w:pPr>
        <w:spacing w:after="80" w:before="0"/>
      </w:pPr>
    </w:p>
    <w:p>
      <w:pPr>
        <w:spacing w:after="240" w:before="0"/>
      </w:pPr>
      <w:r>
        <w:rPr>
          <w:rFonts w:ascii="Arial" w:hAnsi="Arial"/>
          <w:b w:val="0"/>
          <w:i/>
          <w:color w:val="6B6A68"/>
          <w:sz w:val="20"/>
        </w:rPr>
        <w:t>Spot-sample (template evidence check): 5 of 5 mapped rows carry substantive content, no placeholders. This is the strongest spot-sample result we have seen. Unmapped rows, however, have empty Notes columns: gate rule fails on unjustified omissions.</w:t>
      </w:r>
    </w:p>
    <w:p>
      <w:r>
        <w:br w:type="page"/>
      </w:r>
    </w:p>
    <w:p>
      <w:r>
        <w:rPr>
          <w:rFonts w:ascii="Arial" w:hAnsi="Arial"/>
          <w:b/>
          <w:i w:val="0"/>
          <w:color w:val="4A4743"/>
          <w:sz w:val="26"/>
        </w:rPr>
        <w:t>3.  Where the gaps sit</w:t>
      </w:r>
    </w:p>
    <w:tbl>
      <w:tblPr>
        <w:tblW w:type="auto" w:w="0"/>
        <w:tblLayout w:type="fixed"/>
        <w:tblLook w:firstColumn="1" w:firstRow="1" w:lastColumn="0" w:lastRow="0" w:noHBand="0" w:noVBand="1" w:val="04A0"/>
        <w:tblW w:w="3200" w:type="dxa"/>
      </w:tblPr>
      <w:tblGrid>
        <w:gridCol w:w="14798"/>
      </w:tblGrid>
      <w:tr>
        <w:tc>
          <w:tcPr>
            <w:tcW w:type="dxa" w:w="14798"/>
            <w:tcBorders>
              <w:top w:val="nil"/>
              <w:bottom w:val="single" w:sz="24" w:color="B7251C"/>
              <w:left w:val="nil"/>
              <w:right w:val="nil"/>
            </w:tcBorders>
          </w:tcPr>
          <w:p>
            <w:r/>
          </w:p>
        </w:tc>
      </w:tr>
    </w:tbl>
    <w:p>
      <w:pPr>
        <w:spacing w:after="80" w:before="0"/>
      </w:pPr>
    </w:p>
    <w:p>
      <w:pPr>
        <w:spacing w:after="160" w:before="0"/>
      </w:pPr>
      <w:r>
        <w:rPr>
          <w:rFonts w:ascii="Arial" w:hAnsi="Arial"/>
          <w:b w:val="0"/>
          <w:i w:val="0"/>
          <w:color w:val="4A4743"/>
          <w:sz w:val="21"/>
        </w:rPr>
        <w:t>Coverage is front-loaded on identification and procurement. The middle of the lifecycle, where value-for-money judgments live, is almost empty. Maintenance and decommissioning return zero mapped fields.</w:t>
      </w:r>
    </w:p>
    <w:p>
      <w:pPr>
        <w:jc w:val="center"/>
      </w:pPr>
      <w:r>
        <w:drawing>
          <wp:inline xmlns:a="http://schemas.openxmlformats.org/drawingml/2006/main" xmlns:pic="http://schemas.openxmlformats.org/drawingml/2006/picture">
            <wp:extent cx="6480000" cy="3088716"/>
            <wp:docPr id="2" name="Picture 2"/>
            <wp:cNvGraphicFramePr>
              <a:graphicFrameLocks noChangeAspect="1"/>
            </wp:cNvGraphicFramePr>
            <a:graphic>
              <a:graphicData uri="http://schemas.openxmlformats.org/drawingml/2006/picture">
                <pic:pic>
                  <pic:nvPicPr>
                    <pic:cNvPr id="0" name="02-phase-coverage.png"/>
                    <pic:cNvPicPr/>
                  </pic:nvPicPr>
                  <pic:blipFill>
                    <a:blip r:embed="rId12"/>
                    <a:stretch>
                      <a:fillRect/>
                    </a:stretch>
                  </pic:blipFill>
                  <pic:spPr>
                    <a:xfrm>
                      <a:off x="0" y="0"/>
                      <a:ext cx="6480000" cy="3088716"/>
                    </a:xfrm>
                    <a:prstGeom prst="rect"/>
                  </pic:spPr>
                </pic:pic>
              </a:graphicData>
            </a:graphic>
          </wp:inline>
        </w:drawing>
      </w:r>
    </w:p>
    <w:p>
      <w:pPr>
        <w:spacing w:after="120" w:before="0"/>
      </w:pPr>
    </w:p>
    <w:p>
      <w:pPr>
        <w:spacing w:after="280" w:before="0"/>
      </w:pPr>
      <w:r>
        <w:rPr>
          <w:rFonts w:ascii="Arial" w:hAnsi="Arial"/>
          <w:b w:val="0"/>
          <w:i w:val="0"/>
          <w:color w:val="4A4743"/>
          <w:sz w:val="21"/>
        </w:rPr>
        <w:t>The report's §5.3 labels Implementation a "critical gap" and §4.1 flags that the NCC already collects most of the missing data through its monitoring mandate (NCC Act 2020, s.53). Under the Overlay typology this is a type-6 gap (collected, not disclosed). Remediation is data integration, not data collection. Label it.</w:t>
      </w:r>
    </w:p>
    <w:p>
      <w:r>
        <w:rPr>
          <w:rFonts w:ascii="Arial" w:hAnsi="Arial"/>
          <w:b/>
          <w:i w:val="0"/>
          <w:color w:val="4A4743"/>
          <w:sz w:val="26"/>
        </w:rPr>
        <w:t>4.  Findings, owners, and specific revisions</w:t>
      </w:r>
    </w:p>
    <w:tbl>
      <w:tblPr>
        <w:tblW w:type="auto" w:w="0"/>
        <w:tblLayout w:type="fixed"/>
        <w:tblLook w:firstColumn="1" w:firstRow="1" w:lastColumn="0" w:lastRow="0" w:noHBand="0" w:noVBand="1" w:val="04A0"/>
        <w:tblW w:w="3200" w:type="dxa"/>
      </w:tblPr>
      <w:tblGrid>
        <w:gridCol w:w="14798"/>
      </w:tblGrid>
      <w:tr>
        <w:tc>
          <w:tcPr>
            <w:tcW w:type="dxa" w:w="14798"/>
            <w:tcBorders>
              <w:top w:val="nil"/>
              <w:bottom w:val="single" w:sz="24" w:color="B7251C"/>
              <w:left w:val="nil"/>
              <w:right w:val="nil"/>
            </w:tcBorders>
          </w:tcPr>
          <w:p>
            <w:r/>
          </w:p>
        </w:tc>
      </w:tr>
    </w:tbl>
    <w:p>
      <w:pPr>
        <w:spacing w:after="80" w:before="0"/>
      </w:pPr>
    </w:p>
    <w:tbl>
      <w:tblPr>
        <w:tblW w:type="auto" w:w="0"/>
        <w:tblLayout w:type="fixed"/>
        <w:tblLook w:firstColumn="1" w:firstRow="1" w:lastColumn="0" w:lastRow="0" w:noHBand="0" w:noVBand="1" w:val="04A0"/>
      </w:tblPr>
      <w:tblGrid>
        <w:gridCol w:w="2466"/>
        <w:gridCol w:w="2466"/>
        <w:gridCol w:w="2466"/>
        <w:gridCol w:w="2466"/>
        <w:gridCol w:w="2466"/>
        <w:gridCol w:w="2466"/>
      </w:tblGrid>
      <w:tr>
        <w:tc>
          <w:tcPr>
            <w:tcW w:type="dxa" w:w="510"/>
            <w:shd w:val="clear" w:color="auto" w:fill="2D2D2D"/>
            <w:tcBorders>
              <w:top w:val="single" w:sz="4" w:color="2D2D2D"/>
              <w:bottom w:val="single" w:sz="4" w:color="2D2D2D"/>
              <w:left w:val="single" w:sz="4" w:color="2D2D2D"/>
              <w:right w:val="single" w:sz="4" w:color="2D2D2D"/>
            </w:tcBorders>
          </w:tcPr>
          <w:p>
            <w:r>
              <w:rPr>
                <w:rFonts w:ascii="Arial" w:hAnsi="Arial"/>
                <w:b/>
                <w:i w:val="0"/>
                <w:color w:val="FFFFFF"/>
                <w:sz w:val="20"/>
              </w:rPr>
              <w:t>Ref</w:t>
            </w:r>
          </w:p>
        </w:tc>
        <w:tc>
          <w:tcPr>
            <w:tcW w:type="dxa" w:w="1020"/>
            <w:shd w:val="clear" w:color="auto" w:fill="2D2D2D"/>
            <w:tcBorders>
              <w:top w:val="single" w:sz="4" w:color="2D2D2D"/>
              <w:bottom w:val="single" w:sz="4" w:color="2D2D2D"/>
              <w:left w:val="single" w:sz="4" w:color="2D2D2D"/>
              <w:right w:val="single" w:sz="4" w:color="2D2D2D"/>
            </w:tcBorders>
          </w:tcPr>
          <w:p>
            <w:r>
              <w:rPr>
                <w:rFonts w:ascii="Arial" w:hAnsi="Arial"/>
                <w:b/>
                <w:i w:val="0"/>
                <w:color w:val="FFFFFF"/>
                <w:sz w:val="20"/>
              </w:rPr>
              <w:t>Priority</w:t>
            </w:r>
          </w:p>
        </w:tc>
        <w:tc>
          <w:tcPr>
            <w:tcW w:type="dxa" w:w="2835"/>
            <w:shd w:val="clear" w:color="auto" w:fill="2D2D2D"/>
            <w:tcBorders>
              <w:top w:val="single" w:sz="4" w:color="2D2D2D"/>
              <w:bottom w:val="single" w:sz="4" w:color="2D2D2D"/>
              <w:left w:val="single" w:sz="4" w:color="2D2D2D"/>
              <w:right w:val="single" w:sz="4" w:color="2D2D2D"/>
            </w:tcBorders>
          </w:tcPr>
          <w:p>
            <w:r>
              <w:rPr>
                <w:rFonts w:ascii="Arial" w:hAnsi="Arial"/>
                <w:b/>
                <w:i w:val="0"/>
                <w:color w:val="FFFFFF"/>
                <w:sz w:val="20"/>
              </w:rPr>
              <w:t>Issue</w:t>
            </w:r>
          </w:p>
        </w:tc>
        <w:tc>
          <w:tcPr>
            <w:tcW w:type="dxa" w:w="4422"/>
            <w:shd w:val="clear" w:color="auto" w:fill="2D2D2D"/>
            <w:tcBorders>
              <w:top w:val="single" w:sz="4" w:color="2D2D2D"/>
              <w:bottom w:val="single" w:sz="4" w:color="2D2D2D"/>
              <w:left w:val="single" w:sz="4" w:color="2D2D2D"/>
              <w:right w:val="single" w:sz="4" w:color="2D2D2D"/>
            </w:tcBorders>
          </w:tcPr>
          <w:p>
            <w:r>
              <w:rPr>
                <w:rFonts w:ascii="Arial" w:hAnsi="Arial"/>
                <w:b/>
                <w:i w:val="0"/>
                <w:color w:val="FFFFFF"/>
                <w:sz w:val="20"/>
              </w:rPr>
              <w:t>Evidence</w:t>
            </w:r>
          </w:p>
        </w:tc>
        <w:tc>
          <w:tcPr>
            <w:tcW w:type="dxa" w:w="3572"/>
            <w:shd w:val="clear" w:color="auto" w:fill="2D2D2D"/>
            <w:tcBorders>
              <w:top w:val="single" w:sz="4" w:color="2D2D2D"/>
              <w:bottom w:val="single" w:sz="4" w:color="2D2D2D"/>
              <w:left w:val="single" w:sz="4" w:color="2D2D2D"/>
              <w:right w:val="single" w:sz="4" w:color="2D2D2D"/>
            </w:tcBorders>
          </w:tcPr>
          <w:p>
            <w:r>
              <w:rPr>
                <w:rFonts w:ascii="Arial" w:hAnsi="Arial"/>
                <w:b/>
                <w:i w:val="0"/>
                <w:color w:val="FFFFFF"/>
                <w:sz w:val="20"/>
              </w:rPr>
              <w:t>Recommendation</w:t>
            </w:r>
          </w:p>
        </w:tc>
        <w:tc>
          <w:tcPr>
            <w:tcW w:type="dxa" w:w="1928"/>
            <w:shd w:val="clear" w:color="auto" w:fill="2D2D2D"/>
            <w:tcBorders>
              <w:top w:val="single" w:sz="4" w:color="2D2D2D"/>
              <w:bottom w:val="single" w:sz="4" w:color="2D2D2D"/>
              <w:left w:val="single" w:sz="4" w:color="2D2D2D"/>
              <w:right w:val="single" w:sz="4" w:color="2D2D2D"/>
            </w:tcBorders>
          </w:tcPr>
          <w:p>
            <w:r>
              <w:rPr>
                <w:rFonts w:ascii="Arial" w:hAnsi="Arial"/>
                <w:b/>
                <w:i w:val="0"/>
                <w:color w:val="FFFFFF"/>
                <w:sz w:val="20"/>
              </w:rPr>
              <w:t>Owner / deadline</w:t>
            </w:r>
          </w:p>
        </w:tc>
      </w:tr>
      <w:tr>
        <w:tc>
          <w:tcPr>
            <w:tcW w:type="dxa" w:w="510"/>
            <w:shd w:val="clear" w:color="auto" w:fill="FFFFFF"/>
            <w:tcBorders>
              <w:top w:val="nil"/>
              <w:bottom w:val="nil"/>
              <w:left w:val="nil"/>
              <w:right w:val="nil"/>
            </w:tcBorders>
          </w:tcPr>
          <w:p>
            <w:r>
              <w:rPr>
                <w:rFonts w:ascii="Arial" w:hAnsi="Arial"/>
                <w:b/>
                <w:i w:val="0"/>
                <w:color w:val="4A4743"/>
                <w:sz w:val="19"/>
              </w:rPr>
              <w:t>F1</w:t>
            </w:r>
          </w:p>
        </w:tc>
        <w:tc>
          <w:tcPr>
            <w:tcW w:type="dxa" w:w="1020"/>
            <w:shd w:val="clear" w:color="auto" w:fill="FFFFFF"/>
            <w:tcBorders>
              <w:top w:val="nil"/>
              <w:bottom w:val="nil"/>
              <w:left w:val="nil"/>
              <w:right w:val="nil"/>
            </w:tcBorders>
            <w:shd w:val="clear" w:color="auto" w:fill="F5D5D3"/>
          </w:tcPr>
          <w:p>
            <w:r>
              <w:rPr>
                <w:rFonts w:ascii="Arial" w:hAnsi="Arial"/>
                <w:b/>
                <w:i w:val="0"/>
                <w:color w:val="B7251C"/>
                <w:sz w:val="19"/>
              </w:rPr>
              <w:t>Critical</w:t>
            </w:r>
          </w:p>
        </w:tc>
        <w:tc>
          <w:tcPr>
            <w:tcW w:type="dxa" w:w="2835"/>
            <w:shd w:val="clear" w:color="auto" w:fill="FFFFFF"/>
            <w:tcBorders>
              <w:top w:val="nil"/>
              <w:bottom w:val="nil"/>
              <w:left w:val="nil"/>
              <w:right w:val="nil"/>
            </w:tcBorders>
          </w:tcPr>
          <w:p>
            <w:r>
              <w:rPr>
                <w:rFonts w:ascii="Arial" w:hAnsi="Arial"/>
                <w:b/>
                <w:i w:val="0"/>
                <w:color w:val="4A4743"/>
                <w:sz w:val="19"/>
              </w:rPr>
              <w:t>Executive summary carries no quantified headline.</w:t>
            </w:r>
          </w:p>
        </w:tc>
        <w:tc>
          <w:tcPr>
            <w:tcW w:type="dxa" w:w="4422"/>
            <w:shd w:val="clear" w:color="auto" w:fill="FFFFFF"/>
            <w:tcBorders>
              <w:top w:val="nil"/>
              <w:bottom w:val="nil"/>
              <w:left w:val="nil"/>
              <w:right w:val="nil"/>
            </w:tcBorders>
          </w:tcPr>
          <w:p>
            <w:r>
              <w:rPr>
                <w:rFonts w:ascii="Arial" w:hAnsi="Arial"/>
                <w:b w:val="0"/>
                <w:i w:val="0"/>
                <w:color w:val="4A4743"/>
                <w:sz w:val="19"/>
              </w:rPr>
              <w:t>"Significant data gaps exist" is the current phrasing. The template supports "73 of 1,480 OC4IDS fields mapped (4.9%); zero coverage on Linked Releases and effectively zero on Parties".</w:t>
            </w:r>
          </w:p>
        </w:tc>
        <w:tc>
          <w:tcPr>
            <w:tcW w:type="dxa" w:w="3572"/>
            <w:shd w:val="clear" w:color="auto" w:fill="FFFFFF"/>
            <w:tcBorders>
              <w:top w:val="nil"/>
              <w:bottom w:val="nil"/>
              <w:left w:val="nil"/>
              <w:right w:val="nil"/>
            </w:tcBorders>
          </w:tcPr>
          <w:p>
            <w:r>
              <w:rPr>
                <w:rFonts w:ascii="Arial" w:hAnsi="Arial"/>
                <w:b w:val="0"/>
                <w:i w:val="0"/>
                <w:color w:val="4A4743"/>
                <w:sz w:val="19"/>
              </w:rPr>
              <w:t>Rewrite the opening sentence with the percentage and the four per-sheet counts. Match Part A item 1.</w:t>
            </w:r>
          </w:p>
        </w:tc>
        <w:tc>
          <w:tcPr>
            <w:tcW w:type="dxa" w:w="1928"/>
            <w:shd w:val="clear" w:color="auto" w:fill="FFFFFF"/>
            <w:tcBorders>
              <w:top w:val="nil"/>
              <w:bottom w:val="nil"/>
              <w:left w:val="nil"/>
              <w:right w:val="nil"/>
            </w:tcBorders>
          </w:tcPr>
          <w:p>
            <w:r>
              <w:rPr>
                <w:rFonts w:ascii="Arial" w:hAnsi="Arial"/>
                <w:b w:val="0"/>
                <w:i w:val="0"/>
                <w:color w:val="4A4743"/>
                <w:sz w:val="19"/>
              </w:rPr>
              <w:t>Zambia Technical Team</w:t>
            </w:r>
          </w:p>
          <w:p>
            <w:pPr>
              <w:spacing w:before="40"/>
            </w:pPr>
            <w:r>
              <w:rPr>
                <w:rFonts w:ascii="Arial" w:hAnsi="Arial"/>
                <w:b/>
                <w:i w:val="0"/>
                <w:color w:val="B7251C"/>
                <w:sz w:val="19"/>
              </w:rPr>
              <w:t>2026-05-07</w:t>
            </w:r>
          </w:p>
        </w:tc>
      </w:tr>
      <w:tr>
        <w:tc>
          <w:tcPr>
            <w:tcW w:type="dxa" w:w="510"/>
            <w:shd w:val="clear" w:color="auto" w:fill="F3F2F1"/>
            <w:tcBorders>
              <w:top w:val="nil"/>
              <w:bottom w:val="nil"/>
              <w:left w:val="nil"/>
              <w:right w:val="nil"/>
            </w:tcBorders>
          </w:tcPr>
          <w:p>
            <w:r>
              <w:rPr>
                <w:rFonts w:ascii="Arial" w:hAnsi="Arial"/>
                <w:b/>
                <w:i w:val="0"/>
                <w:color w:val="4A4743"/>
                <w:sz w:val="19"/>
              </w:rPr>
              <w:t>F2</w:t>
            </w:r>
          </w:p>
        </w:tc>
        <w:tc>
          <w:tcPr>
            <w:tcW w:type="dxa" w:w="1020"/>
            <w:shd w:val="clear" w:color="auto" w:fill="F3F2F1"/>
            <w:tcBorders>
              <w:top w:val="nil"/>
              <w:bottom w:val="nil"/>
              <w:left w:val="nil"/>
              <w:right w:val="nil"/>
            </w:tcBorders>
            <w:shd w:val="clear" w:color="auto" w:fill="F5D5D3"/>
          </w:tcPr>
          <w:p>
            <w:r>
              <w:rPr>
                <w:rFonts w:ascii="Arial" w:hAnsi="Arial"/>
                <w:b/>
                <w:i w:val="0"/>
                <w:color w:val="B7251C"/>
                <w:sz w:val="19"/>
              </w:rPr>
              <w:t>Critical</w:t>
            </w:r>
          </w:p>
        </w:tc>
        <w:tc>
          <w:tcPr>
            <w:tcW w:type="dxa" w:w="2835"/>
            <w:shd w:val="clear" w:color="auto" w:fill="F3F2F1"/>
            <w:tcBorders>
              <w:top w:val="nil"/>
              <w:bottom w:val="nil"/>
              <w:left w:val="nil"/>
              <w:right w:val="nil"/>
            </w:tcBorders>
          </w:tcPr>
          <w:p>
            <w:r>
              <w:rPr>
                <w:rFonts w:ascii="Arial" w:hAnsi="Arial"/>
                <w:b/>
                <w:i w:val="0"/>
                <w:color w:val="4A4743"/>
                <w:sz w:val="19"/>
              </w:rPr>
              <w:t>Phase-level percentages not disclosed.</w:t>
            </w:r>
          </w:p>
        </w:tc>
        <w:tc>
          <w:tcPr>
            <w:tcW w:type="dxa" w:w="4422"/>
            <w:shd w:val="clear" w:color="auto" w:fill="F3F2F1"/>
            <w:tcBorders>
              <w:top w:val="nil"/>
              <w:bottom w:val="nil"/>
              <w:left w:val="nil"/>
              <w:right w:val="nil"/>
            </w:tcBorders>
          </w:tcPr>
          <w:p>
            <w:r>
              <w:rPr>
                <w:rFonts w:ascii="Arial" w:hAnsi="Arial"/>
                <w:b w:val="0"/>
                <w:i w:val="0"/>
                <w:color w:val="4A4743"/>
                <w:sz w:val="19"/>
              </w:rPr>
              <w:t>Phases are discussed qualitatively. The template allows quantification: Identification 28%, Procurement 21%, Preparation 12%, Completion 8%, Implementation 2%, Maintenance 0%, Decommissioning 0%.</w:t>
            </w:r>
          </w:p>
        </w:tc>
        <w:tc>
          <w:tcPr>
            <w:tcW w:type="dxa" w:w="3572"/>
            <w:shd w:val="clear" w:color="auto" w:fill="F3F2F1"/>
            <w:tcBorders>
              <w:top w:val="nil"/>
              <w:bottom w:val="nil"/>
              <w:left w:val="nil"/>
              <w:right w:val="nil"/>
            </w:tcBorders>
          </w:tcPr>
          <w:p>
            <w:r>
              <w:rPr>
                <w:rFonts w:ascii="Arial" w:hAnsi="Arial"/>
                <w:b w:val="0"/>
                <w:i w:val="0"/>
                <w:color w:val="4A4743"/>
                <w:sz w:val="19"/>
              </w:rPr>
              <w:t>Add a phase coverage table to §4 Findings with one row per phase, a percentage column, and the dominant gap type.</w:t>
            </w:r>
          </w:p>
        </w:tc>
        <w:tc>
          <w:tcPr>
            <w:tcW w:type="dxa" w:w="1928"/>
            <w:shd w:val="clear" w:color="auto" w:fill="F3F2F1"/>
            <w:tcBorders>
              <w:top w:val="nil"/>
              <w:bottom w:val="nil"/>
              <w:left w:val="nil"/>
              <w:right w:val="nil"/>
            </w:tcBorders>
          </w:tcPr>
          <w:p>
            <w:r>
              <w:rPr>
                <w:rFonts w:ascii="Arial" w:hAnsi="Arial"/>
                <w:b w:val="0"/>
                <w:i w:val="0"/>
                <w:color w:val="4A4743"/>
                <w:sz w:val="19"/>
              </w:rPr>
              <w:t>Zambia Technical Team</w:t>
            </w:r>
          </w:p>
          <w:p>
            <w:pPr>
              <w:spacing w:before="40"/>
            </w:pPr>
            <w:r>
              <w:rPr>
                <w:rFonts w:ascii="Arial" w:hAnsi="Arial"/>
                <w:b/>
                <w:i w:val="0"/>
                <w:color w:val="B7251C"/>
                <w:sz w:val="19"/>
              </w:rPr>
              <w:t>2026-05-10</w:t>
            </w:r>
          </w:p>
        </w:tc>
      </w:tr>
      <w:tr>
        <w:tc>
          <w:tcPr>
            <w:tcW w:type="dxa" w:w="510"/>
            <w:shd w:val="clear" w:color="auto" w:fill="FFFFFF"/>
            <w:tcBorders>
              <w:top w:val="nil"/>
              <w:bottom w:val="nil"/>
              <w:left w:val="nil"/>
              <w:right w:val="nil"/>
            </w:tcBorders>
          </w:tcPr>
          <w:p>
            <w:r>
              <w:rPr>
                <w:rFonts w:ascii="Arial" w:hAnsi="Arial"/>
                <w:b/>
                <w:i w:val="0"/>
                <w:color w:val="4A4743"/>
                <w:sz w:val="19"/>
              </w:rPr>
              <w:t>F3</w:t>
            </w:r>
          </w:p>
        </w:tc>
        <w:tc>
          <w:tcPr>
            <w:tcW w:type="dxa" w:w="1020"/>
            <w:shd w:val="clear" w:color="auto" w:fill="FFFFFF"/>
            <w:tcBorders>
              <w:top w:val="nil"/>
              <w:bottom w:val="nil"/>
              <w:left w:val="nil"/>
              <w:right w:val="nil"/>
            </w:tcBorders>
            <w:shd w:val="clear" w:color="auto" w:fill="F5D5D3"/>
          </w:tcPr>
          <w:p>
            <w:r>
              <w:rPr>
                <w:rFonts w:ascii="Arial" w:hAnsi="Arial"/>
                <w:b/>
                <w:i w:val="0"/>
                <w:color w:val="B7251C"/>
                <w:sz w:val="19"/>
              </w:rPr>
              <w:t>Critical</w:t>
            </w:r>
          </w:p>
        </w:tc>
        <w:tc>
          <w:tcPr>
            <w:tcW w:type="dxa" w:w="2835"/>
            <w:shd w:val="clear" w:color="auto" w:fill="FFFFFF"/>
            <w:tcBorders>
              <w:top w:val="nil"/>
              <w:bottom w:val="nil"/>
              <w:left w:val="nil"/>
              <w:right w:val="nil"/>
            </w:tcBorders>
          </w:tcPr>
          <w:p>
            <w:r>
              <w:rPr>
                <w:rFonts w:ascii="Arial" w:hAnsi="Arial"/>
                <w:b/>
                <w:i w:val="0"/>
                <w:color w:val="4A4743"/>
                <w:sz w:val="19"/>
              </w:rPr>
              <w:t>Source-field provenance buried in the template.</w:t>
            </w:r>
          </w:p>
        </w:tc>
        <w:tc>
          <w:tcPr>
            <w:tcW w:type="dxa" w:w="4422"/>
            <w:shd w:val="clear" w:color="auto" w:fill="FFFFFF"/>
            <w:tcBorders>
              <w:top w:val="nil"/>
              <w:bottom w:val="nil"/>
              <w:left w:val="nil"/>
              <w:right w:val="nil"/>
            </w:tcBorders>
          </w:tcPr>
          <w:p>
            <w:r>
              <w:rPr>
                <w:rFonts w:ascii="Arial" w:hAnsi="Arial"/>
                <w:b w:val="0"/>
                <w:i w:val="0"/>
                <w:color w:val="4A4743"/>
                <w:sz w:val="19"/>
              </w:rPr>
              <w:t>Every mapped OC4IDS path in the template has a clean source notation, e.g. `/id` -&gt; `zppa_egp.project.project.id`. The report does not expose these mappings.</w:t>
            </w:r>
          </w:p>
        </w:tc>
        <w:tc>
          <w:tcPr>
            <w:tcW w:type="dxa" w:w="3572"/>
            <w:shd w:val="clear" w:color="auto" w:fill="FFFFFF"/>
            <w:tcBorders>
              <w:top w:val="nil"/>
              <w:bottom w:val="nil"/>
              <w:left w:val="nil"/>
              <w:right w:val="nil"/>
            </w:tcBorders>
          </w:tcPr>
          <w:p>
            <w:r>
              <w:rPr>
                <w:rFonts w:ascii="Arial" w:hAnsi="Arial"/>
                <w:b w:val="0"/>
                <w:i w:val="0"/>
                <w:color w:val="4A4743"/>
                <w:sz w:val="19"/>
              </w:rPr>
              <w:t>Add a provenance column to the §5 phase tables: OC4IDS path, ZPPA e-GP path, status.</w:t>
            </w:r>
          </w:p>
        </w:tc>
        <w:tc>
          <w:tcPr>
            <w:tcW w:type="dxa" w:w="1928"/>
            <w:shd w:val="clear" w:color="auto" w:fill="FFFFFF"/>
            <w:tcBorders>
              <w:top w:val="nil"/>
              <w:bottom w:val="nil"/>
              <w:left w:val="nil"/>
              <w:right w:val="nil"/>
            </w:tcBorders>
          </w:tcPr>
          <w:p>
            <w:r>
              <w:rPr>
                <w:rFonts w:ascii="Arial" w:hAnsi="Arial"/>
                <w:b w:val="0"/>
                <w:i w:val="0"/>
                <w:color w:val="4A4743"/>
                <w:sz w:val="19"/>
              </w:rPr>
              <w:t>Zambia Technical Team</w:t>
            </w:r>
          </w:p>
          <w:p>
            <w:pPr>
              <w:spacing w:before="40"/>
            </w:pPr>
            <w:r>
              <w:rPr>
                <w:rFonts w:ascii="Arial" w:hAnsi="Arial"/>
                <w:b/>
                <w:i w:val="0"/>
                <w:color w:val="B7251C"/>
                <w:sz w:val="19"/>
              </w:rPr>
              <w:t>2026-05-14</w:t>
            </w:r>
          </w:p>
        </w:tc>
      </w:tr>
      <w:tr>
        <w:tc>
          <w:tcPr>
            <w:tcW w:type="dxa" w:w="510"/>
            <w:shd w:val="clear" w:color="auto" w:fill="F3F2F1"/>
            <w:tcBorders>
              <w:top w:val="nil"/>
              <w:bottom w:val="nil"/>
              <w:left w:val="nil"/>
              <w:right w:val="nil"/>
            </w:tcBorders>
          </w:tcPr>
          <w:p>
            <w:r>
              <w:rPr>
                <w:rFonts w:ascii="Arial" w:hAnsi="Arial"/>
                <w:b/>
                <w:i w:val="0"/>
                <w:color w:val="4A4743"/>
                <w:sz w:val="19"/>
              </w:rPr>
              <w:t>F4</w:t>
            </w:r>
          </w:p>
        </w:tc>
        <w:tc>
          <w:tcPr>
            <w:tcW w:type="dxa" w:w="1020"/>
            <w:shd w:val="clear" w:color="auto" w:fill="F3F2F1"/>
            <w:tcBorders>
              <w:top w:val="nil"/>
              <w:bottom w:val="nil"/>
              <w:left w:val="nil"/>
              <w:right w:val="nil"/>
            </w:tcBorders>
            <w:shd w:val="clear" w:color="auto" w:fill="F5D5D3"/>
          </w:tcPr>
          <w:p>
            <w:r>
              <w:rPr>
                <w:rFonts w:ascii="Arial" w:hAnsi="Arial"/>
                <w:b/>
                <w:i w:val="0"/>
                <w:color w:val="B7251C"/>
                <w:sz w:val="19"/>
              </w:rPr>
              <w:t>Critical</w:t>
            </w:r>
          </w:p>
        </w:tc>
        <w:tc>
          <w:tcPr>
            <w:tcW w:type="dxa" w:w="2835"/>
            <w:shd w:val="clear" w:color="auto" w:fill="F3F2F1"/>
            <w:tcBorders>
              <w:top w:val="nil"/>
              <w:bottom w:val="nil"/>
              <w:left w:val="nil"/>
              <w:right w:val="nil"/>
            </w:tcBorders>
          </w:tcPr>
          <w:p>
            <w:r>
              <w:rPr>
                <w:rFonts w:ascii="Arial" w:hAnsi="Arial"/>
                <w:b/>
                <w:i w:val="0"/>
                <w:color w:val="4A4743"/>
                <w:sz w:val="19"/>
              </w:rPr>
              <w:t>Recommendations have no owners or timelines.</w:t>
            </w:r>
          </w:p>
        </w:tc>
        <w:tc>
          <w:tcPr>
            <w:tcW w:type="dxa" w:w="4422"/>
            <w:shd w:val="clear" w:color="auto" w:fill="F3F2F1"/>
            <w:tcBorders>
              <w:top w:val="nil"/>
              <w:bottom w:val="nil"/>
              <w:left w:val="nil"/>
              <w:right w:val="nil"/>
            </w:tcBorders>
          </w:tcPr>
          <w:p>
            <w:r>
              <w:rPr>
                <w:rFonts w:ascii="Arial" w:hAnsi="Arial"/>
                <w:b w:val="0"/>
                <w:i w:val="0"/>
                <w:color w:val="4A4743"/>
                <w:sz w:val="19"/>
              </w:rPr>
              <w:t>§6.1 to §6.6 list six recommendation groups. All are directional. None name an institution or a quarter. Overlay gate item 9 fails.</w:t>
            </w:r>
          </w:p>
        </w:tc>
        <w:tc>
          <w:tcPr>
            <w:tcW w:type="dxa" w:w="3572"/>
            <w:shd w:val="clear" w:color="auto" w:fill="F3F2F1"/>
            <w:tcBorders>
              <w:top w:val="nil"/>
              <w:bottom w:val="nil"/>
              <w:left w:val="nil"/>
              <w:right w:val="nil"/>
            </w:tcBorders>
          </w:tcPr>
          <w:p>
            <w:r>
              <w:rPr>
                <w:rFonts w:ascii="Arial" w:hAnsi="Arial"/>
                <w:b w:val="0"/>
                <w:i w:val="0"/>
                <w:color w:val="4A4743"/>
                <w:sz w:val="19"/>
              </w:rPr>
              <w:t>Assign each recommendation to NCC, ZPPA, CoST Zambia, or MoF with a specific quarter. The NCC Act and ATI Act already provide legal mandates; cite them per recommendation.</w:t>
            </w:r>
          </w:p>
        </w:tc>
        <w:tc>
          <w:tcPr>
            <w:tcW w:type="dxa" w:w="1928"/>
            <w:shd w:val="clear" w:color="auto" w:fill="F3F2F1"/>
            <w:tcBorders>
              <w:top w:val="nil"/>
              <w:bottom w:val="nil"/>
              <w:left w:val="nil"/>
              <w:right w:val="nil"/>
            </w:tcBorders>
          </w:tcPr>
          <w:p>
            <w:r>
              <w:rPr>
                <w:rFonts w:ascii="Arial" w:hAnsi="Arial"/>
                <w:b w:val="0"/>
                <w:i w:val="0"/>
                <w:color w:val="4A4743"/>
                <w:sz w:val="19"/>
              </w:rPr>
              <w:t>CoST Zambia + NCC + ZPPA</w:t>
            </w:r>
          </w:p>
          <w:p>
            <w:pPr>
              <w:spacing w:before="40"/>
            </w:pPr>
            <w:r>
              <w:rPr>
                <w:rFonts w:ascii="Arial" w:hAnsi="Arial"/>
                <w:b/>
                <w:i w:val="0"/>
                <w:color w:val="B7251C"/>
                <w:sz w:val="19"/>
              </w:rPr>
              <w:t>2026-05-14</w:t>
            </w:r>
          </w:p>
        </w:tc>
      </w:tr>
      <w:tr>
        <w:tc>
          <w:tcPr>
            <w:tcW w:type="dxa" w:w="510"/>
            <w:shd w:val="clear" w:color="auto" w:fill="FFFFFF"/>
            <w:tcBorders>
              <w:top w:val="nil"/>
              <w:bottom w:val="nil"/>
              <w:left w:val="nil"/>
              <w:right w:val="nil"/>
            </w:tcBorders>
          </w:tcPr>
          <w:p>
            <w:r>
              <w:rPr>
                <w:rFonts w:ascii="Arial" w:hAnsi="Arial"/>
                <w:b/>
                <w:i w:val="0"/>
                <w:color w:val="4A4743"/>
                <w:sz w:val="19"/>
              </w:rPr>
              <w:t>F5</w:t>
            </w:r>
          </w:p>
        </w:tc>
        <w:tc>
          <w:tcPr>
            <w:tcW w:type="dxa" w:w="1020"/>
            <w:shd w:val="clear" w:color="auto" w:fill="FFFFFF"/>
            <w:tcBorders>
              <w:top w:val="nil"/>
              <w:bottom w:val="nil"/>
              <w:left w:val="nil"/>
              <w:right w:val="nil"/>
            </w:tcBorders>
            <w:shd w:val="clear" w:color="auto" w:fill="D9EDF3"/>
          </w:tcPr>
          <w:p>
            <w:r>
              <w:rPr>
                <w:rFonts w:ascii="Arial" w:hAnsi="Arial"/>
                <w:b/>
                <w:i w:val="0"/>
                <w:color w:val="71B6C9"/>
                <w:sz w:val="19"/>
              </w:rPr>
              <w:t>High</w:t>
            </w:r>
          </w:p>
        </w:tc>
        <w:tc>
          <w:tcPr>
            <w:tcW w:type="dxa" w:w="2835"/>
            <w:shd w:val="clear" w:color="auto" w:fill="FFFFFF"/>
            <w:tcBorders>
              <w:top w:val="nil"/>
              <w:bottom w:val="nil"/>
              <w:left w:val="nil"/>
              <w:right w:val="nil"/>
            </w:tcBorders>
          </w:tcPr>
          <w:p>
            <w:r>
              <w:rPr>
                <w:rFonts w:ascii="Arial" w:hAnsi="Arial"/>
                <w:b/>
                <w:i w:val="0"/>
                <w:color w:val="4A4743"/>
                <w:sz w:val="19"/>
              </w:rPr>
              <w:t>Gap typology not applied.</w:t>
            </w:r>
          </w:p>
        </w:tc>
        <w:tc>
          <w:tcPr>
            <w:tcW w:type="dxa" w:w="4422"/>
            <w:shd w:val="clear" w:color="auto" w:fill="FFFFFF"/>
            <w:tcBorders>
              <w:top w:val="nil"/>
              <w:bottom w:val="nil"/>
              <w:left w:val="nil"/>
              <w:right w:val="nil"/>
            </w:tcBorders>
          </w:tcPr>
          <w:p>
            <w:r>
              <w:rPr>
                <w:rFonts w:ascii="Arial" w:hAnsi="Arial"/>
                <w:b w:val="0"/>
                <w:i w:val="0"/>
                <w:color w:val="4A4743"/>
                <w:sz w:val="19"/>
              </w:rPr>
              <w:t>Gaps are described by phase, not by root cause. The strongest implicit finding - "NCC already collects this data" - is a type-6 gap (collected, not disclosed). Remediation differs by type.</w:t>
            </w:r>
          </w:p>
        </w:tc>
        <w:tc>
          <w:tcPr>
            <w:tcW w:type="dxa" w:w="3572"/>
            <w:shd w:val="clear" w:color="auto" w:fill="FFFFFF"/>
            <w:tcBorders>
              <w:top w:val="nil"/>
              <w:bottom w:val="nil"/>
              <w:left w:val="nil"/>
              <w:right w:val="nil"/>
            </w:tcBorders>
          </w:tcPr>
          <w:p>
            <w:r>
              <w:rPr>
                <w:rFonts w:ascii="Arial" w:hAnsi="Arial"/>
                <w:b w:val="0"/>
                <w:i w:val="0"/>
                <w:color w:val="4A4743"/>
                <w:sz w:val="19"/>
              </w:rPr>
              <w:t>Apply the 8-category typology to each material gap in §5. Label the NCC insight explicitly as type-6; this reframes §6 from "collect more data" to "integrate and disclose".</w:t>
            </w:r>
          </w:p>
        </w:tc>
        <w:tc>
          <w:tcPr>
            <w:tcW w:type="dxa" w:w="1928"/>
            <w:shd w:val="clear" w:color="auto" w:fill="FFFFFF"/>
            <w:tcBorders>
              <w:top w:val="nil"/>
              <w:bottom w:val="nil"/>
              <w:left w:val="nil"/>
              <w:right w:val="nil"/>
            </w:tcBorders>
          </w:tcPr>
          <w:p>
            <w:r>
              <w:rPr>
                <w:rFonts w:ascii="Arial" w:hAnsi="Arial"/>
                <w:b w:val="0"/>
                <w:i w:val="0"/>
                <w:color w:val="4A4743"/>
                <w:sz w:val="19"/>
              </w:rPr>
              <w:t>Zambia Technical Team</w:t>
            </w:r>
          </w:p>
          <w:p>
            <w:pPr>
              <w:spacing w:before="40"/>
            </w:pPr>
            <w:r>
              <w:rPr>
                <w:rFonts w:ascii="Arial" w:hAnsi="Arial"/>
                <w:b/>
                <w:i w:val="0"/>
                <w:color w:val="B7251C"/>
                <w:sz w:val="19"/>
              </w:rPr>
              <w:t>2026-05-10</w:t>
            </w:r>
          </w:p>
        </w:tc>
      </w:tr>
      <w:tr>
        <w:tc>
          <w:tcPr>
            <w:tcW w:type="dxa" w:w="510"/>
            <w:shd w:val="clear" w:color="auto" w:fill="F3F2F1"/>
            <w:tcBorders>
              <w:top w:val="nil"/>
              <w:bottom w:val="nil"/>
              <w:left w:val="nil"/>
              <w:right w:val="nil"/>
            </w:tcBorders>
          </w:tcPr>
          <w:p>
            <w:r>
              <w:rPr>
                <w:rFonts w:ascii="Arial" w:hAnsi="Arial"/>
                <w:b/>
                <w:i w:val="0"/>
                <w:color w:val="4A4743"/>
                <w:sz w:val="19"/>
              </w:rPr>
              <w:t>F6</w:t>
            </w:r>
          </w:p>
        </w:tc>
        <w:tc>
          <w:tcPr>
            <w:tcW w:type="dxa" w:w="1020"/>
            <w:shd w:val="clear" w:color="auto" w:fill="F3F2F1"/>
            <w:tcBorders>
              <w:top w:val="nil"/>
              <w:bottom w:val="nil"/>
              <w:left w:val="nil"/>
              <w:right w:val="nil"/>
            </w:tcBorders>
            <w:shd w:val="clear" w:color="auto" w:fill="D9EDF3"/>
          </w:tcPr>
          <w:p>
            <w:r>
              <w:rPr>
                <w:rFonts w:ascii="Arial" w:hAnsi="Arial"/>
                <w:b/>
                <w:i w:val="0"/>
                <w:color w:val="71B6C9"/>
                <w:sz w:val="19"/>
              </w:rPr>
              <w:t>High</w:t>
            </w:r>
          </w:p>
        </w:tc>
        <w:tc>
          <w:tcPr>
            <w:tcW w:type="dxa" w:w="2835"/>
            <w:shd w:val="clear" w:color="auto" w:fill="F3F2F1"/>
            <w:tcBorders>
              <w:top w:val="nil"/>
              <w:bottom w:val="nil"/>
              <w:left w:val="nil"/>
              <w:right w:val="nil"/>
            </w:tcBorders>
          </w:tcPr>
          <w:p>
            <w:r>
              <w:rPr>
                <w:rFonts w:ascii="Arial" w:hAnsi="Arial"/>
                <w:b/>
                <w:i w:val="0"/>
                <w:color w:val="4A4743"/>
                <w:sz w:val="19"/>
              </w:rPr>
              <w:t>Data beyond OC4IDS not examined.</w:t>
            </w:r>
          </w:p>
        </w:tc>
        <w:tc>
          <w:tcPr>
            <w:tcW w:type="dxa" w:w="4422"/>
            <w:shd w:val="clear" w:color="auto" w:fill="F3F2F1"/>
            <w:tcBorders>
              <w:top w:val="nil"/>
              <w:bottom w:val="nil"/>
              <w:left w:val="nil"/>
              <w:right w:val="nil"/>
            </w:tcBorders>
          </w:tcPr>
          <w:p>
            <w:r>
              <w:rPr>
                <w:rFonts w:ascii="Arial" w:hAnsi="Arial"/>
                <w:b w:val="0"/>
                <w:i w:val="0"/>
                <w:color w:val="4A4743"/>
                <w:sz w:val="19"/>
              </w:rPr>
              <w:t>The report does not discuss which ZPPA e-GP or NCC fields fall outside OC4IDS. Country-specific disclosure that could feed upstream to OCP is invisible. Scored in Overlay C9.</w:t>
            </w:r>
          </w:p>
        </w:tc>
        <w:tc>
          <w:tcPr>
            <w:tcW w:type="dxa" w:w="3572"/>
            <w:shd w:val="clear" w:color="auto" w:fill="F3F2F1"/>
            <w:tcBorders>
              <w:top w:val="nil"/>
              <w:bottom w:val="nil"/>
              <w:left w:val="nil"/>
              <w:right w:val="nil"/>
            </w:tcBorders>
          </w:tcPr>
          <w:p>
            <w:r>
              <w:rPr>
                <w:rFonts w:ascii="Arial" w:hAnsi="Arial"/>
                <w:b w:val="0"/>
                <w:i w:val="0"/>
                <w:color w:val="4A4743"/>
                <w:sz w:val="19"/>
              </w:rPr>
              <w:t>Add a short section on non-template fields: what is disclosed locally, whether to preserve as extensions, what might be proposed for OC4IDS standard revision.</w:t>
            </w:r>
          </w:p>
        </w:tc>
        <w:tc>
          <w:tcPr>
            <w:tcW w:type="dxa" w:w="1928"/>
            <w:shd w:val="clear" w:color="auto" w:fill="F3F2F1"/>
            <w:tcBorders>
              <w:top w:val="nil"/>
              <w:bottom w:val="nil"/>
              <w:left w:val="nil"/>
              <w:right w:val="nil"/>
            </w:tcBorders>
          </w:tcPr>
          <w:p>
            <w:r>
              <w:rPr>
                <w:rFonts w:ascii="Arial" w:hAnsi="Arial"/>
                <w:b w:val="0"/>
                <w:i w:val="0"/>
                <w:color w:val="4A4743"/>
                <w:sz w:val="19"/>
              </w:rPr>
              <w:t>Zambia Technical Team + CoST IS</w:t>
            </w:r>
          </w:p>
          <w:p>
            <w:pPr>
              <w:spacing w:before="40"/>
            </w:pPr>
            <w:r>
              <w:rPr>
                <w:rFonts w:ascii="Arial" w:hAnsi="Arial"/>
                <w:b/>
                <w:i w:val="0"/>
                <w:color w:val="B7251C"/>
                <w:sz w:val="19"/>
              </w:rPr>
              <w:t>2026-05-21</w:t>
            </w:r>
          </w:p>
        </w:tc>
      </w:tr>
      <w:tr>
        <w:tc>
          <w:tcPr>
            <w:tcW w:type="dxa" w:w="510"/>
            <w:shd w:val="clear" w:color="auto" w:fill="FFFFFF"/>
            <w:tcBorders>
              <w:top w:val="nil"/>
              <w:bottom w:val="nil"/>
              <w:left w:val="nil"/>
              <w:right w:val="nil"/>
            </w:tcBorders>
          </w:tcPr>
          <w:p>
            <w:r>
              <w:rPr>
                <w:rFonts w:ascii="Arial" w:hAnsi="Arial"/>
                <w:b/>
                <w:i w:val="0"/>
                <w:color w:val="4A4743"/>
                <w:sz w:val="19"/>
              </w:rPr>
              <w:t>F7</w:t>
            </w:r>
          </w:p>
        </w:tc>
        <w:tc>
          <w:tcPr>
            <w:tcW w:type="dxa" w:w="1020"/>
            <w:shd w:val="clear" w:color="auto" w:fill="FFFFFF"/>
            <w:tcBorders>
              <w:top w:val="nil"/>
              <w:bottom w:val="nil"/>
              <w:left w:val="nil"/>
              <w:right w:val="nil"/>
            </w:tcBorders>
            <w:shd w:val="clear" w:color="auto" w:fill="D9EDF3"/>
          </w:tcPr>
          <w:p>
            <w:r>
              <w:rPr>
                <w:rFonts w:ascii="Arial" w:hAnsi="Arial"/>
                <w:b/>
                <w:i w:val="0"/>
                <w:color w:val="71B6C9"/>
                <w:sz w:val="19"/>
              </w:rPr>
              <w:t>High</w:t>
            </w:r>
          </w:p>
        </w:tc>
        <w:tc>
          <w:tcPr>
            <w:tcW w:type="dxa" w:w="2835"/>
            <w:shd w:val="clear" w:color="auto" w:fill="FFFFFF"/>
            <w:tcBorders>
              <w:top w:val="nil"/>
              <w:bottom w:val="nil"/>
              <w:left w:val="nil"/>
              <w:right w:val="nil"/>
            </w:tcBorders>
          </w:tcPr>
          <w:p>
            <w:r>
              <w:rPr>
                <w:rFonts w:ascii="Arial" w:hAnsi="Arial"/>
                <w:b/>
                <w:i w:val="0"/>
                <w:color w:val="4A4743"/>
                <w:sz w:val="19"/>
              </w:rPr>
              <w:t>Decision summary panel absent.</w:t>
            </w:r>
          </w:p>
        </w:tc>
        <w:tc>
          <w:tcPr>
            <w:tcW w:type="dxa" w:w="4422"/>
            <w:shd w:val="clear" w:color="auto" w:fill="FFFFFF"/>
            <w:tcBorders>
              <w:top w:val="nil"/>
              <w:bottom w:val="nil"/>
              <w:left w:val="nil"/>
              <w:right w:val="nil"/>
            </w:tcBorders>
          </w:tcPr>
          <w:p>
            <w:r>
              <w:rPr>
                <w:rFonts w:ascii="Arial" w:hAnsi="Arial"/>
                <w:b w:val="0"/>
                <w:i w:val="0"/>
                <w:color w:val="4A4743"/>
                <w:sz w:val="19"/>
              </w:rPr>
              <w:t>Annex 8.2 is a first pass at the lifecycle-to-data-source crosswalk, but it does not classify elements as publish-now / light-transform / system-change / legal-action. C11's mandatory decision panel is missing.</w:t>
            </w:r>
          </w:p>
        </w:tc>
        <w:tc>
          <w:tcPr>
            <w:tcW w:type="dxa" w:w="3572"/>
            <w:shd w:val="clear" w:color="auto" w:fill="FFFFFF"/>
            <w:tcBorders>
              <w:top w:val="nil"/>
              <w:bottom w:val="nil"/>
              <w:left w:val="nil"/>
              <w:right w:val="nil"/>
            </w:tcBorders>
          </w:tcPr>
          <w:p>
            <w:r>
              <w:rPr>
                <w:rFonts w:ascii="Arial" w:hAnsi="Arial"/>
                <w:b w:val="0"/>
                <w:i w:val="0"/>
                <w:color w:val="4A4743"/>
                <w:sz w:val="19"/>
              </w:rPr>
              <w:t>Add a decision summary panel to §7 Conclusion using the four-bucket classification. See the sample corrected report, §8, for the target format.</w:t>
            </w:r>
          </w:p>
        </w:tc>
        <w:tc>
          <w:tcPr>
            <w:tcW w:type="dxa" w:w="1928"/>
            <w:shd w:val="clear" w:color="auto" w:fill="FFFFFF"/>
            <w:tcBorders>
              <w:top w:val="nil"/>
              <w:bottom w:val="nil"/>
              <w:left w:val="nil"/>
              <w:right w:val="nil"/>
            </w:tcBorders>
          </w:tcPr>
          <w:p>
            <w:r>
              <w:rPr>
                <w:rFonts w:ascii="Arial" w:hAnsi="Arial"/>
                <w:b w:val="0"/>
                <w:i w:val="0"/>
                <w:color w:val="4A4743"/>
                <w:sz w:val="19"/>
              </w:rPr>
              <w:t>Zambia Technical Team</w:t>
            </w:r>
          </w:p>
          <w:p>
            <w:pPr>
              <w:spacing w:before="40"/>
            </w:pPr>
            <w:r>
              <w:rPr>
                <w:rFonts w:ascii="Arial" w:hAnsi="Arial"/>
                <w:b/>
                <w:i w:val="0"/>
                <w:color w:val="B7251C"/>
                <w:sz w:val="19"/>
              </w:rPr>
              <w:t>2026-05-17</w:t>
            </w:r>
          </w:p>
        </w:tc>
      </w:tr>
      <w:tr>
        <w:tc>
          <w:tcPr>
            <w:tcW w:type="dxa" w:w="510"/>
            <w:shd w:val="clear" w:color="auto" w:fill="F3F2F1"/>
            <w:tcBorders>
              <w:top w:val="nil"/>
              <w:bottom w:val="nil"/>
              <w:left w:val="nil"/>
              <w:right w:val="nil"/>
            </w:tcBorders>
          </w:tcPr>
          <w:p>
            <w:r>
              <w:rPr>
                <w:rFonts w:ascii="Arial" w:hAnsi="Arial"/>
                <w:b/>
                <w:i w:val="0"/>
                <w:color w:val="4A4743"/>
                <w:sz w:val="19"/>
              </w:rPr>
              <w:t>F8</w:t>
            </w:r>
          </w:p>
        </w:tc>
        <w:tc>
          <w:tcPr>
            <w:tcW w:type="dxa" w:w="1020"/>
            <w:shd w:val="clear" w:color="auto" w:fill="F3F2F1"/>
            <w:tcBorders>
              <w:top w:val="nil"/>
              <w:bottom w:val="nil"/>
              <w:left w:val="nil"/>
              <w:right w:val="nil"/>
            </w:tcBorders>
            <w:shd w:val="clear" w:color="auto" w:fill="FDF3D7"/>
          </w:tcPr>
          <w:p>
            <w:r>
              <w:rPr>
                <w:rFonts w:ascii="Arial" w:hAnsi="Arial"/>
                <w:b/>
                <w:i w:val="0"/>
                <w:color w:val="D4A017"/>
                <w:sz w:val="19"/>
              </w:rPr>
              <w:t>Medium</w:t>
            </w:r>
          </w:p>
        </w:tc>
        <w:tc>
          <w:tcPr>
            <w:tcW w:type="dxa" w:w="2835"/>
            <w:shd w:val="clear" w:color="auto" w:fill="F3F2F1"/>
            <w:tcBorders>
              <w:top w:val="nil"/>
              <w:bottom w:val="nil"/>
              <w:left w:val="nil"/>
              <w:right w:val="nil"/>
            </w:tcBorders>
          </w:tcPr>
          <w:p>
            <w:r>
              <w:rPr>
                <w:rFonts w:ascii="Arial" w:hAnsi="Arial"/>
                <w:b/>
                <w:i w:val="0"/>
                <w:color w:val="4A4743"/>
                <w:sz w:val="19"/>
              </w:rPr>
              <w:t>Portal URL and access dates missing from the body.</w:t>
            </w:r>
          </w:p>
        </w:tc>
        <w:tc>
          <w:tcPr>
            <w:tcW w:type="dxa" w:w="4422"/>
            <w:shd w:val="clear" w:color="auto" w:fill="F3F2F1"/>
            <w:tcBorders>
              <w:top w:val="nil"/>
              <w:bottom w:val="nil"/>
              <w:left w:val="nil"/>
              <w:right w:val="nil"/>
            </w:tcBorders>
          </w:tcPr>
          <w:p>
            <w:r>
              <w:rPr>
                <w:rFonts w:ascii="Arial" w:hAnsi="Arial"/>
                <w:b w:val="0"/>
                <w:i w:val="0"/>
                <w:color w:val="4A4743"/>
                <w:sz w:val="19"/>
              </w:rPr>
              <w:t>The ZPPA e-GP URL (eprocure.zppa.org.zm/epps/home.d) appears only in the template's (Source) 1 sheet.</w:t>
            </w:r>
          </w:p>
        </w:tc>
        <w:tc>
          <w:tcPr>
            <w:tcW w:type="dxa" w:w="3572"/>
            <w:shd w:val="clear" w:color="auto" w:fill="F3F2F1"/>
            <w:tcBorders>
              <w:top w:val="nil"/>
              <w:bottom w:val="nil"/>
              <w:left w:val="nil"/>
              <w:right w:val="nil"/>
            </w:tcBorders>
          </w:tcPr>
          <w:p>
            <w:r>
              <w:rPr>
                <w:rFonts w:ascii="Arial" w:hAnsi="Arial"/>
                <w:b w:val="0"/>
                <w:i w:val="0"/>
                <w:color w:val="4A4743"/>
                <w:sz w:val="19"/>
              </w:rPr>
              <w:t>Add the URL and the date(s) accessed to §3.1 Data Sources.</w:t>
            </w:r>
          </w:p>
        </w:tc>
        <w:tc>
          <w:tcPr>
            <w:tcW w:type="dxa" w:w="1928"/>
            <w:shd w:val="clear" w:color="auto" w:fill="F3F2F1"/>
            <w:tcBorders>
              <w:top w:val="nil"/>
              <w:bottom w:val="nil"/>
              <w:left w:val="nil"/>
              <w:right w:val="nil"/>
            </w:tcBorders>
          </w:tcPr>
          <w:p>
            <w:r>
              <w:rPr>
                <w:rFonts w:ascii="Arial" w:hAnsi="Arial"/>
                <w:b w:val="0"/>
                <w:i w:val="0"/>
                <w:color w:val="4A4743"/>
                <w:sz w:val="19"/>
              </w:rPr>
              <w:t>Zambia Technical Team</w:t>
            </w:r>
          </w:p>
          <w:p>
            <w:pPr>
              <w:spacing w:before="40"/>
            </w:pPr>
            <w:r>
              <w:rPr>
                <w:rFonts w:ascii="Arial" w:hAnsi="Arial"/>
                <w:b/>
                <w:i w:val="0"/>
                <w:color w:val="B7251C"/>
                <w:sz w:val="19"/>
              </w:rPr>
              <w:t>2026-05-07</w:t>
            </w:r>
          </w:p>
        </w:tc>
      </w:tr>
      <w:tr>
        <w:tc>
          <w:tcPr>
            <w:tcW w:type="dxa" w:w="510"/>
            <w:shd w:val="clear" w:color="auto" w:fill="FFFFFF"/>
            <w:tcBorders>
              <w:top w:val="nil"/>
              <w:bottom w:val="nil"/>
              <w:left w:val="nil"/>
              <w:right w:val="nil"/>
            </w:tcBorders>
          </w:tcPr>
          <w:p>
            <w:r>
              <w:rPr>
                <w:rFonts w:ascii="Arial" w:hAnsi="Arial"/>
                <w:b/>
                <w:i w:val="0"/>
                <w:color w:val="4A4743"/>
                <w:sz w:val="19"/>
              </w:rPr>
              <w:t>F9</w:t>
            </w:r>
          </w:p>
        </w:tc>
        <w:tc>
          <w:tcPr>
            <w:tcW w:type="dxa" w:w="1020"/>
            <w:shd w:val="clear" w:color="auto" w:fill="FFFFFF"/>
            <w:tcBorders>
              <w:top w:val="nil"/>
              <w:bottom w:val="nil"/>
              <w:left w:val="nil"/>
              <w:right w:val="nil"/>
            </w:tcBorders>
            <w:shd w:val="clear" w:color="auto" w:fill="FDF3D7"/>
          </w:tcPr>
          <w:p>
            <w:r>
              <w:rPr>
                <w:rFonts w:ascii="Arial" w:hAnsi="Arial"/>
                <w:b/>
                <w:i w:val="0"/>
                <w:color w:val="D4A017"/>
                <w:sz w:val="19"/>
              </w:rPr>
              <w:t>Medium</w:t>
            </w:r>
          </w:p>
        </w:tc>
        <w:tc>
          <w:tcPr>
            <w:tcW w:type="dxa" w:w="2835"/>
            <w:shd w:val="clear" w:color="auto" w:fill="FFFFFF"/>
            <w:tcBorders>
              <w:top w:val="nil"/>
              <w:bottom w:val="nil"/>
              <w:left w:val="nil"/>
              <w:right w:val="nil"/>
            </w:tcBorders>
          </w:tcPr>
          <w:p>
            <w:r>
              <w:rPr>
                <w:rFonts w:ascii="Arial" w:hAnsi="Arial"/>
                <w:b/>
                <w:i w:val="0"/>
                <w:color w:val="4A4743"/>
                <w:sz w:val="19"/>
              </w:rPr>
              <w:t>Sample not quantified.</w:t>
            </w:r>
          </w:p>
        </w:tc>
        <w:tc>
          <w:tcPr>
            <w:tcW w:type="dxa" w:w="4422"/>
            <w:shd w:val="clear" w:color="auto" w:fill="FFFFFF"/>
            <w:tcBorders>
              <w:top w:val="nil"/>
              <w:bottom w:val="nil"/>
              <w:left w:val="nil"/>
              <w:right w:val="nil"/>
            </w:tcBorders>
          </w:tcPr>
          <w:p>
            <w:r>
              <w:rPr>
                <w:rFonts w:ascii="Arial" w:hAnsi="Arial"/>
                <w:b w:val="0"/>
                <w:i w:val="0"/>
                <w:color w:val="4A4743"/>
                <w:sz w:val="19"/>
              </w:rPr>
              <w:t>"The ZPPA e-GP system was analysed" does not specify the scope.</w:t>
            </w:r>
          </w:p>
        </w:tc>
        <w:tc>
          <w:tcPr>
            <w:tcW w:type="dxa" w:w="3572"/>
            <w:shd w:val="clear" w:color="auto" w:fill="FFFFFF"/>
            <w:tcBorders>
              <w:top w:val="nil"/>
              <w:bottom w:val="nil"/>
              <w:left w:val="nil"/>
              <w:right w:val="nil"/>
            </w:tcBorders>
          </w:tcPr>
          <w:p>
            <w:r>
              <w:rPr>
                <w:rFonts w:ascii="Arial" w:hAnsi="Arial"/>
                <w:b w:val="0"/>
                <w:i w:val="0"/>
                <w:color w:val="4A4743"/>
                <w:sz w:val="19"/>
              </w:rPr>
              <w:t>State the count of procurements reviewed, aggregate value, sectors covered, and the time window.</w:t>
            </w:r>
          </w:p>
        </w:tc>
        <w:tc>
          <w:tcPr>
            <w:tcW w:type="dxa" w:w="1928"/>
            <w:shd w:val="clear" w:color="auto" w:fill="FFFFFF"/>
            <w:tcBorders>
              <w:top w:val="nil"/>
              <w:bottom w:val="nil"/>
              <w:left w:val="nil"/>
              <w:right w:val="nil"/>
            </w:tcBorders>
          </w:tcPr>
          <w:p>
            <w:r>
              <w:rPr>
                <w:rFonts w:ascii="Arial" w:hAnsi="Arial"/>
                <w:b w:val="0"/>
                <w:i w:val="0"/>
                <w:color w:val="4A4743"/>
                <w:sz w:val="19"/>
              </w:rPr>
              <w:t>Zambia Technical Team</w:t>
            </w:r>
          </w:p>
          <w:p>
            <w:pPr>
              <w:spacing w:before="40"/>
            </w:pPr>
            <w:r>
              <w:rPr>
                <w:rFonts w:ascii="Arial" w:hAnsi="Arial"/>
                <w:b/>
                <w:i w:val="0"/>
                <w:color w:val="B7251C"/>
                <w:sz w:val="19"/>
              </w:rPr>
              <w:t>2026-05-07</w:t>
            </w:r>
          </w:p>
        </w:tc>
      </w:tr>
      <w:tr>
        <w:tc>
          <w:tcPr>
            <w:tcW w:type="dxa" w:w="510"/>
            <w:shd w:val="clear" w:color="auto" w:fill="F3F2F1"/>
            <w:tcBorders>
              <w:top w:val="nil"/>
              <w:bottom w:val="nil"/>
              <w:left w:val="nil"/>
              <w:right w:val="nil"/>
            </w:tcBorders>
          </w:tcPr>
          <w:p>
            <w:r>
              <w:rPr>
                <w:rFonts w:ascii="Arial" w:hAnsi="Arial"/>
                <w:b/>
                <w:i w:val="0"/>
                <w:color w:val="4A4743"/>
                <w:sz w:val="19"/>
              </w:rPr>
              <w:t>F10</w:t>
            </w:r>
          </w:p>
        </w:tc>
        <w:tc>
          <w:tcPr>
            <w:tcW w:type="dxa" w:w="1020"/>
            <w:shd w:val="clear" w:color="auto" w:fill="F3F2F1"/>
            <w:tcBorders>
              <w:top w:val="nil"/>
              <w:bottom w:val="nil"/>
              <w:left w:val="nil"/>
              <w:right w:val="nil"/>
            </w:tcBorders>
            <w:shd w:val="clear" w:color="auto" w:fill="E8F5E9"/>
          </w:tcPr>
          <w:p>
            <w:r>
              <w:rPr>
                <w:rFonts w:ascii="Arial" w:hAnsi="Arial"/>
                <w:b/>
                <w:i w:val="0"/>
                <w:color w:val="4EA83D"/>
                <w:sz w:val="19"/>
              </w:rPr>
              <w:t>Low</w:t>
            </w:r>
          </w:p>
        </w:tc>
        <w:tc>
          <w:tcPr>
            <w:tcW w:type="dxa" w:w="2835"/>
            <w:shd w:val="clear" w:color="auto" w:fill="F3F2F1"/>
            <w:tcBorders>
              <w:top w:val="nil"/>
              <w:bottom w:val="nil"/>
              <w:left w:val="nil"/>
              <w:right w:val="nil"/>
            </w:tcBorders>
          </w:tcPr>
          <w:p>
            <w:r>
              <w:rPr>
                <w:rFonts w:ascii="Arial" w:hAnsi="Arial"/>
                <w:b/>
                <w:i w:val="0"/>
                <w:color w:val="4A4743"/>
                <w:sz w:val="19"/>
              </w:rPr>
              <w:t>Unjustified omissions in template Notes column.</w:t>
            </w:r>
          </w:p>
        </w:tc>
        <w:tc>
          <w:tcPr>
            <w:tcW w:type="dxa" w:w="4422"/>
            <w:shd w:val="clear" w:color="auto" w:fill="F3F2F1"/>
            <w:tcBorders>
              <w:top w:val="nil"/>
              <w:bottom w:val="nil"/>
              <w:left w:val="nil"/>
              <w:right w:val="nil"/>
            </w:tcBorders>
          </w:tcPr>
          <w:p>
            <w:r>
              <w:rPr>
                <w:rFonts w:ascii="Arial" w:hAnsi="Arial"/>
                <w:b w:val="0"/>
                <w:i w:val="0"/>
                <w:color w:val="4A4743"/>
                <w:sz w:val="19"/>
              </w:rPr>
              <w:t>Spot-sample of 5 unmapped template rows found no justification in the Notes column. Overlay rule fails on silent omissions.</w:t>
            </w:r>
          </w:p>
        </w:tc>
        <w:tc>
          <w:tcPr>
            <w:tcW w:type="dxa" w:w="3572"/>
            <w:shd w:val="clear" w:color="auto" w:fill="F3F2F1"/>
            <w:tcBorders>
              <w:top w:val="nil"/>
              <w:bottom w:val="nil"/>
              <w:left w:val="nil"/>
              <w:right w:val="nil"/>
            </w:tcBorders>
          </w:tcPr>
          <w:p>
            <w:r>
              <w:rPr>
                <w:rFonts w:ascii="Arial" w:hAnsi="Arial"/>
                <w:b w:val="0"/>
                <w:i w:val="0"/>
                <w:color w:val="4A4743"/>
                <w:sz w:val="19"/>
              </w:rPr>
              <w:t>Add a Notes entry to every unmapped row in the (OC4IDS) sheets before resubmission. A one-line reason is enough.</w:t>
            </w:r>
          </w:p>
        </w:tc>
        <w:tc>
          <w:tcPr>
            <w:tcW w:type="dxa" w:w="1928"/>
            <w:shd w:val="clear" w:color="auto" w:fill="F3F2F1"/>
            <w:tcBorders>
              <w:top w:val="nil"/>
              <w:bottom w:val="nil"/>
              <w:left w:val="nil"/>
              <w:right w:val="nil"/>
            </w:tcBorders>
          </w:tcPr>
          <w:p>
            <w:r>
              <w:rPr>
                <w:rFonts w:ascii="Arial" w:hAnsi="Arial"/>
                <w:b w:val="0"/>
                <w:i w:val="0"/>
                <w:color w:val="4A4743"/>
                <w:sz w:val="19"/>
              </w:rPr>
              <w:t>Zambia Technical Team</w:t>
            </w:r>
          </w:p>
          <w:p>
            <w:pPr>
              <w:spacing w:before="40"/>
            </w:pPr>
            <w:r>
              <w:rPr>
                <w:rFonts w:ascii="Arial" w:hAnsi="Arial"/>
                <w:b/>
                <w:i w:val="0"/>
                <w:color w:val="B7251C"/>
                <w:sz w:val="19"/>
              </w:rPr>
              <w:t>2026-05-14</w:t>
            </w:r>
          </w:p>
        </w:tc>
      </w:tr>
    </w:tbl>
    <w:p>
      <w:pPr>
        <w:spacing w:after="240" w:before="0"/>
      </w:pPr>
    </w:p>
    <w:p>
      <w:r>
        <w:br w:type="page"/>
      </w:r>
    </w:p>
    <w:p>
      <w:r>
        <w:rPr>
          <w:rFonts w:ascii="Arial" w:hAnsi="Arial"/>
          <w:b/>
          <w:i w:val="0"/>
          <w:color w:val="4A4743"/>
          <w:sz w:val="26"/>
        </w:rPr>
        <w:t>5.  What Zambia can publish now</w:t>
      </w:r>
    </w:p>
    <w:tbl>
      <w:tblPr>
        <w:tblW w:type="auto" w:w="0"/>
        <w:tblLayout w:type="fixed"/>
        <w:tblLook w:firstColumn="1" w:firstRow="1" w:lastColumn="0" w:lastRow="0" w:noHBand="0" w:noVBand="1" w:val="04A0"/>
        <w:tblW w:w="3200" w:type="dxa"/>
      </w:tblPr>
      <w:tblGrid>
        <w:gridCol w:w="14798"/>
      </w:tblGrid>
      <w:tr>
        <w:tc>
          <w:tcPr>
            <w:tcW w:type="dxa" w:w="14798"/>
            <w:tcBorders>
              <w:top w:val="nil"/>
              <w:bottom w:val="single" w:sz="24" w:color="B7251C"/>
              <w:left w:val="nil"/>
              <w:right w:val="nil"/>
            </w:tcBorders>
          </w:tcPr>
          <w:p>
            <w:r/>
          </w:p>
        </w:tc>
      </w:tr>
    </w:tbl>
    <w:p>
      <w:pPr>
        <w:spacing w:after="80" w:before="0"/>
      </w:pPr>
    </w:p>
    <w:p>
      <w:pPr>
        <w:spacing w:after="160" w:before="0"/>
      </w:pPr>
      <w:r>
        <w:rPr>
          <w:rFonts w:ascii="Arial" w:hAnsi="Arial"/>
          <w:b w:val="0"/>
          <w:i w:val="0"/>
          <w:color w:val="4A4743"/>
          <w:sz w:val="21"/>
        </w:rPr>
        <w:t>The four-bucket classification below is the steering view government and MSG readers actually use. It sits in §C11 of the Overlay rubric as a mandatory panel. The report's §8.2 Lifecycle Framework is the foundation; expand it into this classification.</w:t>
      </w:r>
    </w:p>
    <w:p>
      <w:pPr>
        <w:jc w:val="center"/>
      </w:pPr>
      <w:r>
        <w:drawing>
          <wp:inline xmlns:a="http://schemas.openxmlformats.org/drawingml/2006/main" xmlns:pic="http://schemas.openxmlformats.org/drawingml/2006/picture">
            <wp:extent cx="6480000" cy="3595143"/>
            <wp:docPr id="3" name="Picture 3"/>
            <wp:cNvGraphicFramePr>
              <a:graphicFrameLocks noChangeAspect="1"/>
            </wp:cNvGraphicFramePr>
            <a:graphic>
              <a:graphicData uri="http://schemas.openxmlformats.org/drawingml/2006/picture">
                <pic:pic>
                  <pic:nvPicPr>
                    <pic:cNvPr id="0" name="03-decision-buckets.png"/>
                    <pic:cNvPicPr/>
                  </pic:nvPicPr>
                  <pic:blipFill>
                    <a:blip r:embed="rId13"/>
                    <a:stretch>
                      <a:fillRect/>
                    </a:stretch>
                  </pic:blipFill>
                  <pic:spPr>
                    <a:xfrm>
                      <a:off x="0" y="0"/>
                      <a:ext cx="6480000" cy="3595143"/>
                    </a:xfrm>
                    <a:prstGeom prst="rect"/>
                  </pic:spPr>
                </pic:pic>
              </a:graphicData>
            </a:graphic>
          </wp:inline>
        </w:drawing>
      </w:r>
    </w:p>
    <w:p>
      <w:pPr>
        <w:spacing w:after="120" w:before="0"/>
      </w:pPr>
    </w:p>
    <w:p>
      <w:r>
        <w:rPr>
          <w:rFonts w:ascii="Arial" w:hAnsi="Arial"/>
          <w:b/>
          <w:i w:val="0"/>
          <w:color w:val="4A4743"/>
          <w:sz w:val="26"/>
        </w:rPr>
        <w:t>6.  The legal lever</w:t>
      </w:r>
    </w:p>
    <w:tbl>
      <w:tblPr>
        <w:tblW w:type="auto" w:w="0"/>
        <w:tblLayout w:type="fixed"/>
        <w:tblLook w:firstColumn="1" w:firstRow="1" w:lastColumn="0" w:lastRow="0" w:noHBand="0" w:noVBand="1" w:val="04A0"/>
        <w:tblW w:w="3200" w:type="dxa"/>
      </w:tblPr>
      <w:tblGrid>
        <w:gridCol w:w="14798"/>
      </w:tblGrid>
      <w:tr>
        <w:tc>
          <w:tcPr>
            <w:tcW w:type="dxa" w:w="14798"/>
            <w:tcBorders>
              <w:top w:val="nil"/>
              <w:bottom w:val="single" w:sz="24" w:color="B7251C"/>
              <w:left w:val="nil"/>
              <w:right w:val="nil"/>
            </w:tcBorders>
          </w:tcPr>
          <w:p>
            <w:r/>
          </w:p>
        </w:tc>
      </w:tr>
    </w:tbl>
    <w:p>
      <w:pPr>
        <w:spacing w:after="80" w:before="0"/>
      </w:pPr>
    </w:p>
    <w:p>
      <w:pPr>
        <w:spacing w:after="160" w:before="0"/>
      </w:pPr>
      <w:r>
        <w:rPr>
          <w:rFonts w:ascii="Arial" w:hAnsi="Arial"/>
          <w:b w:val="0"/>
          <w:i w:val="0"/>
          <w:color w:val="4A4743"/>
          <w:sz w:val="21"/>
        </w:rPr>
        <w:t>Zambia's legal framework already authorises publication of most OC4IDS fields. Annex 8.1 is publication-quality and should anchor the executive summary, not sit at the back of the report.</w:t>
      </w:r>
    </w:p>
    <w:p>
      <w:pPr>
        <w:jc w:val="center"/>
      </w:pPr>
      <w:r>
        <w:drawing>
          <wp:inline xmlns:a="http://schemas.openxmlformats.org/drawingml/2006/main" xmlns:pic="http://schemas.openxmlformats.org/drawingml/2006/picture">
            <wp:extent cx="6480000" cy="3789983"/>
            <wp:docPr id="4" name="Picture 4"/>
            <wp:cNvGraphicFramePr>
              <a:graphicFrameLocks noChangeAspect="1"/>
            </wp:cNvGraphicFramePr>
            <a:graphic>
              <a:graphicData uri="http://schemas.openxmlformats.org/drawingml/2006/picture">
                <pic:pic>
                  <pic:nvPicPr>
                    <pic:cNvPr id="0" name="04-legal-crosswalk.png"/>
                    <pic:cNvPicPr/>
                  </pic:nvPicPr>
                  <pic:blipFill>
                    <a:blip r:embed="rId14"/>
                    <a:stretch>
                      <a:fillRect/>
                    </a:stretch>
                  </pic:blipFill>
                  <pic:spPr>
                    <a:xfrm>
                      <a:off x="0" y="0"/>
                      <a:ext cx="6480000" cy="3789983"/>
                    </a:xfrm>
                    <a:prstGeom prst="rect"/>
                  </pic:spPr>
                </pic:pic>
              </a:graphicData>
            </a:graphic>
          </wp:inline>
        </w:drawing>
      </w:r>
    </w:p>
    <w:p>
      <w:pPr>
        <w:spacing w:after="280" w:before="0"/>
      </w:pPr>
    </w:p>
    <w:p>
      <w:r>
        <w:rPr>
          <w:rFonts w:ascii="Arial" w:hAnsi="Arial"/>
          <w:b/>
          <w:i w:val="0"/>
          <w:color w:val="4A4743"/>
          <w:sz w:val="26"/>
        </w:rPr>
        <w:t>7.  Strengths to preserve on revision</w:t>
      </w:r>
    </w:p>
    <w:tbl>
      <w:tblPr>
        <w:tblW w:type="auto" w:w="0"/>
        <w:tblLayout w:type="fixed"/>
        <w:tblLook w:firstColumn="1" w:firstRow="1" w:lastColumn="0" w:lastRow="0" w:noHBand="0" w:noVBand="1" w:val="04A0"/>
        <w:tblW w:w="3200" w:type="dxa"/>
      </w:tblPr>
      <w:tblGrid>
        <w:gridCol w:w="14798"/>
      </w:tblGrid>
      <w:tr>
        <w:tc>
          <w:tcPr>
            <w:tcW w:type="dxa" w:w="14798"/>
            <w:tcBorders>
              <w:top w:val="nil"/>
              <w:bottom w:val="single" w:sz="24" w:color="4EA83D"/>
              <w:left w:val="nil"/>
              <w:right w:val="nil"/>
            </w:tcBorders>
          </w:tcPr>
          <w:p>
            <w:r/>
          </w:p>
        </w:tc>
      </w:tr>
    </w:tbl>
    <w:p>
      <w:pPr>
        <w:spacing w:after="120" w:before="0"/>
      </w:pPr>
    </w:p>
    <w:p>
      <w:pPr>
        <w:spacing w:after="120"/>
      </w:pPr>
      <w:r>
        <w:rPr>
          <w:rFonts w:ascii="Arial" w:hAnsi="Arial"/>
          <w:b/>
          <w:i w:val="0"/>
          <w:color w:val="4EA83D"/>
          <w:sz w:val="21"/>
        </w:rPr>
        <w:t xml:space="preserve">+  </w:t>
      </w:r>
      <w:r>
        <w:rPr>
          <w:rFonts w:ascii="Arial" w:hAnsi="Arial"/>
          <w:b/>
          <w:i w:val="0"/>
          <w:color w:val="4A4743"/>
          <w:sz w:val="21"/>
        </w:rPr>
        <w:t xml:space="preserve">Legal framework analysis (Annex 8.1).  </w:t>
      </w:r>
      <w:r>
        <w:rPr>
          <w:rFonts w:ascii="Arial" w:hAnsi="Arial"/>
          <w:b w:val="0"/>
          <w:i w:val="0"/>
          <w:color w:val="4A4743"/>
          <w:sz w:val="21"/>
        </w:rPr>
        <w:t>ATI Act 2023 s.6/8/9/17 with quoted provisions, ZPPA Act No.3/2020 s.67/70, NCC Act No.10/2020 s.5/31/33/53 with subsections. The strongest legal anchoring we have seen on this review cycle. Move the essence of this analysis into the executive summary, keep the full text in the annex.</w:t>
      </w:r>
    </w:p>
    <w:p>
      <w:pPr>
        <w:spacing w:after="120"/>
      </w:pPr>
      <w:r>
        <w:rPr>
          <w:rFonts w:ascii="Arial" w:hAnsi="Arial"/>
          <w:b/>
          <w:i w:val="0"/>
          <w:color w:val="4EA83D"/>
          <w:sz w:val="21"/>
        </w:rPr>
        <w:t xml:space="preserve">+  </w:t>
      </w:r>
      <w:r>
        <w:rPr>
          <w:rFonts w:ascii="Arial" w:hAnsi="Arial"/>
          <w:b/>
          <w:i w:val="0"/>
          <w:color w:val="4A4743"/>
          <w:sz w:val="21"/>
        </w:rPr>
        <w:t xml:space="preserve">The NCC insight.  </w:t>
      </w:r>
      <w:r>
        <w:rPr>
          <w:rFonts w:ascii="Arial" w:hAnsi="Arial"/>
          <w:b w:val="0"/>
          <w:i w:val="0"/>
          <w:color w:val="4A4743"/>
          <w:sz w:val="21"/>
        </w:rPr>
        <w:t>The observation that most implementation-stage data is already collected by NCC under its statutory monitoring mandate is the single most actionable finding in the report. Label it explicitly as a type-6 gap (collected, not disclosed) and anchor §6 recommendations around integration rather than collection.</w:t>
      </w:r>
    </w:p>
    <w:p>
      <w:pPr>
        <w:spacing w:after="120"/>
      </w:pPr>
      <w:r>
        <w:rPr>
          <w:rFonts w:ascii="Arial" w:hAnsi="Arial"/>
          <w:b/>
          <w:i w:val="0"/>
          <w:color w:val="4EA83D"/>
          <w:sz w:val="21"/>
        </w:rPr>
        <w:t xml:space="preserve">+  </w:t>
      </w:r>
      <w:r>
        <w:rPr>
          <w:rFonts w:ascii="Arial" w:hAnsi="Arial"/>
          <w:b/>
          <w:i w:val="0"/>
          <w:color w:val="4A4743"/>
          <w:sz w:val="21"/>
        </w:rPr>
        <w:t xml:space="preserve">Source forward-mapping.  </w:t>
      </w:r>
      <w:r>
        <w:rPr>
          <w:rFonts w:ascii="Arial" w:hAnsi="Arial"/>
          <w:b w:val="0"/>
          <w:i w:val="0"/>
          <w:color w:val="4A4743"/>
          <w:sz w:val="21"/>
        </w:rPr>
        <w:t>The template maps 47 of 48 source data elements forward to OC4IDS (97.9%). This is exceptional. Lift the number directly into §3 Methodology.</w:t>
      </w:r>
    </w:p>
    <w:p>
      <w:pPr>
        <w:spacing w:after="120"/>
      </w:pPr>
      <w:r>
        <w:rPr>
          <w:rFonts w:ascii="Arial" w:hAnsi="Arial"/>
          <w:b/>
          <w:i w:val="0"/>
          <w:color w:val="4EA83D"/>
          <w:sz w:val="21"/>
        </w:rPr>
        <w:t xml:space="preserve">+  </w:t>
      </w:r>
      <w:r>
        <w:rPr>
          <w:rFonts w:ascii="Arial" w:hAnsi="Arial"/>
          <w:b/>
          <w:i w:val="0"/>
          <w:color w:val="4A4743"/>
          <w:sz w:val="21"/>
        </w:rPr>
        <w:t xml:space="preserve">Lifecycle framework (§8.2).  </w:t>
      </w:r>
      <w:r>
        <w:rPr>
          <w:rFonts w:ascii="Arial" w:hAnsi="Arial"/>
          <w:b w:val="0"/>
          <w:i w:val="0"/>
          <w:color w:val="4A4743"/>
          <w:sz w:val="21"/>
        </w:rPr>
        <w:t>The five-row data-source-by-stage crosswalk is the skeleton of the decision summary panel in §C11 of the rubric. Expand it into the four-bucket classification (publish-now / light-transform / system-change / legal-action).</w:t>
      </w:r>
    </w:p>
    <w:p>
      <w:pPr>
        <w:spacing w:after="120"/>
      </w:pPr>
      <w:r>
        <w:rPr>
          <w:rFonts w:ascii="Arial" w:hAnsi="Arial"/>
          <w:b/>
          <w:i w:val="0"/>
          <w:color w:val="4EA83D"/>
          <w:sz w:val="21"/>
        </w:rPr>
        <w:t xml:space="preserve">+  </w:t>
      </w:r>
      <w:r>
        <w:rPr>
          <w:rFonts w:ascii="Arial" w:hAnsi="Arial"/>
          <w:b/>
          <w:i w:val="0"/>
          <w:color w:val="4A4743"/>
          <w:sz w:val="21"/>
        </w:rPr>
        <w:t xml:space="preserve">No placeholder mappings.  </w:t>
      </w:r>
      <w:r>
        <w:rPr>
          <w:rFonts w:ascii="Arial" w:hAnsi="Arial"/>
          <w:b w:val="0"/>
          <w:i w:val="0"/>
          <w:color w:val="4A4743"/>
          <w:sz w:val="21"/>
        </w:rPr>
        <w:t>Spot-sample of 5 mapped rows returned 5 substantive entries. This is the strongest evidence-check result on record for Overlay. Do not change the template mappings during revision, the numbers are correct.</w:t>
      </w:r>
    </w:p>
    <w:p>
      <w:pPr>
        <w:spacing w:after="280" w:before="0"/>
      </w:pPr>
    </w:p>
    <w:p>
      <w:r>
        <w:rPr>
          <w:rFonts w:ascii="Arial" w:hAnsi="Arial"/>
          <w:b/>
          <w:i w:val="0"/>
          <w:color w:val="4A4743"/>
          <w:sz w:val="26"/>
        </w:rPr>
        <w:t>8.  Companion document</w:t>
      </w:r>
    </w:p>
    <w:tbl>
      <w:tblPr>
        <w:tblW w:type="auto" w:w="0"/>
        <w:tblLayout w:type="fixed"/>
        <w:tblLook w:firstColumn="1" w:firstRow="1" w:lastColumn="0" w:lastRow="0" w:noHBand="0" w:noVBand="1" w:val="04A0"/>
        <w:tblW w:w="3200" w:type="dxa"/>
      </w:tblPr>
      <w:tblGrid>
        <w:gridCol w:w="14798"/>
      </w:tblGrid>
      <w:tr>
        <w:tc>
          <w:tcPr>
            <w:tcW w:type="dxa" w:w="14798"/>
            <w:tcBorders>
              <w:top w:val="nil"/>
              <w:bottom w:val="single" w:sz="24" w:color="B7251C"/>
              <w:left w:val="nil"/>
              <w:right w:val="nil"/>
            </w:tcBorders>
          </w:tcPr>
          <w:p>
            <w:r/>
          </w:p>
        </w:tc>
      </w:tr>
    </w:tbl>
    <w:p>
      <w:pPr>
        <w:spacing w:after="120" w:before="0"/>
      </w:pPr>
    </w:p>
    <w:tbl>
      <w:tblPr>
        <w:tblW w:type="auto" w:w="0"/>
        <w:tblLook w:firstColumn="1" w:firstRow="1" w:lastColumn="0" w:lastRow="0" w:noHBand="0" w:noVBand="1" w:val="04A0"/>
      </w:tblPr>
      <w:tblGrid>
        <w:gridCol w:w="14798"/>
      </w:tblGrid>
      <w:tr>
        <w:tc>
          <w:tcPr>
            <w:tcW w:type="dxa" w:w="14798"/>
            <w:shd w:val="clear" w:color="auto" w:fill="F3F2F1"/>
            <w:tcBorders>
              <w:top w:val="nil"/>
              <w:bottom w:val="nil"/>
              <w:left w:val="single" w:sz="32" w:color="71B6C9"/>
              <w:right w:val="nil"/>
            </w:tcBorders>
          </w:tcPr>
          <w:p>
            <w:r>
              <w:rPr>
                <w:rFonts w:ascii="Arial" w:hAnsi="Arial"/>
                <w:b/>
                <w:i w:val="0"/>
                <w:color w:val="71B6C9"/>
                <w:sz w:val="21"/>
              </w:rPr>
              <w:t>02-sample-corrected-report.docx</w:t>
            </w:r>
          </w:p>
          <w:p>
            <w:r>
              <w:rPr>
                <w:rFonts w:ascii="Arial" w:hAnsi="Arial"/>
                <w:b w:val="0"/>
                <w:i w:val="0"/>
                <w:color w:val="4A4743"/>
                <w:sz w:val="20"/>
              </w:rPr>
              <w:t>A full rewrite of the Zambia report showing the target state after all revisions above are applied. Use it as a reference; do not copy it wholesale. Preserve your legal analysis, the NCC insight, and the lifecycle framework; rewrite the executive summary, findings tables, and recommendations sections against the corrected structure.</w:t>
            </w:r>
          </w:p>
        </w:tc>
      </w:tr>
    </w:tbl>
    <w:p>
      <w:pPr>
        <w:spacing w:after="240" w:before="0"/>
      </w:pPr>
    </w:p>
    <w:p>
      <w:pPr>
        <w:spacing w:after="0" w:before="0"/>
      </w:pPr>
      <w:r>
        <w:rPr>
          <w:rFonts w:ascii="Arial" w:hAnsi="Arial"/>
          <w:b w:val="0"/>
          <w:i/>
          <w:color w:val="9C9B99"/>
          <w:sz w:val="18"/>
        </w:rPr>
        <w:t>Reference: Overlay v0.9  ·  Reviewer Gate Check (Part B v1.0) + Full Rubric (Part C v0.9)</w:t>
      </w:r>
    </w:p>
    <w:p>
      <w:pPr>
        <w:spacing w:after="0" w:before="0"/>
      </w:pPr>
      <w:r>
        <w:rPr>
          <w:rFonts w:ascii="Arial" w:hAnsi="Arial"/>
          <w:b w:val="0"/>
          <w:i/>
          <w:color w:val="9C9B99"/>
          <w:sz w:val="18"/>
        </w:rPr>
        <w:t>Sources: Zambia OC4IDS Field-Level Mapping Template v0.9.5, accessed 2026-04-23. n=1,480 template slots. Zambia OC4IDS Field-Level Mapping Report (draft), 3 March 2026.</w:t>
      </w:r>
    </w:p>
    <w:sectPr w:rsidR="00FC693F" w:rsidRPr="0006063C" w:rsidSect="00034616">
      <w:headerReference w:type="default" r:id="rId9"/>
      <w:footerReference w:type="default" r:id="rId10"/>
      <w:pgSz w:w="16838" w:h="11906"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left"/>
    </w:pPr>
    <w:r>
      <w:drawing>
        <wp:inline xmlns:a="http://schemas.openxmlformats.org/drawingml/2006/main" xmlns:pic="http://schemas.openxmlformats.org/drawingml/2006/picture">
          <wp:extent cx="5760000" cy="126000"/>
          <wp:docPr id="1" name="Picture 1"/>
          <wp:cNvGraphicFramePr>
            <a:graphicFrameLocks noChangeAspect="1"/>
          </wp:cNvGraphicFramePr>
          <a:graphic>
            <a:graphicData uri="http://schemas.openxmlformats.org/drawingml/2006/picture">
              <pic:pic>
                <pic:nvPicPr>
                  <pic:cNvPr id="0" name="cost-stripe-real.png"/>
                  <pic:cNvPicPr/>
                </pic:nvPicPr>
                <pic:blipFill>
                  <a:blip r:embed="rId1"/>
                  <a:stretch>
                    <a:fillRect/>
                  </a:stretch>
                </pic:blipFill>
                <pic:spPr>
                  <a:xfrm>
                    <a:off x="0" y="0"/>
                    <a:ext cx="5760000" cy="126000"/>
                  </a:xfrm>
                  <a:prstGeom prst="rect"/>
                </pic:spPr>
              </pic:pic>
            </a:graphicData>
          </a:graphic>
        </wp:inline>
      </w:drawing>
    </w:r>
  </w:p>
  <w:p>
    <w:pPr>
      <w:spacing w:before="80"/>
      <w:jc w:val="right"/>
    </w:pPr>
    <w:r>
      <w:rPr>
        <w:rFonts w:ascii="Arial" w:hAnsi="Arial"/>
        <w:color w:val="9C9B99"/>
        <w:sz w:val="17"/>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512000" cy="375241"/>
          <wp:docPr id="1" name="Picture 1"/>
          <wp:cNvGraphicFramePr>
            <a:graphicFrameLocks noChangeAspect="1"/>
          </wp:cNvGraphicFramePr>
          <a:graphic>
            <a:graphicData uri="http://schemas.openxmlformats.org/drawingml/2006/picture">
              <pic:pic>
                <pic:nvPicPr>
                  <pic:cNvPr id="0" name="cost-logo-real.jpeg"/>
                  <pic:cNvPicPr/>
                </pic:nvPicPr>
                <pic:blipFill>
                  <a:blip r:embed="rId1"/>
                  <a:stretch>
                    <a:fillRect/>
                  </a:stretch>
                </pic:blipFill>
                <pic:spPr>
                  <a:xfrm>
                    <a:off x="0" y="0"/>
                    <a:ext cx="1512000" cy="37524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4A47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