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left"/>
        <w:tblLayout w:type="fixed"/>
        <w:tblLook w:firstColumn="1" w:firstRow="1" w:lastColumn="0" w:lastRow="0" w:noHBand="0" w:noVBand="1" w:val="04A0"/>
        <w:tblW w:w="9412" w:type="dxa"/>
      </w:tblPr>
      <w:tblGrid>
        <w:gridCol w:w="3137"/>
        <w:gridCol w:w="3137"/>
        <w:gridCol w:w="3137"/>
      </w:tblGrid>
      <w:tr>
        <w:tc>
          <w:tcPr>
            <w:tcW w:type="dxa" w:w="3137"/>
            <w:tcBorders>
              <w:top w:val="nil"/>
              <w:bottom w:val="nil"/>
              <w:left w:val="nil"/>
              <w:right w:val="nil"/>
            </w:tcBorders>
            <w:tcMar>
              <w:top w:w="0" w:type="dxa"/>
              <w:bottom w:w="0" w:type="dxa"/>
              <w:left w:w="0" w:type="dxa"/>
              <w:right w:w="0" w:type="dxa"/>
            </w:tcMar>
          </w:tcPr>
          <w:p>
            <w:pPr>
              <w:spacing w:after="0"/>
              <w:jc w:val="center"/>
            </w:pPr>
            <w:r>
              <w:drawing>
                <wp:inline xmlns:a="http://schemas.openxmlformats.org/drawingml/2006/main" xmlns:pic="http://schemas.openxmlformats.org/drawingml/2006/picture">
                  <wp:extent cx="1974000" cy="1656000"/>
                  <wp:docPr id="1" name="Picture 1"/>
                  <wp:cNvGraphicFramePr>
                    <a:graphicFrameLocks noChangeAspect="1"/>
                  </wp:cNvGraphicFramePr>
                  <a:graphic>
                    <a:graphicData uri="http://schemas.openxmlformats.org/drawingml/2006/picture">
                      <pic:pic>
                        <pic:nvPicPr>
                          <pic:cNvPr id="0" name="stock-africa-rural-road.jpeg"/>
                          <pic:cNvPicPr/>
                        </pic:nvPicPr>
                        <pic:blipFill>
                          <a:blip r:embed="rId11"/>
                          <a:stretch>
                            <a:fillRect/>
                          </a:stretch>
                        </pic:blipFill>
                        <pic:spPr>
                          <a:xfrm>
                            <a:off x="0" y="0"/>
                            <a:ext cx="1974000" cy="1656000"/>
                          </a:xfrm>
                          <a:prstGeom prst="rect"/>
                        </pic:spPr>
                      </pic:pic>
                    </a:graphicData>
                  </a:graphic>
                </wp:inline>
              </w:drawing>
            </w:r>
          </w:p>
        </w:tc>
        <w:tc>
          <w:tcPr>
            <w:tcW w:type="dxa" w:w="3137"/>
            <w:tcBorders>
              <w:top w:val="nil"/>
              <w:bottom w:val="nil"/>
              <w:left w:val="nil"/>
              <w:right w:val="nil"/>
            </w:tcBorders>
            <w:tcMar>
              <w:top w:w="0" w:type="dxa"/>
              <w:bottom w:w="0" w:type="dxa"/>
              <w:left w:w="0" w:type="dxa"/>
              <w:right w:w="0" w:type="dxa"/>
            </w:tcMar>
          </w:tcPr>
          <w:p>
            <w:pPr>
              <w:spacing w:after="0"/>
              <w:jc w:val="center"/>
            </w:pPr>
            <w:r>
              <w:drawing>
                <wp:inline xmlns:a="http://schemas.openxmlformats.org/drawingml/2006/main" xmlns:pic="http://schemas.openxmlformats.org/drawingml/2006/picture">
                  <wp:extent cx="1974000" cy="1656000"/>
                  <wp:docPr id="2" name="Picture 2"/>
                  <wp:cNvGraphicFramePr>
                    <a:graphicFrameLocks noChangeAspect="1"/>
                  </wp:cNvGraphicFramePr>
                  <a:graphic>
                    <a:graphicData uri="http://schemas.openxmlformats.org/drawingml/2006/picture">
                      <pic:pic>
                        <pic:nvPicPr>
                          <pic:cNvPr id="0" name="stock-africa-highway-aerial.jpeg"/>
                          <pic:cNvPicPr/>
                        </pic:nvPicPr>
                        <pic:blipFill>
                          <a:blip r:embed="rId12"/>
                          <a:stretch>
                            <a:fillRect/>
                          </a:stretch>
                        </pic:blipFill>
                        <pic:spPr>
                          <a:xfrm>
                            <a:off x="0" y="0"/>
                            <a:ext cx="1974000" cy="1656000"/>
                          </a:xfrm>
                          <a:prstGeom prst="rect"/>
                        </pic:spPr>
                      </pic:pic>
                    </a:graphicData>
                  </a:graphic>
                </wp:inline>
              </w:drawing>
            </w:r>
          </w:p>
        </w:tc>
        <w:tc>
          <w:tcPr>
            <w:tcW w:type="dxa" w:w="3137"/>
            <w:tcBorders>
              <w:top w:val="nil"/>
              <w:bottom w:val="nil"/>
              <w:left w:val="nil"/>
              <w:right w:val="nil"/>
            </w:tcBorders>
            <w:tcMar>
              <w:top w:w="0" w:type="dxa"/>
              <w:bottom w:w="0" w:type="dxa"/>
              <w:left w:w="0" w:type="dxa"/>
              <w:right w:w="0" w:type="dxa"/>
            </w:tcMar>
          </w:tcPr>
          <w:p>
            <w:pPr>
              <w:spacing w:after="0"/>
              <w:jc w:val="center"/>
            </w:pPr>
            <w:r>
              <w:drawing>
                <wp:inline xmlns:a="http://schemas.openxmlformats.org/drawingml/2006/main" xmlns:pic="http://schemas.openxmlformats.org/drawingml/2006/picture">
                  <wp:extent cx="1974000" cy="1656000"/>
                  <wp:docPr id="3" name="Picture 3"/>
                  <wp:cNvGraphicFramePr>
                    <a:graphicFrameLocks noChangeAspect="1"/>
                  </wp:cNvGraphicFramePr>
                  <a:graphic>
                    <a:graphicData uri="http://schemas.openxmlformats.org/drawingml/2006/picture">
                      <pic:pic>
                        <pic:nvPicPr>
                          <pic:cNvPr id="0" name="stock-africa-scaffolding.jpeg"/>
                          <pic:cNvPicPr/>
                        </pic:nvPicPr>
                        <pic:blipFill>
                          <a:blip r:embed="rId13"/>
                          <a:stretch>
                            <a:fillRect/>
                          </a:stretch>
                        </pic:blipFill>
                        <pic:spPr>
                          <a:xfrm>
                            <a:off x="0" y="0"/>
                            <a:ext cx="1974000" cy="1656000"/>
                          </a:xfrm>
                          <a:prstGeom prst="rect"/>
                        </pic:spPr>
                      </pic:pic>
                    </a:graphicData>
                  </a:graphic>
                </wp:inline>
              </w:drawing>
            </w:r>
          </w:p>
        </w:tc>
      </w:tr>
    </w:tbl>
    <w:tbl>
      <w:tblPr>
        <w:jc w:val="left"/>
        <w:tblLayout w:type="fixed"/>
        <w:tblLook w:firstColumn="1" w:firstRow="1" w:lastColumn="0" w:lastRow="0" w:noHBand="0" w:noVBand="1" w:val="04A0"/>
        <w:tblW w:w="9412" w:type="dxa"/>
      </w:tblPr>
      <w:tblGrid>
        <w:gridCol w:w="9412"/>
      </w:tblGrid>
      <w:tr>
        <w:tc>
          <w:tcPr>
            <w:tcW w:type="dxa" w:w="9411"/>
            <w:shd w:val="clear" w:color="auto" w:fill="CC2028"/>
            <w:tcMar>
              <w:top w:w="500" w:type="dxa"/>
              <w:bottom w:w="500" w:type="dxa"/>
              <w:left w:w="480" w:type="dxa"/>
              <w:right w:w="480" w:type="dxa"/>
            </w:tcMar>
            <w:tcBorders>
              <w:top w:val="nil"/>
              <w:bottom w:val="nil"/>
              <w:left w:val="nil"/>
              <w:right w:val="nil"/>
            </w:tcBorders>
          </w:tcPr>
          <w:p>
            <w:pPr>
              <w:spacing w:after="80"/>
            </w:pPr>
            <w:r>
              <w:rPr>
                <w:rFonts w:ascii="Arial" w:hAnsi="Arial"/>
                <w:b/>
                <w:i w:val="0"/>
                <w:color w:val="FFFFFF"/>
                <w:sz w:val="22"/>
              </w:rPr>
              <w:t>CoST IS REVIEW AND STRUCTURAL REFERENCE</w:t>
            </w:r>
          </w:p>
          <w:p>
            <w:pPr>
              <w:spacing w:after="160"/>
            </w:pPr>
            <w:r>
              <w:rPr>
                <w:rFonts w:ascii="Arial" w:hAnsi="Arial"/>
                <w:b/>
                <w:i w:val="0"/>
                <w:color w:val="FFFFFF"/>
                <w:sz w:val="32"/>
              </w:rPr>
              <w:t>Feedback on the Zambia OC4IDS field-level mapping report, paired with worked examples of what a revised section should look like.</w:t>
            </w:r>
          </w:p>
          <w:p>
            <w:pPr>
              <w:spacing w:after="0"/>
            </w:pPr>
            <w:r>
              <w:rPr>
                <w:rFonts w:ascii="Arial" w:hAnsi="Arial"/>
                <w:b w:val="0"/>
                <w:i w:val="0"/>
                <w:color w:val="FFFFFF"/>
                <w:sz w:val="20"/>
              </w:rPr>
              <w:t>Zambia: ZPPA, NCC, CoST Zambia.  Draft of 3 March 2026 reviewed on 23 April 2026.</w:t>
            </w:r>
          </w:p>
        </w:tc>
      </w:tr>
    </w:tbl>
    <w:p>
      <w:pPr>
        <w:spacing w:after="200" w:before="0"/>
      </w:pP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nil"/>
              <w:bottom w:val="nil"/>
              <w:left w:val="single" w:sz="32" w:color="6B6A68"/>
              <w:right w:val="nil"/>
            </w:tcBorders>
            <w:tcMar>
              <w:top w:w="260" w:type="dxa"/>
              <w:bottom w:w="260" w:type="dxa"/>
              <w:left w:w="300" w:type="dxa"/>
              <w:right w:w="300" w:type="dxa"/>
            </w:tcMar>
          </w:tcPr>
          <w:p>
            <w:r>
              <w:rPr>
                <w:rFonts w:ascii="Arial" w:hAnsi="Arial"/>
                <w:b/>
                <w:i w:val="0"/>
                <w:color w:val="6B6A68"/>
                <w:sz w:val="20"/>
              </w:rPr>
              <w:t xml:space="preserve">HOW TO READ THIS DOCUMENT   </w:t>
            </w:r>
            <w:r>
              <w:rPr>
                <w:rFonts w:ascii="Arial" w:hAnsi="Arial"/>
                <w:b w:val="0"/>
                <w:i w:val="0"/>
                <w:color w:val="4A4743"/>
                <w:sz w:val="21"/>
              </w:rPr>
              <w:t>This document pairs the CoST IS review with worked examples. Each section carries a REVIEW NOTE (what the current draft does, in red) and an EXAMPLE (what the revised section should look like, in blue). The full list of priority revisions sits once, in section 8. A companion document, 02-sample-final-report.docx, carries a fully-worked model report the Zambia team can adapt directly. Every stakeholder name, number, and date in the EXAMPLE blocks and the companion model is a placeholder pending MSG consultation.</w:t>
            </w:r>
          </w:p>
        </w:tc>
      </w:tr>
    </w:tbl>
    <w:p>
      <w:pPr>
        <w:spacing w:after="200" w:before="0"/>
      </w:pPr>
    </w:p>
    <w:tbl>
      <w:tblPr>
        <w:jc w:val="left"/>
        <w:tblLayout w:type="fixed"/>
        <w:tblLook w:firstColumn="1" w:firstRow="1" w:lastColumn="0" w:lastRow="0" w:noHBand="0" w:noVBand="1" w:val="04A0"/>
        <w:tblW w:w="9412" w:type="dxa"/>
      </w:tblPr>
      <w:tblGrid>
        <w:gridCol w:w="2835"/>
        <w:gridCol w:w="6577"/>
      </w:tblGrid>
      <w:tr>
        <w:tc>
          <w:tcPr>
            <w:tcW w:type="dxa" w:w="2835"/>
            <w:tcBorders>
              <w:top w:val="nil"/>
              <w:bottom w:val="nil"/>
              <w:left w:val="nil"/>
              <w:right w:val="nil"/>
            </w:tcBorders>
            <w:tcMar>
              <w:top w:w="140" w:type="dxa"/>
              <w:bottom w:w="140" w:type="dxa"/>
              <w:left w:w="180" w:type="dxa"/>
              <w:right w:w="180" w:type="dxa"/>
            </w:tcMar>
          </w:tcPr>
          <w:p>
            <w:r>
              <w:rPr>
                <w:rFonts w:ascii="Arial" w:hAnsi="Arial"/>
                <w:b/>
                <w:i w:val="0"/>
                <w:color w:val="6B6A68"/>
                <w:sz w:val="19"/>
              </w:rPr>
              <w:t>Reviewed by:</w:t>
            </w:r>
          </w:p>
        </w:tc>
        <w:tc>
          <w:tcPr>
            <w:tcW w:type="dxa" w:w="6576"/>
            <w:tcBorders>
              <w:top w:val="nil"/>
              <w:bottom w:val="nil"/>
              <w:left w:val="nil"/>
              <w:right w:val="nil"/>
            </w:tcBorders>
            <w:tcMar>
              <w:top w:w="140" w:type="dxa"/>
              <w:bottom w:w="140" w:type="dxa"/>
              <w:left w:w="180" w:type="dxa"/>
              <w:right w:w="180" w:type="dxa"/>
            </w:tcMar>
          </w:tcPr>
          <w:p>
            <w:r>
              <w:rPr>
                <w:rFonts w:ascii="Arial" w:hAnsi="Arial"/>
                <w:b w:val="0"/>
                <w:i w:val="0"/>
                <w:color w:val="4A4743"/>
                <w:sz w:val="19"/>
              </w:rPr>
              <w:t>CoST International Secretariat. This review applies CoST IS's OC4IDS mapping review methodology.</w:t>
            </w:r>
          </w:p>
        </w:tc>
      </w:tr>
      <w:tr>
        <w:tc>
          <w:tcPr>
            <w:tcW w:type="dxa" w:w="2835"/>
            <w:tcBorders>
              <w:top w:val="nil"/>
              <w:bottom w:val="nil"/>
              <w:left w:val="nil"/>
              <w:right w:val="nil"/>
            </w:tcBorders>
            <w:tcMar>
              <w:top w:w="140" w:type="dxa"/>
              <w:bottom w:w="140" w:type="dxa"/>
              <w:left w:w="180" w:type="dxa"/>
              <w:right w:w="180" w:type="dxa"/>
            </w:tcMar>
          </w:tcPr>
          <w:p>
            <w:r>
              <w:rPr>
                <w:rFonts w:ascii="Arial" w:hAnsi="Arial"/>
                <w:b/>
                <w:i w:val="0"/>
                <w:color w:val="6B6A68"/>
                <w:sz w:val="19"/>
              </w:rPr>
              <w:t>Review date:</w:t>
            </w:r>
          </w:p>
        </w:tc>
        <w:tc>
          <w:tcPr>
            <w:tcW w:type="dxa" w:w="6576"/>
            <w:tcBorders>
              <w:top w:val="nil"/>
              <w:bottom w:val="nil"/>
              <w:left w:val="nil"/>
              <w:right w:val="nil"/>
            </w:tcBorders>
            <w:tcMar>
              <w:top w:w="140" w:type="dxa"/>
              <w:bottom w:w="140" w:type="dxa"/>
              <w:left w:w="180" w:type="dxa"/>
              <w:right w:w="180" w:type="dxa"/>
            </w:tcMar>
          </w:tcPr>
          <w:p>
            <w:r>
              <w:rPr>
                <w:rFonts w:ascii="Arial" w:hAnsi="Arial"/>
                <w:b w:val="0"/>
                <w:i w:val="0"/>
                <w:color w:val="4A4743"/>
                <w:sz w:val="19"/>
              </w:rPr>
              <w:t>23 April 2026.</w:t>
            </w:r>
          </w:p>
        </w:tc>
      </w:tr>
      <w:tr>
        <w:tc>
          <w:tcPr>
            <w:tcW w:type="dxa" w:w="2835"/>
            <w:tcBorders>
              <w:top w:val="nil"/>
              <w:bottom w:val="nil"/>
              <w:left w:val="nil"/>
              <w:right w:val="nil"/>
            </w:tcBorders>
            <w:tcMar>
              <w:top w:w="140" w:type="dxa"/>
              <w:bottom w:w="140" w:type="dxa"/>
              <w:left w:w="180" w:type="dxa"/>
              <w:right w:w="180" w:type="dxa"/>
            </w:tcMar>
          </w:tcPr>
          <w:p>
            <w:r>
              <w:rPr>
                <w:rFonts w:ascii="Arial" w:hAnsi="Arial"/>
                <w:b/>
                <w:i w:val="0"/>
                <w:color w:val="6B6A68"/>
                <w:sz w:val="19"/>
              </w:rPr>
              <w:t>Companion:</w:t>
            </w:r>
          </w:p>
        </w:tc>
        <w:tc>
          <w:tcPr>
            <w:tcW w:type="dxa" w:w="6576"/>
            <w:tcBorders>
              <w:top w:val="nil"/>
              <w:bottom w:val="nil"/>
              <w:left w:val="nil"/>
              <w:right w:val="nil"/>
            </w:tcBorders>
            <w:tcMar>
              <w:top w:w="140" w:type="dxa"/>
              <w:bottom w:w="140" w:type="dxa"/>
              <w:left w:w="180" w:type="dxa"/>
              <w:right w:w="180" w:type="dxa"/>
            </w:tcMar>
          </w:tcPr>
          <w:p>
            <w:r>
              <w:rPr>
                <w:rFonts w:ascii="Arial" w:hAnsi="Arial"/>
                <w:b w:val="0"/>
                <w:i w:val="0"/>
                <w:color w:val="4A4743"/>
                <w:sz w:val="19"/>
              </w:rPr>
              <w:t>02-sample-final-report.docx. A fully-worked model report for Zambia. Structure and format are illustrative; stakeholder names are placeholders.</w:t>
            </w:r>
          </w:p>
        </w:tc>
      </w:tr>
    </w:tbl>
    <w:p>
      <w:r>
        <w:br w:type="page"/>
      </w:r>
    </w:p>
    <w:p>
      <w:pPr>
        <w:keepNext/>
        <w:spacing w:before="280" w:after="120"/>
      </w:pPr>
      <w:r>
        <w:rPr>
          <w:rFonts w:ascii="Arial" w:hAnsi="Arial"/>
          <w:b/>
          <w:i w:val="0"/>
          <w:color w:val="B7251C"/>
          <w:sz w:val="30"/>
        </w:rPr>
        <w:t>Verdict</w:t>
      </w: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single" w:sz="24" w:color="B7251C"/>
              <w:bottom w:val="single" w:sz="24" w:color="B7251C"/>
              <w:left w:val="nil"/>
              <w:right w:val="nil"/>
            </w:tcBorders>
            <w:tcMar>
              <w:top w:w="260" w:type="dxa"/>
              <w:bottom w:w="260" w:type="dxa"/>
              <w:left w:w="300" w:type="dxa"/>
              <w:right w:w="300" w:type="dxa"/>
            </w:tcMar>
          </w:tcPr>
          <w:p>
            <w:r>
              <w:rPr>
                <w:rFonts w:ascii="Arial" w:hAnsi="Arial"/>
                <w:b/>
                <w:i w:val="0"/>
                <w:color w:val="B7251C"/>
                <w:sz w:val="20"/>
              </w:rPr>
              <w:t xml:space="preserve">VERDICT   </w:t>
            </w:r>
            <w:r>
              <w:rPr>
                <w:rFonts w:ascii="Arial" w:hAnsi="Arial"/>
                <w:b w:val="0"/>
                <w:i w:val="0"/>
                <w:color w:val="4A4743"/>
                <w:sz w:val="21"/>
              </w:rPr>
              <w:t>The Zambia mapping template is substantively strong: 73 OC4IDS fields mapped, every mapped field backed by a real source path, and 47 of 48 source elements traced forward into OC4IDS.</w:t>
            </w:r>
          </w:p>
          <w:p>
            <w:pPr>
              <w:spacing w:before="120"/>
            </w:pPr>
            <w:r>
              <w:rPr>
                <w:rFonts w:ascii="Arial" w:hAnsi="Arial"/>
                <w:b w:val="0"/>
                <w:i w:val="0"/>
                <w:color w:val="4A4743"/>
                <w:sz w:val="21"/>
              </w:rPr>
              <w:t>The narrative report does not yet reflect the strength of the underlying work. The executive summary leads with adjectives rather than numbers, the lifecycle findings are described but not quantified, and most recommendations have no named owner. The legal framework analysis in Annex 8.1 is publication-quality and should anchor the report's front page, not sit at the back.</w:t>
            </w:r>
          </w:p>
        </w:tc>
      </w:tr>
    </w:tbl>
    <w:p>
      <w:pPr>
        <w:spacing w:after="280" w:before="0"/>
      </w:pPr>
    </w:p>
    <w:p>
      <w:pPr>
        <w:keepNext/>
        <w:spacing w:before="280" w:after="120"/>
      </w:pPr>
      <w:r>
        <w:rPr>
          <w:rFonts w:ascii="Arial" w:hAnsi="Arial"/>
          <w:b/>
          <w:i w:val="0"/>
          <w:color w:val="B7251C"/>
          <w:sz w:val="30"/>
        </w:rPr>
        <w:t>1.  What is working</w:t>
      </w:r>
    </w:p>
    <w:p>
      <w:pPr>
        <w:spacing w:after="160" w:before="0"/>
      </w:pPr>
      <w:r>
        <w:rPr>
          <w:rFonts w:ascii="Arial" w:hAnsi="Arial"/>
          <w:b w:val="0"/>
          <w:i w:val="0"/>
          <w:color w:val="4A4743"/>
          <w:sz w:val="21"/>
        </w:rPr>
        <w:t>These elements of the current draft are already at the level a reader needs. Keep them on revision.</w:t>
      </w:r>
    </w:p>
    <w:p>
      <w:pPr>
        <w:spacing w:after="120"/>
      </w:pPr>
      <w:r>
        <w:rPr>
          <w:rFonts w:ascii="Arial" w:hAnsi="Arial"/>
          <w:b/>
          <w:i w:val="0"/>
          <w:color w:val="4EA83D"/>
          <w:sz w:val="22"/>
        </w:rPr>
        <w:t xml:space="preserve">+  </w:t>
      </w:r>
      <w:r>
        <w:rPr>
          <w:rFonts w:ascii="Arial" w:hAnsi="Arial"/>
          <w:b/>
          <w:i w:val="0"/>
          <w:color w:val="4A4743"/>
          <w:sz w:val="21"/>
        </w:rPr>
        <w:t xml:space="preserve">Legal framework analysis in Annex 8.1.  </w:t>
      </w:r>
      <w:r>
        <w:rPr>
          <w:rFonts w:ascii="Arial" w:hAnsi="Arial"/>
          <w:b w:val="0"/>
          <w:i w:val="0"/>
          <w:color w:val="4A4743"/>
          <w:sz w:val="21"/>
        </w:rPr>
        <w:t>The citations to the Access to Information Act 2023 (s.6, s.8, s.9, s.17), the ZPPA Act 2020 (s.67, s.70), and the NCC Act 2020 (s.5, s.31, s.33, s.53) are precise and directly tied to disclosure obligations. This is the report's strongest asset. Move the substance forward into the executive summary; keep the full text in the annex.</w:t>
      </w:r>
    </w:p>
    <w:p>
      <w:pPr>
        <w:spacing w:after="120"/>
      </w:pPr>
      <w:r>
        <w:rPr>
          <w:rFonts w:ascii="Arial" w:hAnsi="Arial"/>
          <w:b/>
          <w:i w:val="0"/>
          <w:color w:val="4EA83D"/>
          <w:sz w:val="22"/>
        </w:rPr>
        <w:t xml:space="preserve">+  </w:t>
      </w:r>
      <w:r>
        <w:rPr>
          <w:rFonts w:ascii="Arial" w:hAnsi="Arial"/>
          <w:b/>
          <w:i w:val="0"/>
          <w:color w:val="4A4743"/>
          <w:sz w:val="21"/>
        </w:rPr>
        <w:t xml:space="preserve">The NCC insight.  </w:t>
      </w:r>
      <w:r>
        <w:rPr>
          <w:rFonts w:ascii="Arial" w:hAnsi="Arial"/>
          <w:b w:val="0"/>
          <w:i w:val="0"/>
          <w:color w:val="4A4743"/>
          <w:sz w:val="21"/>
        </w:rPr>
        <w:t>The observation in section 4.1 that most implementation-stage data is already collected by NCC under its statutory monitoring mandate is the single most actionable finding in the report. It reframes the question from 'how do we collect this data' to 'how do we integrate and disclose what is already collected'. Make this the headline of the recommendations section.</w:t>
      </w:r>
    </w:p>
    <w:p>
      <w:pPr>
        <w:spacing w:after="120"/>
      </w:pPr>
      <w:r>
        <w:rPr>
          <w:rFonts w:ascii="Arial" w:hAnsi="Arial"/>
          <w:b/>
          <w:i w:val="0"/>
          <w:color w:val="4EA83D"/>
          <w:sz w:val="22"/>
        </w:rPr>
        <w:t xml:space="preserve">+  </w:t>
      </w:r>
      <w:r>
        <w:rPr>
          <w:rFonts w:ascii="Arial" w:hAnsi="Arial"/>
          <w:b/>
          <w:i w:val="0"/>
          <w:color w:val="4A4743"/>
          <w:sz w:val="21"/>
        </w:rPr>
        <w:t xml:space="preserve">Source element forward-mapping.  </w:t>
      </w:r>
      <w:r>
        <w:rPr>
          <w:rFonts w:ascii="Arial" w:hAnsi="Arial"/>
          <w:b w:val="0"/>
          <w:i w:val="0"/>
          <w:color w:val="4A4743"/>
          <w:sz w:val="21"/>
        </w:rPr>
        <w:t>The template maps 47 of the 48 source data elements from the ZPPA e-GP system into OC4IDS paths. That coverage is excellent. Report the number in the methodology section.</w:t>
      </w:r>
    </w:p>
    <w:p>
      <w:pPr>
        <w:spacing w:after="120"/>
      </w:pPr>
      <w:r>
        <w:rPr>
          <w:rFonts w:ascii="Arial" w:hAnsi="Arial"/>
          <w:b/>
          <w:i w:val="0"/>
          <w:color w:val="4EA83D"/>
          <w:sz w:val="22"/>
        </w:rPr>
        <w:t xml:space="preserve">+  </w:t>
      </w:r>
      <w:r>
        <w:rPr>
          <w:rFonts w:ascii="Arial" w:hAnsi="Arial"/>
          <w:b/>
          <w:i w:val="0"/>
          <w:color w:val="4A4743"/>
          <w:sz w:val="21"/>
        </w:rPr>
        <w:t xml:space="preserve">Lifecycle framework in section 8.2.  </w:t>
      </w:r>
      <w:r>
        <w:rPr>
          <w:rFonts w:ascii="Arial" w:hAnsi="Arial"/>
          <w:b w:val="0"/>
          <w:i w:val="0"/>
          <w:color w:val="4A4743"/>
          <w:sz w:val="21"/>
        </w:rPr>
        <w:t>The five-row data-source-by-stage table is a foundation for the decision summary this review asks for. Expand it into the four-bucket classification shown in section 9 below.</w:t>
      </w:r>
    </w:p>
    <w:p>
      <w:pPr>
        <w:spacing w:after="120"/>
      </w:pPr>
      <w:r>
        <w:rPr>
          <w:rFonts w:ascii="Arial" w:hAnsi="Arial"/>
          <w:b/>
          <w:i w:val="0"/>
          <w:color w:val="4EA83D"/>
          <w:sz w:val="22"/>
        </w:rPr>
        <w:t xml:space="preserve">+  </w:t>
      </w:r>
      <w:r>
        <w:rPr>
          <w:rFonts w:ascii="Arial" w:hAnsi="Arial"/>
          <w:b/>
          <w:i w:val="0"/>
          <w:color w:val="4A4743"/>
          <w:sz w:val="21"/>
        </w:rPr>
        <w:t xml:space="preserve">Mapping quality.  </w:t>
      </w:r>
      <w:r>
        <w:rPr>
          <w:rFonts w:ascii="Arial" w:hAnsi="Arial"/>
          <w:b w:val="0"/>
          <w:i w:val="0"/>
          <w:color w:val="4A4743"/>
          <w:sz w:val="21"/>
        </w:rPr>
        <w:t>Every OC4IDS path the template lists as mapped contains real source content. No placeholders. A reviewer sampling the mapping sheets can verify every line back to the ZPPA e-GP schema.</w:t>
      </w:r>
    </w:p>
    <w:p>
      <w:r>
        <w:br w:type="page"/>
      </w:r>
    </w:p>
    <w:p>
      <w:pPr>
        <w:keepNext/>
        <w:spacing w:before="280" w:after="120"/>
      </w:pPr>
      <w:r>
        <w:rPr>
          <w:rFonts w:ascii="Arial" w:hAnsi="Arial"/>
          <w:b/>
          <w:i w:val="0"/>
          <w:color w:val="B7251C"/>
          <w:sz w:val="30"/>
        </w:rPr>
        <w:t>2.  How to read this document</w:t>
      </w:r>
    </w:p>
    <w:p>
      <w:pPr>
        <w:spacing w:after="160" w:before="0"/>
      </w:pPr>
      <w:r>
        <w:rPr>
          <w:rFonts w:ascii="Arial" w:hAnsi="Arial"/>
          <w:b w:val="0"/>
          <w:i w:val="0"/>
          <w:color w:val="4A4743"/>
          <w:sz w:val="21"/>
        </w:rPr>
        <w:t>The rest of this document walks through the revised report section by section. Each of the seven sections below (3 through 9) carries the same two-part format:</w:t>
      </w:r>
    </w:p>
    <w:p>
      <w:pPr>
        <w:spacing w:after="80" w:before="0"/>
      </w:pPr>
      <w:r>
        <w:rPr>
          <w:rFonts w:ascii="Arial" w:hAnsi="Arial"/>
          <w:b w:val="0"/>
          <w:i w:val="0"/>
          <w:color w:val="4A4743"/>
          <w:sz w:val="21"/>
        </w:rPr>
        <w:t>•   A REVIEW NOTE block in red, naming what the current draft does and which revision identifier in section 8 addresses it.</w:t>
      </w:r>
    </w:p>
    <w:p>
      <w:pPr>
        <w:spacing w:after="200" w:before="0"/>
      </w:pPr>
      <w:r>
        <w:rPr>
          <w:rFonts w:ascii="Arial" w:hAnsi="Arial"/>
          <w:b w:val="0"/>
          <w:i w:val="0"/>
          <w:color w:val="4A4743"/>
          <w:sz w:val="21"/>
        </w:rPr>
        <w:t>•   An EXAMPLE block in blue, showing what the revised section should look like, with a representative row, table, or chart.</w:t>
      </w:r>
    </w:p>
    <w:p>
      <w:pPr>
        <w:spacing w:after="200" w:before="0"/>
      </w:pPr>
      <w:r>
        <w:rPr>
          <w:rFonts w:ascii="Arial" w:hAnsi="Arial"/>
          <w:b w:val="0"/>
          <w:i w:val="0"/>
          <w:color w:val="4A4743"/>
          <w:sz w:val="21"/>
        </w:rPr>
        <w:t>The full list of priority revisions, R1 through R10, sits in section 8. Section 10 covers the legal lever (what the law already permits) and section 11 sets out the next step. The companion document 02-sample-final-report.docx carries every section filled out as a worked model, with placeholder stakeholder names pending MSG consultation.</w:t>
      </w:r>
    </w:p>
    <w:p>
      <w:r>
        <w:br w:type="page"/>
      </w:r>
    </w:p>
    <w:p>
      <w:pPr>
        <w:keepNext/>
        <w:spacing w:before="280" w:after="120"/>
      </w:pPr>
      <w:r>
        <w:rPr>
          <w:rFonts w:ascii="Arial" w:hAnsi="Arial"/>
          <w:b/>
          <w:i w:val="0"/>
          <w:color w:val="B7251C"/>
          <w:sz w:val="30"/>
        </w:rPr>
        <w:t>3.  Executive summary</w:t>
      </w: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nil"/>
              <w:bottom w:val="nil"/>
              <w:left w:val="single" w:sz="36" w:color="B7251C"/>
              <w:right w:val="nil"/>
            </w:tcBorders>
            <w:tcMar>
              <w:top w:w="260" w:type="dxa"/>
              <w:bottom w:w="260" w:type="dxa"/>
              <w:left w:w="300" w:type="dxa"/>
              <w:right w:w="300" w:type="dxa"/>
            </w:tcMar>
          </w:tcPr>
          <w:p>
            <w:r>
              <w:rPr>
                <w:rFonts w:ascii="Arial" w:hAnsi="Arial"/>
                <w:b/>
                <w:i w:val="0"/>
                <w:color w:val="B7251C"/>
                <w:sz w:val="19"/>
              </w:rPr>
              <w:t>REVIEW NOTE</w:t>
            </w:r>
            <w:r>
              <w:rPr>
                <w:rFonts w:ascii="Arial" w:hAnsi="Arial"/>
                <w:b/>
                <w:i w:val="0"/>
                <w:color w:val="6B6A68"/>
                <w:sz w:val="19"/>
              </w:rPr>
              <w:t xml:space="preserve">  (R1)   </w:t>
            </w:r>
            <w:r>
              <w:rPr>
                <w:rFonts w:ascii="Arial" w:hAnsi="Arial"/>
                <w:b w:val="0"/>
                <w:i w:val="0"/>
                <w:color w:val="4A4743"/>
                <w:sz w:val="21"/>
              </w:rPr>
              <w:t>The current opening reads 'significant data gaps exist'. Adjectives do not travel. The template supports a much stronger statement: 73 OC4IDS fields mapped, two of four template sheets near zero (Linked Releases 0 of 6, Parties 18 of 968). Lead with those numbers and the structural reading becomes visible from the first paragraph.</w:t>
            </w:r>
          </w:p>
        </w:tc>
      </w:tr>
    </w:tbl>
    <w:p>
      <w:pPr>
        <w:spacing w:after="200" w:before="0"/>
      </w:pPr>
    </w:p>
    <w:tbl>
      <w:tblPr>
        <w:jc w:val="left"/>
        <w:tblLayout w:type="fixed"/>
        <w:tblLook w:firstColumn="1" w:firstRow="1" w:lastColumn="0" w:lastRow="0" w:noHBand="0" w:noVBand="1" w:val="04A0"/>
        <w:tblW w:w="9412" w:type="dxa"/>
      </w:tblPr>
      <w:tblGrid>
        <w:gridCol w:w="9412"/>
      </w:tblGrid>
      <w:tr>
        <w:tc>
          <w:tcPr>
            <w:tcW w:type="dxa" w:w="9411"/>
            <w:shd w:val="clear" w:color="auto" w:fill="FFFFFF"/>
            <w:tcBorders>
              <w:top w:val="nil"/>
              <w:bottom w:val="nil"/>
              <w:left w:val="single" w:sz="36" w:color="71B6C9"/>
              <w:right w:val="nil"/>
            </w:tcBorders>
            <w:tcMar>
              <w:top w:w="260" w:type="dxa"/>
              <w:bottom w:w="260" w:type="dxa"/>
              <w:left w:w="300" w:type="dxa"/>
              <w:right w:w="300" w:type="dxa"/>
            </w:tcMar>
          </w:tcPr>
          <w:p>
            <w:pPr>
              <w:spacing w:after="120"/>
            </w:pPr>
            <w:r>
              <w:rPr>
                <w:rFonts w:ascii="Arial" w:hAnsi="Arial"/>
                <w:b/>
                <w:i w:val="0"/>
                <w:color w:val="71B6C9"/>
                <w:sz w:val="19"/>
              </w:rPr>
              <w:t>EXAMPLE</w:t>
            </w:r>
            <w:r>
              <w:rPr>
                <w:rFonts w:ascii="Arial" w:hAnsi="Arial"/>
                <w:b w:val="0"/>
                <w:i/>
                <w:color w:val="6B6A68"/>
                <w:sz w:val="19"/>
              </w:rPr>
              <w:t xml:space="preserve">   Target opening for section 1 of the revised report</w:t>
            </w:r>
          </w:p>
          <w:p>
            <w:pPr>
              <w:spacing w:before="40"/>
            </w:pPr>
            <w:r>
              <w:rPr>
                <w:rFonts w:ascii="Arial" w:hAnsi="Arial"/>
                <w:b w:val="0"/>
                <w:i/>
                <w:color w:val="4A4743"/>
                <w:sz w:val="21"/>
              </w:rPr>
              <w:t>The revised opening should lead with three numbers, not three adjectives:</w:t>
            </w:r>
          </w:p>
          <w:tbl>
            <w:tblPr>
              <w:jc w:val="left"/>
              <w:tblLayout w:type="fixed"/>
              <w:tblLook w:firstColumn="1" w:firstRow="1" w:lastColumn="0" w:lastRow="0" w:noHBand="0" w:noVBand="1" w:val="04A0"/>
              <w:tblW w:w="8731" w:type="dxa"/>
            </w:tblPr>
            <w:tblGrid>
              <w:gridCol w:w="2910"/>
              <w:gridCol w:w="2910"/>
              <w:gridCol w:w="2910"/>
            </w:tblGrid>
            <w:tr>
              <w:trPr>
                <w:trHeight w:val="2551" w:hRule="atLeast"/>
              </w:trPr>
              <w:tc>
                <w:tcPr>
                  <w:tcW w:type="dxa" w:w="2910"/>
                  <w:shd w:val="clear" w:color="auto" w:fill="F3F2F1"/>
                  <w:tcMar>
                    <w:top w:w="220" w:type="dxa"/>
                    <w:bottom w:w="220" w:type="dxa"/>
                    <w:left w:w="240" w:type="dxa"/>
                    <w:right w:w="240" w:type="dxa"/>
                  </w:tcMar>
                  <w:tcBorders>
                    <w:top w:val="single" w:sz="40" w:color="4EA83D"/>
                    <w:bottom w:val="nil"/>
                    <w:left w:val="nil"/>
                    <w:right w:val="nil"/>
                  </w:tcBorders>
                </w:tcPr>
                <w:p>
                  <w:r>
                    <w:rPr>
                      <w:rFonts w:ascii="Arial" w:hAnsi="Arial"/>
                      <w:b/>
                      <w:i w:val="0"/>
                      <w:color w:val="4EA83D"/>
                      <w:sz w:val="48"/>
                    </w:rPr>
                    <w:t>35</w:t>
                  </w:r>
                </w:p>
                <w:p>
                  <w:pPr>
                    <w:spacing w:before="40"/>
                  </w:pPr>
                  <w:r>
                    <w:rPr>
                      <w:rFonts w:ascii="Arial" w:hAnsi="Arial"/>
                      <w:b w:val="0"/>
                      <w:i w:val="0"/>
                      <w:color w:val="6B6A68"/>
                      <w:sz w:val="17"/>
                    </w:rPr>
                    <w:t>OC4IDS fields the ZPPA e-GP system can publish today, with no new work.</w:t>
                  </w:r>
                </w:p>
              </w:tc>
              <w:tc>
                <w:tcPr>
                  <w:tcW w:type="dxa" w:w="2910"/>
                  <w:shd w:val="clear" w:color="auto" w:fill="F3F2F1"/>
                  <w:tcMar>
                    <w:top w:w="220" w:type="dxa"/>
                    <w:bottom w:w="220" w:type="dxa"/>
                    <w:left w:w="240" w:type="dxa"/>
                    <w:right w:w="240" w:type="dxa"/>
                  </w:tcMar>
                  <w:tcBorders>
                    <w:top w:val="single" w:sz="40" w:color="71B6C9"/>
                    <w:bottom w:val="nil"/>
                    <w:left w:val="nil"/>
                    <w:right w:val="nil"/>
                  </w:tcBorders>
                </w:tcPr>
                <w:p>
                  <w:r>
                    <w:rPr>
                      <w:rFonts w:ascii="Arial" w:hAnsi="Arial"/>
                      <w:b/>
                      <w:i w:val="0"/>
                      <w:color w:val="71B6C9"/>
                      <w:sz w:val="48"/>
                    </w:rPr>
                    <w:t>55</w:t>
                  </w:r>
                </w:p>
                <w:p>
                  <w:pPr>
                    <w:spacing w:before="40"/>
                  </w:pPr>
                  <w:r>
                    <w:rPr>
                      <w:rFonts w:ascii="Arial" w:hAnsi="Arial"/>
                      <w:b w:val="0"/>
                      <w:i w:val="0"/>
                      <w:color w:val="6B6A68"/>
                      <w:sz w:val="17"/>
                    </w:rPr>
                    <w:t>Publishable within 12 months (35 today plus 20 after format fixes).</w:t>
                  </w:r>
                </w:p>
              </w:tc>
              <w:tc>
                <w:tcPr>
                  <w:tcW w:type="dxa" w:w="2910"/>
                  <w:shd w:val="clear" w:color="auto" w:fill="F3F2F1"/>
                  <w:tcMar>
                    <w:top w:w="220" w:type="dxa"/>
                    <w:bottom w:w="220" w:type="dxa"/>
                    <w:left w:w="240" w:type="dxa"/>
                    <w:right w:w="240" w:type="dxa"/>
                  </w:tcMar>
                  <w:tcBorders>
                    <w:top w:val="single" w:sz="40" w:color="B7251C"/>
                    <w:bottom w:val="nil"/>
                    <w:left w:val="nil"/>
                    <w:right w:val="nil"/>
                  </w:tcBorders>
                </w:tcPr>
                <w:p>
                  <w:r>
                    <w:rPr>
                      <w:rFonts w:ascii="Arial" w:hAnsi="Arial"/>
                      <w:b/>
                      <w:i w:val="0"/>
                      <w:color w:val="B7251C"/>
                      <w:sz w:val="48"/>
                    </w:rPr>
                    <w:t>Yes</w:t>
                  </w:r>
                </w:p>
                <w:p>
                  <w:pPr>
                    <w:spacing w:before="40"/>
                  </w:pPr>
                  <w:r>
                    <w:rPr>
                      <w:rFonts w:ascii="Arial" w:hAnsi="Arial"/>
                      <w:b w:val="0"/>
                      <w:i w:val="0"/>
                      <w:color w:val="6B6A68"/>
                      <w:sz w:val="17"/>
                    </w:rPr>
                    <w:t>Zambia's existing law (ATI Act s.8, NCC Act s.53) already permits publication of most currently-missing fields.</w:t>
                  </w:r>
                </w:p>
              </w:tc>
            </w:tr>
          </w:tbl>
          <w:p/>
        </w:tc>
      </w:tr>
    </w:tbl>
    <w:p>
      <w:r>
        <w:br w:type="page"/>
      </w:r>
    </w:p>
    <w:p>
      <w:pPr>
        <w:keepNext/>
        <w:spacing w:before="280" w:after="120"/>
      </w:pPr>
      <w:r>
        <w:rPr>
          <w:rFonts w:ascii="Arial" w:hAnsi="Arial"/>
          <w:b/>
          <w:i w:val="0"/>
          <w:color w:val="B7251C"/>
          <w:sz w:val="30"/>
        </w:rPr>
        <w:t>4.  Findings by lifecycle phase</w:t>
      </w: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nil"/>
              <w:bottom w:val="nil"/>
              <w:left w:val="single" w:sz="36" w:color="B7251C"/>
              <w:right w:val="nil"/>
            </w:tcBorders>
            <w:tcMar>
              <w:top w:w="260" w:type="dxa"/>
              <w:bottom w:w="260" w:type="dxa"/>
              <w:left w:w="300" w:type="dxa"/>
              <w:right w:w="300" w:type="dxa"/>
            </w:tcMar>
          </w:tcPr>
          <w:p>
            <w:r>
              <w:rPr>
                <w:rFonts w:ascii="Arial" w:hAnsi="Arial"/>
                <w:b/>
                <w:i w:val="0"/>
                <w:color w:val="B7251C"/>
                <w:sz w:val="19"/>
              </w:rPr>
              <w:t>REVIEW NOTE</w:t>
            </w:r>
            <w:r>
              <w:rPr>
                <w:rFonts w:ascii="Arial" w:hAnsi="Arial"/>
                <w:b/>
                <w:i w:val="0"/>
                <w:color w:val="6B6A68"/>
                <w:sz w:val="19"/>
              </w:rPr>
              <w:t xml:space="preserve">  (R2)   </w:t>
            </w:r>
            <w:r>
              <w:rPr>
                <w:rFonts w:ascii="Arial" w:hAnsi="Arial"/>
                <w:b w:val="0"/>
                <w:i w:val="0"/>
                <w:color w:val="4A4743"/>
                <w:sz w:val="21"/>
              </w:rPr>
              <w:t>The current section 4 describes each phase qualitatively and never states a percentage. The template allows a quantified line for every phase: identification 28%, preparation 12%, procurement 21%, implementation 2%, completion 8%, maintenance 0%, decommissioning 0%. The chart below reads in five seconds. The revised report should carry a full phase coverage table in addition.</w:t>
            </w:r>
          </w:p>
        </w:tc>
      </w:tr>
    </w:tbl>
    <w:p>
      <w:pPr>
        <w:spacing w:after="200" w:before="0"/>
      </w:pPr>
    </w:p>
    <w:p>
      <w:pPr>
        <w:spacing w:before="80" w:after="200"/>
        <w:jc w:val="center"/>
      </w:pPr>
      <w:r>
        <w:drawing>
          <wp:inline xmlns:a="http://schemas.openxmlformats.org/drawingml/2006/main" xmlns:pic="http://schemas.openxmlformats.org/drawingml/2006/picture">
            <wp:extent cx="5832000" cy="3349459"/>
            <wp:docPr id="4" name="Picture 4"/>
            <wp:cNvGraphicFramePr>
              <a:graphicFrameLocks noChangeAspect="1"/>
            </wp:cNvGraphicFramePr>
            <a:graphic>
              <a:graphicData uri="http://schemas.openxmlformats.org/drawingml/2006/picture">
                <pic:pic>
                  <pic:nvPicPr>
                    <pic:cNvPr id="0" name="02-phase-coverage.png"/>
                    <pic:cNvPicPr/>
                  </pic:nvPicPr>
                  <pic:blipFill>
                    <a:blip r:embed="rId14"/>
                    <a:stretch>
                      <a:fillRect/>
                    </a:stretch>
                  </pic:blipFill>
                  <pic:spPr>
                    <a:xfrm>
                      <a:off x="0" y="0"/>
                      <a:ext cx="5832000" cy="3349459"/>
                    </a:xfrm>
                    <a:prstGeom prst="rect"/>
                  </pic:spPr>
                </pic:pic>
              </a:graphicData>
            </a:graphic>
          </wp:inline>
        </w:drawing>
      </w:r>
    </w:p>
    <w:tbl>
      <w:tblPr>
        <w:jc w:val="left"/>
        <w:tblLayout w:type="fixed"/>
        <w:tblLook w:firstColumn="1" w:firstRow="1" w:lastColumn="0" w:lastRow="0" w:noHBand="0" w:noVBand="1" w:val="04A0"/>
        <w:tblW w:w="9412" w:type="dxa"/>
      </w:tblPr>
      <w:tblGrid>
        <w:gridCol w:w="9412"/>
      </w:tblGrid>
      <w:tr>
        <w:tc>
          <w:tcPr>
            <w:tcW w:type="dxa" w:w="9411"/>
            <w:shd w:val="clear" w:color="auto" w:fill="FFFFFF"/>
            <w:tcBorders>
              <w:top w:val="nil"/>
              <w:bottom w:val="nil"/>
              <w:left w:val="single" w:sz="36" w:color="71B6C9"/>
              <w:right w:val="nil"/>
            </w:tcBorders>
            <w:tcMar>
              <w:top w:w="260" w:type="dxa"/>
              <w:bottom w:w="260" w:type="dxa"/>
              <w:left w:w="300" w:type="dxa"/>
              <w:right w:w="300" w:type="dxa"/>
            </w:tcMar>
          </w:tcPr>
          <w:p>
            <w:pPr>
              <w:spacing w:after="120"/>
            </w:pPr>
            <w:r>
              <w:rPr>
                <w:rFonts w:ascii="Arial" w:hAnsi="Arial"/>
                <w:b/>
                <w:i w:val="0"/>
                <w:color w:val="71B6C9"/>
                <w:sz w:val="19"/>
              </w:rPr>
              <w:t>EXAMPLE</w:t>
            </w:r>
            <w:r>
              <w:rPr>
                <w:rFonts w:ascii="Arial" w:hAnsi="Arial"/>
                <w:b w:val="0"/>
                <w:i/>
                <w:color w:val="6B6A68"/>
                <w:sz w:val="19"/>
              </w:rPr>
              <w:t xml:space="preserve">   Target format for one row of the phase coverage table</w:t>
            </w:r>
          </w:p>
          <w:p>
            <w:pPr>
              <w:spacing w:before="40" w:after="120"/>
            </w:pPr>
            <w:r>
              <w:rPr>
                <w:rFonts w:ascii="Arial" w:hAnsi="Arial"/>
                <w:b w:val="0"/>
                <w:i/>
                <w:color w:val="4A4743"/>
                <w:sz w:val="21"/>
              </w:rPr>
              <w:t>One row from the full phase table, illustrated:</w:t>
            </w:r>
          </w:p>
          <w:tbl>
            <w:tblPr>
              <w:jc w:val="left"/>
              <w:tblLayout w:type="fixed"/>
              <w:tblLook w:firstColumn="1" w:firstRow="1" w:lastColumn="0" w:lastRow="0" w:noHBand="0" w:noVBand="1" w:val="04A0"/>
              <w:tblW w:w="8731" w:type="dxa"/>
            </w:tblPr>
            <w:tblGrid>
              <w:gridCol w:w="1474"/>
              <w:gridCol w:w="1077"/>
              <w:gridCol w:w="2268"/>
              <w:gridCol w:w="3912"/>
            </w:tblGrid>
            <w:tr>
              <w:tc>
                <w:tcPr>
                  <w:tcW w:type="dxa" w:w="147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Phase</w:t>
                  </w:r>
                </w:p>
              </w:tc>
              <w:tc>
                <w:tcPr>
                  <w:tcW w:type="dxa" w:w="1077"/>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Coverage</w:t>
                  </w:r>
                </w:p>
              </w:tc>
              <w:tc>
                <w:tcPr>
                  <w:tcW w:type="dxa" w:w="226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Dominant cause</w:t>
                  </w:r>
                </w:p>
              </w:tc>
              <w:tc>
                <w:tcPr>
                  <w:tcW w:type="dxa" w:w="3912"/>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Example</w:t>
                  </w:r>
                </w:p>
              </w:tc>
            </w:tr>
            <w:tr>
              <w:trPr>
                <w:trHeight w:val="1474" w:hRule="atLeast"/>
              </w:trPr>
              <w:tc>
                <w:tcPr>
                  <w:tcW w:type="dxa" w:w="1474"/>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i w:val="0"/>
                      <w:color w:val="4A4743"/>
                      <w:sz w:val="20"/>
                    </w:rPr>
                    <w:t>Implementation</w:t>
                  </w:r>
                </w:p>
              </w:tc>
              <w:tc>
                <w:tcPr>
                  <w:tcW w:type="dxa" w:w="1077"/>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i w:val="0"/>
                      <w:color w:val="B7251C"/>
                      <w:sz w:val="24"/>
                    </w:rPr>
                    <w:t>2%</w:t>
                  </w:r>
                </w:p>
              </w:tc>
              <w:tc>
                <w:tcPr>
                  <w:tcW w:type="dxa" w:w="2268"/>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Collected but not yet publicly disclosed. Data sits in NCC inspection records.</w:t>
                  </w:r>
                </w:p>
              </w:tc>
              <w:tc>
                <w:tcPr>
                  <w:tcW w:type="dxa" w:w="3912"/>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Contract variations, progress updates, payment certificates, and quality-assurance reports are captured by NCC under NCC Act 2020 s.53 and shared with ZPPA only on request. Integration, not new collection, is the remediation.</w:t>
                  </w:r>
                </w:p>
              </w:tc>
            </w:tr>
          </w:tbl>
          <w:p/>
        </w:tc>
      </w:tr>
    </w:tbl>
    <w:p>
      <w:r>
        <w:br w:type="page"/>
      </w:r>
    </w:p>
    <w:p>
      <w:pPr>
        <w:keepNext/>
        <w:spacing w:before="280" w:after="120"/>
      </w:pPr>
      <w:r>
        <w:rPr>
          <w:rFonts w:ascii="Arial" w:hAnsi="Arial"/>
          <w:b/>
          <w:i w:val="0"/>
          <w:color w:val="B7251C"/>
          <w:sz w:val="30"/>
        </w:rPr>
        <w:t>5.  Source-field provenance</w:t>
      </w: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nil"/>
              <w:bottom w:val="nil"/>
              <w:left w:val="single" w:sz="36" w:color="B7251C"/>
              <w:right w:val="nil"/>
            </w:tcBorders>
            <w:tcMar>
              <w:top w:w="260" w:type="dxa"/>
              <w:bottom w:w="260" w:type="dxa"/>
              <w:left w:w="300" w:type="dxa"/>
              <w:right w:w="300" w:type="dxa"/>
            </w:tcMar>
          </w:tcPr>
          <w:p>
            <w:r>
              <w:rPr>
                <w:rFonts w:ascii="Arial" w:hAnsi="Arial"/>
                <w:b/>
                <w:i w:val="0"/>
                <w:color w:val="B7251C"/>
                <w:sz w:val="19"/>
              </w:rPr>
              <w:t>REVIEW NOTE</w:t>
            </w:r>
            <w:r>
              <w:rPr>
                <w:rFonts w:ascii="Arial" w:hAnsi="Arial"/>
                <w:b/>
                <w:i w:val="0"/>
                <w:color w:val="6B6A68"/>
                <w:sz w:val="19"/>
              </w:rPr>
              <w:t xml:space="preserve">  (R3)   </w:t>
            </w:r>
            <w:r>
              <w:rPr>
                <w:rFonts w:ascii="Arial" w:hAnsi="Arial"/>
                <w:b w:val="0"/>
                <w:i w:val="0"/>
                <w:color w:val="4A4743"/>
                <w:sz w:val="21"/>
              </w:rPr>
              <w:t>The template already traces every mapped OC4IDS path to a specific ZPPA e-GP source path. The report does not surface this. A reader of the narrative cannot see what system each field comes from. Add a source column to the phase findings table, or include a provenance annex. One row of the target format appears below.</w:t>
            </w:r>
          </w:p>
        </w:tc>
      </w:tr>
    </w:tbl>
    <w:p>
      <w:pPr>
        <w:spacing w:after="200" w:before="0"/>
      </w:pPr>
    </w:p>
    <w:tbl>
      <w:tblPr>
        <w:jc w:val="left"/>
        <w:tblLayout w:type="fixed"/>
        <w:tblLook w:firstColumn="1" w:firstRow="1" w:lastColumn="0" w:lastRow="0" w:noHBand="0" w:noVBand="1" w:val="04A0"/>
        <w:tblW w:w="9412" w:type="dxa"/>
      </w:tblPr>
      <w:tblGrid>
        <w:gridCol w:w="9412"/>
      </w:tblGrid>
      <w:tr>
        <w:tc>
          <w:tcPr>
            <w:tcW w:type="dxa" w:w="9411"/>
            <w:shd w:val="clear" w:color="auto" w:fill="FFFFFF"/>
            <w:tcBorders>
              <w:top w:val="nil"/>
              <w:bottom w:val="nil"/>
              <w:left w:val="single" w:sz="36" w:color="71B6C9"/>
              <w:right w:val="nil"/>
            </w:tcBorders>
            <w:tcMar>
              <w:top w:w="260" w:type="dxa"/>
              <w:bottom w:w="260" w:type="dxa"/>
              <w:left w:w="300" w:type="dxa"/>
              <w:right w:w="300" w:type="dxa"/>
            </w:tcMar>
          </w:tcPr>
          <w:p>
            <w:pPr>
              <w:spacing w:after="120"/>
            </w:pPr>
            <w:r>
              <w:rPr>
                <w:rFonts w:ascii="Arial" w:hAnsi="Arial"/>
                <w:b/>
                <w:i w:val="0"/>
                <w:color w:val="71B6C9"/>
                <w:sz w:val="19"/>
              </w:rPr>
              <w:t>EXAMPLE</w:t>
            </w:r>
            <w:r>
              <w:rPr>
                <w:rFonts w:ascii="Arial" w:hAnsi="Arial"/>
                <w:b w:val="0"/>
                <w:i/>
                <w:color w:val="6B6A68"/>
                <w:sz w:val="19"/>
              </w:rPr>
              <w:t xml:space="preserve">   Target format for one row of the provenance annex</w:t>
            </w:r>
          </w:p>
          <w:p>
            <w:pPr>
              <w:spacing w:before="40" w:after="120"/>
            </w:pPr>
            <w:r>
              <w:rPr>
                <w:rFonts w:ascii="Arial" w:hAnsi="Arial"/>
                <w:b w:val="0"/>
                <w:i/>
                <w:color w:val="4A4743"/>
                <w:sz w:val="21"/>
              </w:rPr>
              <w:t>One row from the full provenance table, illustrated:</w:t>
            </w:r>
          </w:p>
          <w:tbl>
            <w:tblPr>
              <w:jc w:val="left"/>
              <w:tblLayout w:type="fixed"/>
              <w:tblLook w:firstColumn="1" w:firstRow="1" w:lastColumn="0" w:lastRow="0" w:noHBand="0" w:noVBand="1" w:val="04A0"/>
              <w:tblW w:w="8731" w:type="dxa"/>
            </w:tblPr>
            <w:tblGrid>
              <w:gridCol w:w="2041"/>
              <w:gridCol w:w="2835"/>
              <w:gridCol w:w="1360"/>
              <w:gridCol w:w="2494"/>
            </w:tblGrid>
            <w:tr>
              <w:tc>
                <w:tcPr>
                  <w:tcW w:type="dxa" w:w="204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OC4IDS path</w:t>
                  </w:r>
                </w:p>
              </w:tc>
              <w:tc>
                <w:tcPr>
                  <w:tcW w:type="dxa" w:w="2835"/>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ZPPA e-GP source path</w:t>
                  </w:r>
                </w:p>
              </w:tc>
              <w:tc>
                <w:tcPr>
                  <w:tcW w:type="dxa" w:w="136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Status</w:t>
                  </w:r>
                </w:p>
              </w:tc>
              <w:tc>
                <w:tcPr>
                  <w:tcW w:type="dxa" w:w="2494"/>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Disclosure pathway</w:t>
                  </w:r>
                </w:p>
              </w:tc>
            </w:tr>
            <w:tr>
              <w:trPr>
                <w:trHeight w:val="907" w:hRule="atLeast"/>
              </w:trPr>
              <w:tc>
                <w:tcPr>
                  <w:tcW w:type="dxa" w:w="2041"/>
                  <w:tcMar>
                    <w:top w:w="180" w:type="dxa"/>
                    <w:bottom w:w="180" w:type="dxa"/>
                    <w:left w:w="240" w:type="dxa"/>
                    <w:right w:w="240" w:type="dxa"/>
                  </w:tcMar>
                  <w:vAlign w:val="top"/>
                  <w:tcBorders>
                    <w:top w:val="nil"/>
                    <w:bottom w:val="nil"/>
                    <w:left w:val="nil"/>
                    <w:right w:val="nil"/>
                  </w:tcBorders>
                  <w:shd w:val="clear" w:color="auto" w:fill="FFFFFF"/>
                </w:tcPr>
                <w:p>
                  <w:r>
                    <w:rPr>
                      <w:rFonts w:ascii="Courier New" w:hAnsi="Courier New"/>
                      <w:b w:val="0"/>
                      <w:i w:val="0"/>
                      <w:color w:val="4A4743"/>
                      <w:sz w:val="19"/>
                    </w:rPr>
                    <w:t>/publicAuthority/name</w:t>
                  </w:r>
                </w:p>
              </w:tc>
              <w:tc>
                <w:tcPr>
                  <w:tcW w:type="dxa" w:w="2835"/>
                  <w:tcMar>
                    <w:top w:w="180" w:type="dxa"/>
                    <w:bottom w:w="180" w:type="dxa"/>
                    <w:left w:w="240" w:type="dxa"/>
                    <w:right w:w="240" w:type="dxa"/>
                  </w:tcMar>
                  <w:vAlign w:val="top"/>
                  <w:tcBorders>
                    <w:top w:val="nil"/>
                    <w:bottom w:val="nil"/>
                    <w:left w:val="nil"/>
                    <w:right w:val="nil"/>
                  </w:tcBorders>
                  <w:shd w:val="clear" w:color="auto" w:fill="FFFFFF"/>
                </w:tcPr>
                <w:p>
                  <w:r>
                    <w:rPr>
                      <w:rFonts w:ascii="Courier New" w:hAnsi="Courier New"/>
                      <w:b w:val="0"/>
                      <w:i w:val="0"/>
                      <w:color w:val="4A4743"/>
                      <w:sz w:val="19"/>
                    </w:rPr>
                    <w:t>zppa_egp.project.publicAuthority.name</w:t>
                  </w:r>
                </w:p>
              </w:tc>
              <w:tc>
                <w:tcPr>
                  <w:tcW w:type="dxa" w:w="1361"/>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i w:val="0"/>
                      <w:color w:val="4EA83D"/>
                      <w:sz w:val="20"/>
                    </w:rPr>
                    <w:t>Populated</w:t>
                  </w:r>
                </w:p>
              </w:tc>
              <w:tc>
                <w:tcPr>
                  <w:tcW w:type="dxa" w:w="2494"/>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20"/>
                    </w:rPr>
                    <w:t>Ready to publish</w:t>
                  </w:r>
                </w:p>
              </w:tc>
            </w:tr>
          </w:tbl>
          <w:p/>
        </w:tc>
      </w:tr>
    </w:tbl>
    <w:p>
      <w:r>
        <w:br w:type="page"/>
      </w:r>
    </w:p>
    <w:p>
      <w:pPr>
        <w:keepNext/>
        <w:spacing w:before="280" w:after="120"/>
      </w:pPr>
      <w:r>
        <w:rPr>
          <w:rFonts w:ascii="Arial" w:hAnsi="Arial"/>
          <w:b/>
          <w:i w:val="0"/>
          <w:color w:val="B7251C"/>
          <w:sz w:val="30"/>
        </w:rPr>
        <w:t>6.  Gap typology</w:t>
      </w: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nil"/>
              <w:bottom w:val="nil"/>
              <w:left w:val="single" w:sz="36" w:color="B7251C"/>
              <w:right w:val="nil"/>
            </w:tcBorders>
            <w:tcMar>
              <w:top w:w="260" w:type="dxa"/>
              <w:bottom w:w="260" w:type="dxa"/>
              <w:left w:w="300" w:type="dxa"/>
              <w:right w:w="300" w:type="dxa"/>
            </w:tcMar>
          </w:tcPr>
          <w:p>
            <w:r>
              <w:rPr>
                <w:rFonts w:ascii="Arial" w:hAnsi="Arial"/>
                <w:b/>
                <w:i w:val="0"/>
                <w:color w:val="B7251C"/>
                <w:sz w:val="19"/>
              </w:rPr>
              <w:t>REVIEW NOTE</w:t>
            </w:r>
            <w:r>
              <w:rPr>
                <w:rFonts w:ascii="Arial" w:hAnsi="Arial"/>
                <w:b/>
                <w:i w:val="0"/>
                <w:color w:val="6B6A68"/>
                <w:sz w:val="19"/>
              </w:rPr>
              <w:t xml:space="preserve">  (R5)   </w:t>
            </w:r>
            <w:r>
              <w:rPr>
                <w:rFonts w:ascii="Arial" w:hAnsi="Arial"/>
                <w:b w:val="0"/>
                <w:i w:val="0"/>
                <w:color w:val="4A4743"/>
                <w:sz w:val="21"/>
              </w:rPr>
              <w:t>The current draft lists gaps by phase but not by cause. This matters because different causes take different fixes: 'not collected' needs a new workflow, 'collected but not disclosed' needs integration, 'restricted by law' needs regulation. The strongest implicit finding in the current draft (NCC already collects implementation data) is a 'collected but not disclosed' gap; labelling it out loud reframes the whole recommendations section.</w:t>
            </w:r>
          </w:p>
        </w:tc>
      </w:tr>
    </w:tbl>
    <w:p>
      <w:pPr>
        <w:spacing w:after="200" w:before="0"/>
      </w:pPr>
    </w:p>
    <w:tbl>
      <w:tblPr>
        <w:jc w:val="left"/>
        <w:tblLayout w:type="fixed"/>
        <w:tblLook w:firstColumn="1" w:firstRow="1" w:lastColumn="0" w:lastRow="0" w:noHBand="0" w:noVBand="1" w:val="04A0"/>
        <w:tblW w:w="9412" w:type="dxa"/>
      </w:tblPr>
      <w:tblGrid>
        <w:gridCol w:w="9412"/>
      </w:tblGrid>
      <w:tr>
        <w:tc>
          <w:tcPr>
            <w:tcW w:type="dxa" w:w="9411"/>
            <w:shd w:val="clear" w:color="auto" w:fill="FFFFFF"/>
            <w:tcBorders>
              <w:top w:val="nil"/>
              <w:bottom w:val="nil"/>
              <w:left w:val="single" w:sz="36" w:color="71B6C9"/>
              <w:right w:val="nil"/>
            </w:tcBorders>
            <w:tcMar>
              <w:top w:w="260" w:type="dxa"/>
              <w:bottom w:w="260" w:type="dxa"/>
              <w:left w:w="300" w:type="dxa"/>
              <w:right w:w="300" w:type="dxa"/>
            </w:tcMar>
          </w:tcPr>
          <w:p>
            <w:pPr>
              <w:spacing w:after="120"/>
            </w:pPr>
            <w:r>
              <w:rPr>
                <w:rFonts w:ascii="Arial" w:hAnsi="Arial"/>
                <w:b/>
                <w:i w:val="0"/>
                <w:color w:val="71B6C9"/>
                <w:sz w:val="19"/>
              </w:rPr>
              <w:t>EXAMPLE</w:t>
            </w:r>
            <w:r>
              <w:rPr>
                <w:rFonts w:ascii="Arial" w:hAnsi="Arial"/>
                <w:b w:val="0"/>
                <w:i/>
                <w:color w:val="6B6A68"/>
                <w:sz w:val="19"/>
              </w:rPr>
              <w:t xml:space="preserve">   Five-cause typology for gap classification</w:t>
            </w:r>
          </w:p>
          <w:p>
            <w:pPr>
              <w:spacing w:before="40" w:after="120"/>
            </w:pPr>
            <w:r>
              <w:rPr>
                <w:rFonts w:ascii="Arial" w:hAnsi="Arial"/>
                <w:b w:val="0"/>
                <w:i/>
                <w:color w:val="4A4743"/>
                <w:sz w:val="21"/>
              </w:rPr>
              <w:t>Classify every material gap against the five causes below. The Zambia-dominant cause is the second row, highlighted in red.</w:t>
            </w:r>
          </w:p>
          <w:tbl>
            <w:tblPr>
              <w:jc w:val="left"/>
              <w:tblLayout w:type="fixed"/>
              <w:tblLook w:firstColumn="1" w:firstRow="1" w:lastColumn="0" w:lastRow="0" w:noHBand="0" w:noVBand="1" w:val="04A0"/>
              <w:tblW w:w="8731" w:type="dxa"/>
            </w:tblPr>
            <w:tblGrid>
              <w:gridCol w:w="1927"/>
              <w:gridCol w:w="2268"/>
              <w:gridCol w:w="2268"/>
              <w:gridCol w:w="2268"/>
            </w:tblGrid>
            <w:tr>
              <w:tc>
                <w:tcPr>
                  <w:tcW w:type="dxa" w:w="192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Cause</w:t>
                  </w:r>
                </w:p>
              </w:tc>
              <w:tc>
                <w:tcPr>
                  <w:tcW w:type="dxa" w:w="226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What it means</w:t>
                  </w:r>
                </w:p>
              </w:tc>
              <w:tc>
                <w:tcPr>
                  <w:tcW w:type="dxa" w:w="226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Zambia example</w:t>
                  </w:r>
                </w:p>
              </w:tc>
              <w:tc>
                <w:tcPr>
                  <w:tcW w:type="dxa" w:w="226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What fixes it</w:t>
                  </w:r>
                </w:p>
              </w:tc>
            </w:tr>
            <w:tr>
              <w:trPr>
                <w:trHeight w:val="907" w:hRule="atLeast"/>
              </w:trPr>
              <w:tc>
                <w:tcPr>
                  <w:tcW w:type="dxa" w:w="1928"/>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Not collected</w:t>
                  </w:r>
                </w:p>
              </w:tc>
              <w:tc>
                <w:tcPr>
                  <w:tcW w:type="dxa" w:w="2268"/>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Data does not exist in any reviewed system.</w:t>
                  </w:r>
                </w:p>
              </w:tc>
              <w:tc>
                <w:tcPr>
                  <w:tcW w:type="dxa" w:w="2268"/>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Maintenance schedules.</w:t>
                  </w:r>
                </w:p>
              </w:tc>
              <w:tc>
                <w:tcPr>
                  <w:tcW w:type="dxa" w:w="2268"/>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New workflow plus budget.</w:t>
                  </w:r>
                </w:p>
              </w:tc>
            </w:tr>
            <w:tr>
              <w:trPr>
                <w:trHeight w:val="907" w:hRule="atLeast"/>
              </w:trPr>
              <w:tc>
                <w:tcPr>
                  <w:tcW w:type="dxa" w:w="1928"/>
                  <w:tcMar>
                    <w:top w:w="180" w:type="dxa"/>
                    <w:bottom w:w="180" w:type="dxa"/>
                    <w:left w:w="240" w:type="dxa"/>
                    <w:right w:w="240" w:type="dxa"/>
                  </w:tcMar>
                  <w:vAlign w:val="top"/>
                  <w:tcBorders>
                    <w:top w:val="nil"/>
                    <w:bottom w:val="nil"/>
                    <w:left w:val="nil"/>
                    <w:right w:val="nil"/>
                  </w:tcBorders>
                  <w:shd w:val="clear" w:color="auto" w:fill="F3F2F1"/>
                </w:tcPr>
                <w:p>
                  <w:r>
                    <w:rPr>
                      <w:rFonts w:ascii="Arial" w:hAnsi="Arial"/>
                      <w:b/>
                      <w:i w:val="0"/>
                      <w:color w:val="B7251C"/>
                      <w:sz w:val="19"/>
                    </w:rPr>
                    <w:t>Collected but not yet disclosed</w:t>
                  </w:r>
                </w:p>
              </w:tc>
              <w:tc>
                <w:tcPr>
                  <w:tcW w:type="dxa" w:w="2268"/>
                  <w:tcMar>
                    <w:top w:w="180" w:type="dxa"/>
                    <w:bottom w:w="180" w:type="dxa"/>
                    <w:left w:w="240" w:type="dxa"/>
                    <w:right w:w="240" w:type="dxa"/>
                  </w:tcMar>
                  <w:vAlign w:val="top"/>
                  <w:tcBorders>
                    <w:top w:val="nil"/>
                    <w:bottom w:val="nil"/>
                    <w:left w:val="nil"/>
                    <w:right w:val="nil"/>
                  </w:tcBorders>
                  <w:shd w:val="clear" w:color="auto" w:fill="F3F2F1"/>
                </w:tcPr>
                <w:p>
                  <w:r>
                    <w:rPr>
                      <w:rFonts w:ascii="Arial" w:hAnsi="Arial"/>
                      <w:b w:val="0"/>
                      <w:i w:val="0"/>
                      <w:color w:val="4A4743"/>
                      <w:sz w:val="19"/>
                    </w:rPr>
                    <w:t>Data exists inside government, often with legal disclosure authority, but does not reach the public.</w:t>
                  </w:r>
                </w:p>
              </w:tc>
              <w:tc>
                <w:tcPr>
                  <w:tcW w:type="dxa" w:w="2268"/>
                  <w:tcMar>
                    <w:top w:w="180" w:type="dxa"/>
                    <w:bottom w:w="180" w:type="dxa"/>
                    <w:left w:w="240" w:type="dxa"/>
                    <w:right w:w="240" w:type="dxa"/>
                  </w:tcMar>
                  <w:vAlign w:val="top"/>
                  <w:tcBorders>
                    <w:top w:val="nil"/>
                    <w:bottom w:val="nil"/>
                    <w:left w:val="nil"/>
                    <w:right w:val="nil"/>
                  </w:tcBorders>
                  <w:shd w:val="clear" w:color="auto" w:fill="F3F2F1"/>
                </w:tcPr>
                <w:p>
                  <w:r>
                    <w:rPr>
                      <w:rFonts w:ascii="Arial" w:hAnsi="Arial"/>
                      <w:b w:val="0"/>
                      <w:i w:val="0"/>
                      <w:color w:val="4A4743"/>
                      <w:sz w:val="19"/>
                    </w:rPr>
                    <w:t>Contract variations and payment certificates held by NCC.</w:t>
                  </w:r>
                </w:p>
              </w:tc>
              <w:tc>
                <w:tcPr>
                  <w:tcW w:type="dxa" w:w="2268"/>
                  <w:tcMar>
                    <w:top w:w="180" w:type="dxa"/>
                    <w:bottom w:w="180" w:type="dxa"/>
                    <w:left w:w="240" w:type="dxa"/>
                    <w:right w:w="240" w:type="dxa"/>
                  </w:tcMar>
                  <w:vAlign w:val="top"/>
                  <w:tcBorders>
                    <w:top w:val="nil"/>
                    <w:bottom w:val="nil"/>
                    <w:left w:val="nil"/>
                    <w:right w:val="nil"/>
                  </w:tcBorders>
                  <w:shd w:val="clear" w:color="auto" w:fill="F3F2F1"/>
                </w:tcPr>
                <w:p>
                  <w:r>
                    <w:rPr>
                      <w:rFonts w:ascii="Arial" w:hAnsi="Arial"/>
                      <w:b w:val="0"/>
                      <w:i w:val="0"/>
                      <w:color w:val="4A4743"/>
                      <w:sz w:val="19"/>
                    </w:rPr>
                    <w:t>Integration between systems. A short statutory instrument may be enough.</w:t>
                  </w:r>
                </w:p>
              </w:tc>
            </w:tr>
            <w:tr>
              <w:trPr>
                <w:trHeight w:val="907" w:hRule="atLeast"/>
              </w:trPr>
              <w:tc>
                <w:tcPr>
                  <w:tcW w:type="dxa" w:w="1928"/>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Only in unstructured documents</w:t>
                  </w:r>
                </w:p>
              </w:tc>
              <w:tc>
                <w:tcPr>
                  <w:tcW w:type="dxa" w:w="2268"/>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Data exists but sits inside PDFs or scanned forms, unfielded.</w:t>
                  </w:r>
                </w:p>
              </w:tc>
              <w:tc>
                <w:tcPr>
                  <w:tcW w:type="dxa" w:w="2268"/>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Project briefs, ESIA narratives.</w:t>
                  </w:r>
                </w:p>
              </w:tc>
              <w:tc>
                <w:tcPr>
                  <w:tcW w:type="dxa" w:w="2268"/>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Fielded metadata at upload.</w:t>
                  </w:r>
                </w:p>
              </w:tc>
            </w:tr>
            <w:tr>
              <w:trPr>
                <w:trHeight w:val="907" w:hRule="atLeast"/>
              </w:trPr>
              <w:tc>
                <w:tcPr>
                  <w:tcW w:type="dxa" w:w="1928"/>
                  <w:tcMar>
                    <w:top w:w="180" w:type="dxa"/>
                    <w:bottom w:w="180" w:type="dxa"/>
                    <w:left w:w="240" w:type="dxa"/>
                    <w:right w:w="240" w:type="dxa"/>
                  </w:tcMar>
                  <w:vAlign w:val="top"/>
                  <w:tcBorders>
                    <w:top w:val="nil"/>
                    <w:bottom w:val="nil"/>
                    <w:left w:val="nil"/>
                    <w:right w:val="nil"/>
                  </w:tcBorders>
                  <w:shd w:val="clear" w:color="auto" w:fill="F3F2F1"/>
                </w:tcPr>
                <w:p>
                  <w:r>
                    <w:rPr>
                      <w:rFonts w:ascii="Arial" w:hAnsi="Arial"/>
                      <w:b w:val="0"/>
                      <w:i w:val="0"/>
                      <w:color w:val="4A4743"/>
                      <w:sz w:val="19"/>
                    </w:rPr>
                    <w:t>Collected inconsistently</w:t>
                  </w:r>
                </w:p>
              </w:tc>
              <w:tc>
                <w:tcPr>
                  <w:tcW w:type="dxa" w:w="2268"/>
                  <w:tcMar>
                    <w:top w:w="180" w:type="dxa"/>
                    <w:bottom w:w="180" w:type="dxa"/>
                    <w:left w:w="240" w:type="dxa"/>
                    <w:right w:w="240" w:type="dxa"/>
                  </w:tcMar>
                  <w:vAlign w:val="top"/>
                  <w:tcBorders>
                    <w:top w:val="nil"/>
                    <w:bottom w:val="nil"/>
                    <w:left w:val="nil"/>
                    <w:right w:val="nil"/>
                  </w:tcBorders>
                  <w:shd w:val="clear" w:color="auto" w:fill="F3F2F1"/>
                </w:tcPr>
                <w:p>
                  <w:r>
                    <w:rPr>
                      <w:rFonts w:ascii="Arial" w:hAnsi="Arial"/>
                      <w:b w:val="0"/>
                      <w:i w:val="0"/>
                      <w:color w:val="4A4743"/>
                      <w:sz w:val="19"/>
                    </w:rPr>
                    <w:t>Captured on some projects, not others; format varies.</w:t>
                  </w:r>
                </w:p>
              </w:tc>
              <w:tc>
                <w:tcPr>
                  <w:tcW w:type="dxa" w:w="2268"/>
                  <w:tcMar>
                    <w:top w:w="180" w:type="dxa"/>
                    <w:bottom w:w="180" w:type="dxa"/>
                    <w:left w:w="240" w:type="dxa"/>
                    <w:right w:w="240" w:type="dxa"/>
                  </w:tcMar>
                  <w:vAlign w:val="top"/>
                  <w:tcBorders>
                    <w:top w:val="nil"/>
                    <w:bottom w:val="nil"/>
                    <w:left w:val="nil"/>
                    <w:right w:val="nil"/>
                  </w:tcBorders>
                  <w:shd w:val="clear" w:color="auto" w:fill="F3F2F1"/>
                </w:tcPr>
                <w:p>
                  <w:r>
                    <w:rPr>
                      <w:rFonts w:ascii="Arial" w:hAnsi="Arial"/>
                      <w:b w:val="0"/>
                      <w:i w:val="0"/>
                      <w:color w:val="4A4743"/>
                      <w:sz w:val="19"/>
                    </w:rPr>
                    <w:t>Tender-evaluation free-text fields.</w:t>
                  </w:r>
                </w:p>
              </w:tc>
              <w:tc>
                <w:tcPr>
                  <w:tcW w:type="dxa" w:w="2268"/>
                  <w:tcMar>
                    <w:top w:w="180" w:type="dxa"/>
                    <w:bottom w:w="180" w:type="dxa"/>
                    <w:left w:w="240" w:type="dxa"/>
                    <w:right w:w="240" w:type="dxa"/>
                  </w:tcMar>
                  <w:vAlign w:val="top"/>
                  <w:tcBorders>
                    <w:top w:val="nil"/>
                    <w:bottom w:val="nil"/>
                    <w:left w:val="nil"/>
                    <w:right w:val="nil"/>
                  </w:tcBorders>
                  <w:shd w:val="clear" w:color="auto" w:fill="F3F2F1"/>
                </w:tcPr>
                <w:p>
                  <w:r>
                    <w:rPr>
                      <w:rFonts w:ascii="Arial" w:hAnsi="Arial"/>
                      <w:b w:val="0"/>
                      <w:i w:val="0"/>
                      <w:color w:val="4A4743"/>
                      <w:sz w:val="19"/>
                    </w:rPr>
                    <w:t>Standardisation before publication.</w:t>
                  </w:r>
                </w:p>
              </w:tc>
            </w:tr>
            <w:tr>
              <w:trPr>
                <w:trHeight w:val="907" w:hRule="atLeast"/>
              </w:trPr>
              <w:tc>
                <w:tcPr>
                  <w:tcW w:type="dxa" w:w="1928"/>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Restricted by law or workflow</w:t>
                  </w:r>
                </w:p>
              </w:tc>
              <w:tc>
                <w:tcPr>
                  <w:tcW w:type="dxa" w:w="2268"/>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Data exists but a specific legal provision or internal policy blocks disclosure.</w:t>
                  </w:r>
                </w:p>
              </w:tc>
              <w:tc>
                <w:tcPr>
                  <w:tcW w:type="dxa" w:w="2268"/>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Beneficial ownership of contracting firms.</w:t>
                  </w:r>
                </w:p>
              </w:tc>
              <w:tc>
                <w:tcPr>
                  <w:tcW w:type="dxa" w:w="2268"/>
                  <w:tcMar>
                    <w:top w:w="180" w:type="dxa"/>
                    <w:bottom w:w="180" w:type="dxa"/>
                    <w:left w:w="240" w:type="dxa"/>
                    <w:right w:w="240" w:type="dxa"/>
                  </w:tcMar>
                  <w:vAlign w:val="top"/>
                  <w:tcBorders>
                    <w:top w:val="nil"/>
                    <w:bottom w:val="nil"/>
                    <w:left w:val="nil"/>
                    <w:right w:val="nil"/>
                  </w:tcBorders>
                  <w:shd w:val="clear" w:color="auto" w:fill="FFFFFF"/>
                </w:tcPr>
                <w:p>
                  <w:r>
                    <w:rPr>
                      <w:rFonts w:ascii="Arial" w:hAnsi="Arial"/>
                      <w:b w:val="0"/>
                      <w:i w:val="0"/>
                      <w:color w:val="4A4743"/>
                      <w:sz w:val="19"/>
                    </w:rPr>
                    <w:t>Regulation or policy change, not a technical fix.</w:t>
                  </w:r>
                </w:p>
              </w:tc>
            </w:tr>
          </w:tbl>
          <w:p/>
        </w:tc>
      </w:tr>
    </w:tbl>
    <w:p>
      <w:r>
        <w:br w:type="page"/>
      </w:r>
    </w:p>
    <w:p>
      <w:pPr>
        <w:keepNext/>
        <w:spacing w:before="280" w:after="120"/>
      </w:pPr>
      <w:r>
        <w:rPr>
          <w:rFonts w:ascii="Arial" w:hAnsi="Arial"/>
          <w:b/>
          <w:i w:val="0"/>
          <w:color w:val="B7251C"/>
          <w:sz w:val="30"/>
        </w:rPr>
        <w:t>7.  Data beyond OC4IDS</w:t>
      </w: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nil"/>
              <w:bottom w:val="nil"/>
              <w:left w:val="single" w:sz="36" w:color="B7251C"/>
              <w:right w:val="nil"/>
            </w:tcBorders>
            <w:tcMar>
              <w:top w:w="260" w:type="dxa"/>
              <w:bottom w:w="260" w:type="dxa"/>
              <w:left w:w="300" w:type="dxa"/>
              <w:right w:w="300" w:type="dxa"/>
            </w:tcMar>
          </w:tcPr>
          <w:p>
            <w:r>
              <w:rPr>
                <w:rFonts w:ascii="Arial" w:hAnsi="Arial"/>
                <w:b/>
                <w:i w:val="0"/>
                <w:color w:val="B7251C"/>
                <w:sz w:val="19"/>
              </w:rPr>
              <w:t>REVIEW NOTE</w:t>
            </w:r>
            <w:r>
              <w:rPr>
                <w:rFonts w:ascii="Arial" w:hAnsi="Arial"/>
                <w:b/>
                <w:i w:val="0"/>
                <w:color w:val="6B6A68"/>
                <w:sz w:val="19"/>
              </w:rPr>
              <w:t xml:space="preserve">  (R6)   </w:t>
            </w:r>
            <w:r>
              <w:rPr>
                <w:rFonts w:ascii="Arial" w:hAnsi="Arial"/>
                <w:b w:val="0"/>
                <w:i w:val="0"/>
                <w:color w:val="4A4743"/>
                <w:sz w:val="21"/>
              </w:rPr>
              <w:t>The current draft does not examine what the ZPPA e-GP or NCC systems publish that falls outside OC4IDS. Country-specific disclosure that could feed upstream to OCP is invisible. Preserving useful local fields as extensions (rather than dropping them) is part of a mature mapping report. Three candidate extensions identified from the template appear below.</w:t>
            </w:r>
          </w:p>
        </w:tc>
      </w:tr>
    </w:tbl>
    <w:p>
      <w:pPr>
        <w:spacing w:after="200" w:before="0"/>
      </w:pPr>
    </w:p>
    <w:tbl>
      <w:tblPr>
        <w:jc w:val="left"/>
        <w:tblLayout w:type="fixed"/>
        <w:tblLook w:firstColumn="1" w:firstRow="1" w:lastColumn="0" w:lastRow="0" w:noHBand="0" w:noVBand="1" w:val="04A0"/>
        <w:tblW w:w="9412" w:type="dxa"/>
      </w:tblPr>
      <w:tblGrid>
        <w:gridCol w:w="9412"/>
      </w:tblGrid>
      <w:tr>
        <w:tc>
          <w:tcPr>
            <w:tcW w:type="dxa" w:w="9411"/>
            <w:shd w:val="clear" w:color="auto" w:fill="FFFFFF"/>
            <w:tcBorders>
              <w:top w:val="nil"/>
              <w:bottom w:val="nil"/>
              <w:left w:val="single" w:sz="36" w:color="71B6C9"/>
              <w:right w:val="nil"/>
            </w:tcBorders>
            <w:tcMar>
              <w:top w:w="260" w:type="dxa"/>
              <w:bottom w:w="260" w:type="dxa"/>
              <w:left w:w="300" w:type="dxa"/>
              <w:right w:w="300" w:type="dxa"/>
            </w:tcMar>
          </w:tcPr>
          <w:p>
            <w:pPr>
              <w:spacing w:after="120"/>
            </w:pPr>
            <w:r>
              <w:rPr>
                <w:rFonts w:ascii="Arial" w:hAnsi="Arial"/>
                <w:b/>
                <w:i w:val="0"/>
                <w:color w:val="71B6C9"/>
                <w:sz w:val="19"/>
              </w:rPr>
              <w:t>EXAMPLE</w:t>
            </w:r>
            <w:r>
              <w:rPr>
                <w:rFonts w:ascii="Arial" w:hAnsi="Arial"/>
                <w:b w:val="0"/>
                <w:i/>
                <w:color w:val="6B6A68"/>
                <w:sz w:val="19"/>
              </w:rPr>
              <w:t xml:space="preserve">   Target content for the non-template-fields section</w:t>
            </w:r>
          </w:p>
          <w:p>
            <w:pPr>
              <w:spacing w:before="40" w:after="120"/>
            </w:pPr>
            <w:r>
              <w:rPr>
                <w:rFonts w:ascii="Arial" w:hAnsi="Arial"/>
                <w:b w:val="0"/>
                <w:i/>
                <w:color w:val="4A4743"/>
                <w:sz w:val="21"/>
              </w:rPr>
              <w:t>Country-specific fields worth preserving as OC4IDS extensions:</w:t>
            </w:r>
          </w:p>
          <w:tbl>
            <w:tblPr>
              <w:jc w:val="left"/>
              <w:tblLayout w:type="fixed"/>
              <w:tblLook w:firstColumn="1" w:firstRow="1" w:lastColumn="0" w:lastRow="0" w:noHBand="0" w:noVBand="1" w:val="04A0"/>
              <w:tblW w:w="8731" w:type="dxa"/>
            </w:tblPr>
            <w:tblGrid>
              <w:gridCol w:w="2948"/>
              <w:gridCol w:w="5783"/>
            </w:tblGrid>
            <w:tr>
              <w:tc>
                <w:tcPr>
                  <w:tcW w:type="dxa" w:w="294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Zambia-specific field</w:t>
                  </w:r>
                </w:p>
              </w:tc>
              <w:tc>
                <w:tcPr>
                  <w:tcW w:type="dxa" w:w="5783"/>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Why preserve it as an OC4IDS extension</w:t>
                  </w:r>
                </w:p>
              </w:tc>
            </w:tr>
            <w:tr>
              <w:trPr>
                <w:trHeight w:val="850" w:hRule="atLeast"/>
              </w:trPr>
              <w:tc>
                <w:tcPr>
                  <w:tcW w:type="dxa" w:w="294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20"/>
                    </w:rPr>
                    <w:t>Local project-reference scheme</w:t>
                  </w:r>
                </w:p>
              </w:tc>
              <w:tc>
                <w:tcPr>
                  <w:tcW w:type="dxa" w:w="5783"/>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A 14-character code combining sector, ministry, and year of approval. Used as internal cross-reference by the Ministry of Finance. Candidate for an extension field (zambia:projectReference).</w:t>
                  </w:r>
                </w:p>
              </w:tc>
            </w:tr>
            <w:tr>
              <w:trPr>
                <w:trHeight w:val="850" w:hRule="atLeast"/>
              </w:trPr>
              <w:tc>
                <w:tcPr>
                  <w:tcW w:type="dxa" w:w="294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20"/>
                    </w:rPr>
                    <w:t>NCC contractor grade</w:t>
                  </w:r>
                </w:p>
              </w:tc>
              <w:tc>
                <w:tcPr>
                  <w:tcW w:type="dxa" w:w="5783"/>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A capability grade (1 to 6) assigned by NCC to registered contractors. Informs cross-country comparisons of contractor capacity. Candidate for the Parties sheet (zambia:contractorGrade).</w:t>
                  </w:r>
                </w:p>
              </w:tc>
            </w:tr>
            <w:tr>
              <w:trPr>
                <w:trHeight w:val="850" w:hRule="atLeast"/>
              </w:trPr>
              <w:tc>
                <w:tcPr>
                  <w:tcW w:type="dxa" w:w="294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20"/>
                    </w:rPr>
                    <w:t>Force-account flag</w:t>
                  </w:r>
                </w:p>
              </w:tc>
              <w:tc>
                <w:tcPr>
                  <w:tcW w:type="dxa" w:w="5783"/>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A flag indicating whether implementation is by direct government labour. Currently invisible in OC4IDS. Worth proposing to OCP for inclusion in the procurement-method codelist.</w:t>
                  </w:r>
                </w:p>
              </w:tc>
            </w:tr>
          </w:tbl>
          <w:p/>
        </w:tc>
      </w:tr>
    </w:tbl>
    <w:p>
      <w:r>
        <w:br w:type="page"/>
      </w:r>
    </w:p>
    <w:p>
      <w:pPr>
        <w:keepNext/>
        <w:spacing w:before="280" w:after="120"/>
      </w:pPr>
      <w:r>
        <w:rPr>
          <w:rFonts w:ascii="Arial" w:hAnsi="Arial"/>
          <w:b/>
          <w:i w:val="0"/>
          <w:color w:val="B7251C"/>
          <w:sz w:val="30"/>
        </w:rPr>
        <w:t>8.  Priority revisions requested</w:t>
      </w: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nil"/>
              <w:bottom w:val="nil"/>
              <w:left w:val="single" w:sz="36" w:color="B7251C"/>
              <w:right w:val="nil"/>
            </w:tcBorders>
            <w:tcMar>
              <w:top w:w="260" w:type="dxa"/>
              <w:bottom w:w="260" w:type="dxa"/>
              <w:left w:w="300" w:type="dxa"/>
              <w:right w:w="300" w:type="dxa"/>
            </w:tcMar>
          </w:tcPr>
          <w:p>
            <w:r>
              <w:rPr>
                <w:rFonts w:ascii="Arial" w:hAnsi="Arial"/>
                <w:b/>
                <w:i w:val="0"/>
                <w:color w:val="B7251C"/>
                <w:sz w:val="19"/>
              </w:rPr>
              <w:t>REVIEW NOTE</w:t>
            </w:r>
            <w:r>
              <w:rPr>
                <w:rFonts w:ascii="Arial" w:hAnsi="Arial"/>
                <w:b/>
                <w:i w:val="0"/>
                <w:color w:val="6B6A68"/>
                <w:sz w:val="19"/>
              </w:rPr>
              <w:t xml:space="preserve">  (R4)   </w:t>
            </w:r>
            <w:r>
              <w:rPr>
                <w:rFonts w:ascii="Arial" w:hAnsi="Arial"/>
                <w:b w:val="0"/>
                <w:i w:val="0"/>
                <w:color w:val="4A4743"/>
                <w:sz w:val="21"/>
              </w:rPr>
              <w:t>Recommendations 6.1 to 6.6 in the current draft are directional. None names an institution, a person, or a quarter. The table below lists the ten revisions this review asks for, each with a proposed owner. Timelines are placeholders; the MSG sets them. Sections 3 through 9 above each cite one of these identifiers.</w:t>
            </w:r>
          </w:p>
        </w:tc>
      </w:tr>
    </w:tbl>
    <w:p>
      <w:pPr>
        <w:spacing w:after="200" w:before="0"/>
      </w:pPr>
    </w:p>
    <w:tbl>
      <w:tblPr>
        <w:jc w:val="left"/>
        <w:tblLayout w:type="fixed"/>
        <w:tblLook w:firstColumn="1" w:firstRow="1" w:lastColumn="0" w:lastRow="0" w:noHBand="0" w:noVBand="1" w:val="04A0"/>
        <w:tblW w:w="9412" w:type="dxa"/>
      </w:tblPr>
      <w:tblGrid>
        <w:gridCol w:w="510"/>
        <w:gridCol w:w="1020"/>
        <w:gridCol w:w="2381"/>
        <w:gridCol w:w="3458"/>
        <w:gridCol w:w="2041"/>
      </w:tblGrid>
      <w:tr>
        <w:tc>
          <w:tcPr>
            <w:tcW w:type="dxa" w:w="510"/>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9"/>
              </w:rPr>
              <w:t>Ref</w:t>
            </w:r>
          </w:p>
        </w:tc>
        <w:tc>
          <w:tcPr>
            <w:tcW w:type="dxa" w:w="1020"/>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9"/>
              </w:rPr>
              <w:t>Priority</w:t>
            </w:r>
          </w:p>
        </w:tc>
        <w:tc>
          <w:tcPr>
            <w:tcW w:type="dxa" w:w="238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9"/>
              </w:rPr>
              <w:t>Issue</w:t>
            </w:r>
          </w:p>
        </w:tc>
        <w:tc>
          <w:tcPr>
            <w:tcW w:type="dxa" w:w="3458"/>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9"/>
              </w:rPr>
              <w:t>Revision requested</w:t>
            </w:r>
          </w:p>
        </w:tc>
        <w:tc>
          <w:tcPr>
            <w:tcW w:type="dxa" w:w="204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19"/>
              </w:rPr>
              <w:t>Proposed owner</w:t>
            </w:r>
          </w:p>
        </w:tc>
      </w:tr>
      <w:tr>
        <w:trPr>
          <w:trHeight w:val="907" w:hRule="atLeast"/>
        </w:trPr>
        <w:tc>
          <w:tcPr>
            <w:tcW w:type="dxa" w:w="51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R1</w:t>
            </w:r>
          </w:p>
        </w:tc>
        <w:tc>
          <w:tcPr>
            <w:tcW w:type="dxa" w:w="1020"/>
            <w:tcMar>
              <w:top w:w="180" w:type="dxa"/>
              <w:bottom w:w="180" w:type="dxa"/>
              <w:left w:w="240" w:type="dxa"/>
              <w:right w:w="240" w:type="dxa"/>
            </w:tcMar>
            <w:vAlign w:val="top"/>
            <w:shd w:val="clear" w:color="auto" w:fill="FFFFFF"/>
            <w:tcBorders>
              <w:top w:val="nil"/>
              <w:bottom w:val="nil"/>
              <w:left w:val="nil"/>
              <w:right w:val="nil"/>
            </w:tcBorders>
            <w:shd w:val="clear" w:color="auto" w:fill="F5D5D3"/>
          </w:tcPr>
          <w:p>
            <w:r>
              <w:rPr>
                <w:rFonts w:ascii="Arial" w:hAnsi="Arial"/>
                <w:b/>
                <w:i w:val="0"/>
                <w:color w:val="B7251C"/>
                <w:sz w:val="18"/>
              </w:rPr>
              <w:t>Critical</w:t>
            </w:r>
          </w:p>
        </w:tc>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8"/>
              </w:rPr>
              <w:t>Executive summary carries no number.</w:t>
            </w:r>
          </w:p>
        </w:tc>
        <w:tc>
          <w:tcPr>
            <w:tcW w:type="dxa" w:w="345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8"/>
              </w:rPr>
              <w:t>Rewrite the opening paragraph to lead with the headline numbers and the two silent sheets.</w:t>
            </w:r>
          </w:p>
        </w:tc>
        <w:tc>
          <w:tcPr>
            <w:tcW w:type="dxa" w:w="204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8"/>
              </w:rPr>
              <w:t>Zambia Technical Team</w:t>
            </w:r>
          </w:p>
        </w:tc>
      </w:tr>
      <w:tr>
        <w:trPr>
          <w:trHeight w:val="907" w:hRule="atLeast"/>
        </w:trPr>
        <w:tc>
          <w:tcPr>
            <w:tcW w:type="dxa" w:w="510"/>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R2</w:t>
            </w:r>
          </w:p>
        </w:tc>
        <w:tc>
          <w:tcPr>
            <w:tcW w:type="dxa" w:w="1020"/>
            <w:tcMar>
              <w:top w:w="180" w:type="dxa"/>
              <w:bottom w:w="180" w:type="dxa"/>
              <w:left w:w="240" w:type="dxa"/>
              <w:right w:w="240" w:type="dxa"/>
            </w:tcMar>
            <w:vAlign w:val="top"/>
            <w:shd w:val="clear" w:color="auto" w:fill="F3F2F1"/>
            <w:tcBorders>
              <w:top w:val="nil"/>
              <w:bottom w:val="nil"/>
              <w:left w:val="nil"/>
              <w:right w:val="nil"/>
            </w:tcBorders>
            <w:shd w:val="clear" w:color="auto" w:fill="F5D5D3"/>
          </w:tcPr>
          <w:p>
            <w:r>
              <w:rPr>
                <w:rFonts w:ascii="Arial" w:hAnsi="Arial"/>
                <w:b/>
                <w:i w:val="0"/>
                <w:color w:val="B7251C"/>
                <w:sz w:val="18"/>
              </w:rPr>
              <w:t>Critical</w:t>
            </w:r>
          </w:p>
        </w:tc>
        <w:tc>
          <w:tcPr>
            <w:tcW w:type="dxa" w:w="238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8"/>
              </w:rPr>
              <w:t>Phase-level percentages not reported.</w:t>
            </w:r>
          </w:p>
        </w:tc>
        <w:tc>
          <w:tcPr>
            <w:tcW w:type="dxa" w:w="345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8"/>
              </w:rPr>
              <w:t>Add a phase coverage table to section 4: one row per phase with percentage, cause, and example.</w:t>
            </w:r>
          </w:p>
        </w:tc>
        <w:tc>
          <w:tcPr>
            <w:tcW w:type="dxa" w:w="204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8"/>
              </w:rPr>
              <w:t>Zambia Technical Team</w:t>
            </w:r>
          </w:p>
        </w:tc>
      </w:tr>
      <w:tr>
        <w:trPr>
          <w:trHeight w:val="907" w:hRule="atLeast"/>
        </w:trPr>
        <w:tc>
          <w:tcPr>
            <w:tcW w:type="dxa" w:w="51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R3</w:t>
            </w:r>
          </w:p>
        </w:tc>
        <w:tc>
          <w:tcPr>
            <w:tcW w:type="dxa" w:w="1020"/>
            <w:tcMar>
              <w:top w:w="180" w:type="dxa"/>
              <w:bottom w:w="180" w:type="dxa"/>
              <w:left w:w="240" w:type="dxa"/>
              <w:right w:w="240" w:type="dxa"/>
            </w:tcMar>
            <w:vAlign w:val="top"/>
            <w:shd w:val="clear" w:color="auto" w:fill="FFFFFF"/>
            <w:tcBorders>
              <w:top w:val="nil"/>
              <w:bottom w:val="nil"/>
              <w:left w:val="nil"/>
              <w:right w:val="nil"/>
            </w:tcBorders>
            <w:shd w:val="clear" w:color="auto" w:fill="F5D5D3"/>
          </w:tcPr>
          <w:p>
            <w:r>
              <w:rPr>
                <w:rFonts w:ascii="Arial" w:hAnsi="Arial"/>
                <w:b/>
                <w:i w:val="0"/>
                <w:color w:val="B7251C"/>
                <w:sz w:val="18"/>
              </w:rPr>
              <w:t>Critical</w:t>
            </w:r>
          </w:p>
        </w:tc>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8"/>
              </w:rPr>
              <w:t>Source-field provenance not surfaced.</w:t>
            </w:r>
          </w:p>
        </w:tc>
        <w:tc>
          <w:tcPr>
            <w:tcW w:type="dxa" w:w="345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8"/>
              </w:rPr>
              <w:t>Add a source column to the section 5 phase tables, or include a provenance annex. One row per mapped field.</w:t>
            </w:r>
          </w:p>
        </w:tc>
        <w:tc>
          <w:tcPr>
            <w:tcW w:type="dxa" w:w="204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8"/>
              </w:rPr>
              <w:t>Zambia Technical Team</w:t>
            </w:r>
          </w:p>
        </w:tc>
      </w:tr>
      <w:tr>
        <w:trPr>
          <w:trHeight w:val="907" w:hRule="atLeast"/>
        </w:trPr>
        <w:tc>
          <w:tcPr>
            <w:tcW w:type="dxa" w:w="510"/>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R4</w:t>
            </w:r>
          </w:p>
        </w:tc>
        <w:tc>
          <w:tcPr>
            <w:tcW w:type="dxa" w:w="1020"/>
            <w:tcMar>
              <w:top w:w="180" w:type="dxa"/>
              <w:bottom w:w="180" w:type="dxa"/>
              <w:left w:w="240" w:type="dxa"/>
              <w:right w:w="240" w:type="dxa"/>
            </w:tcMar>
            <w:vAlign w:val="top"/>
            <w:shd w:val="clear" w:color="auto" w:fill="F3F2F1"/>
            <w:tcBorders>
              <w:top w:val="nil"/>
              <w:bottom w:val="nil"/>
              <w:left w:val="nil"/>
              <w:right w:val="nil"/>
            </w:tcBorders>
            <w:shd w:val="clear" w:color="auto" w:fill="F5D5D3"/>
          </w:tcPr>
          <w:p>
            <w:r>
              <w:rPr>
                <w:rFonts w:ascii="Arial" w:hAnsi="Arial"/>
                <w:b/>
                <w:i w:val="0"/>
                <w:color w:val="B7251C"/>
                <w:sz w:val="18"/>
              </w:rPr>
              <w:t>Critical</w:t>
            </w:r>
          </w:p>
        </w:tc>
        <w:tc>
          <w:tcPr>
            <w:tcW w:type="dxa" w:w="238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8"/>
              </w:rPr>
              <w:t>Recommendations carry no owner or timeline.</w:t>
            </w:r>
          </w:p>
        </w:tc>
        <w:tc>
          <w:tcPr>
            <w:tcW w:type="dxa" w:w="345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8"/>
              </w:rPr>
              <w:t>Assign each recommendation to a specific institution with a proposed quarter. Cite the legal provision it operationalises.</w:t>
            </w:r>
          </w:p>
        </w:tc>
        <w:tc>
          <w:tcPr>
            <w:tcW w:type="dxa" w:w="204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8"/>
              </w:rPr>
              <w:t>CoST Zambia with NCC and ZPPA</w:t>
            </w:r>
          </w:p>
        </w:tc>
      </w:tr>
      <w:tr>
        <w:trPr>
          <w:trHeight w:val="907" w:hRule="atLeast"/>
        </w:trPr>
        <w:tc>
          <w:tcPr>
            <w:tcW w:type="dxa" w:w="51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R5</w:t>
            </w:r>
          </w:p>
        </w:tc>
        <w:tc>
          <w:tcPr>
            <w:tcW w:type="dxa" w:w="1020"/>
            <w:tcMar>
              <w:top w:w="180" w:type="dxa"/>
              <w:bottom w:w="180" w:type="dxa"/>
              <w:left w:w="240" w:type="dxa"/>
              <w:right w:w="240" w:type="dxa"/>
            </w:tcMar>
            <w:vAlign w:val="top"/>
            <w:shd w:val="clear" w:color="auto" w:fill="FFFFFF"/>
            <w:tcBorders>
              <w:top w:val="nil"/>
              <w:bottom w:val="nil"/>
              <w:left w:val="nil"/>
              <w:right w:val="nil"/>
            </w:tcBorders>
            <w:shd w:val="clear" w:color="auto" w:fill="D9EDF3"/>
          </w:tcPr>
          <w:p>
            <w:r>
              <w:rPr>
                <w:rFonts w:ascii="Arial" w:hAnsi="Arial"/>
                <w:b/>
                <w:i w:val="0"/>
                <w:color w:val="71B6C9"/>
                <w:sz w:val="18"/>
              </w:rPr>
              <w:t>High</w:t>
            </w:r>
          </w:p>
        </w:tc>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8"/>
              </w:rPr>
              <w:t>Gaps not classified by cause.</w:t>
            </w:r>
          </w:p>
        </w:tc>
        <w:tc>
          <w:tcPr>
            <w:tcW w:type="dxa" w:w="345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8"/>
              </w:rPr>
              <w:t>Apply the five-cause typology in section 6 to every material gap. Label the NCC insight as 'collected but not yet disclosed'.</w:t>
            </w:r>
          </w:p>
        </w:tc>
        <w:tc>
          <w:tcPr>
            <w:tcW w:type="dxa" w:w="204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8"/>
              </w:rPr>
              <w:t>Zambia Technical Team</w:t>
            </w:r>
          </w:p>
        </w:tc>
      </w:tr>
      <w:tr>
        <w:trPr>
          <w:trHeight w:val="907" w:hRule="atLeast"/>
        </w:trPr>
        <w:tc>
          <w:tcPr>
            <w:tcW w:type="dxa" w:w="510"/>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R6</w:t>
            </w:r>
          </w:p>
        </w:tc>
        <w:tc>
          <w:tcPr>
            <w:tcW w:type="dxa" w:w="1020"/>
            <w:tcMar>
              <w:top w:w="180" w:type="dxa"/>
              <w:bottom w:w="180" w:type="dxa"/>
              <w:left w:w="240" w:type="dxa"/>
              <w:right w:w="240" w:type="dxa"/>
            </w:tcMar>
            <w:vAlign w:val="top"/>
            <w:shd w:val="clear" w:color="auto" w:fill="F3F2F1"/>
            <w:tcBorders>
              <w:top w:val="nil"/>
              <w:bottom w:val="nil"/>
              <w:left w:val="nil"/>
              <w:right w:val="nil"/>
            </w:tcBorders>
            <w:shd w:val="clear" w:color="auto" w:fill="D9EDF3"/>
          </w:tcPr>
          <w:p>
            <w:r>
              <w:rPr>
                <w:rFonts w:ascii="Arial" w:hAnsi="Arial"/>
                <w:b/>
                <w:i w:val="0"/>
                <w:color w:val="71B6C9"/>
                <w:sz w:val="18"/>
              </w:rPr>
              <w:t>High</w:t>
            </w:r>
          </w:p>
        </w:tc>
        <w:tc>
          <w:tcPr>
            <w:tcW w:type="dxa" w:w="238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8"/>
              </w:rPr>
              <w:t>Data beyond OC4IDS not examined.</w:t>
            </w:r>
          </w:p>
        </w:tc>
        <w:tc>
          <w:tcPr>
            <w:tcW w:type="dxa" w:w="345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8"/>
              </w:rPr>
              <w:t>Add a short section listing non-OC4IDS fields the country publishes. Recommend which to preserve as extensions.</w:t>
            </w:r>
          </w:p>
        </w:tc>
        <w:tc>
          <w:tcPr>
            <w:tcW w:type="dxa" w:w="204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8"/>
              </w:rPr>
              <w:t>Zambia Technical Team with CoST IS</w:t>
            </w:r>
          </w:p>
        </w:tc>
      </w:tr>
      <w:tr>
        <w:trPr>
          <w:trHeight w:val="907" w:hRule="atLeast"/>
        </w:trPr>
        <w:tc>
          <w:tcPr>
            <w:tcW w:type="dxa" w:w="51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R7</w:t>
            </w:r>
          </w:p>
        </w:tc>
        <w:tc>
          <w:tcPr>
            <w:tcW w:type="dxa" w:w="1020"/>
            <w:tcMar>
              <w:top w:w="180" w:type="dxa"/>
              <w:bottom w:w="180" w:type="dxa"/>
              <w:left w:w="240" w:type="dxa"/>
              <w:right w:w="240" w:type="dxa"/>
            </w:tcMar>
            <w:vAlign w:val="top"/>
            <w:shd w:val="clear" w:color="auto" w:fill="FFFFFF"/>
            <w:tcBorders>
              <w:top w:val="nil"/>
              <w:bottom w:val="nil"/>
              <w:left w:val="nil"/>
              <w:right w:val="nil"/>
            </w:tcBorders>
            <w:shd w:val="clear" w:color="auto" w:fill="D9EDF3"/>
          </w:tcPr>
          <w:p>
            <w:r>
              <w:rPr>
                <w:rFonts w:ascii="Arial" w:hAnsi="Arial"/>
                <w:b/>
                <w:i w:val="0"/>
                <w:color w:val="71B6C9"/>
                <w:sz w:val="18"/>
              </w:rPr>
              <w:t>High</w:t>
            </w:r>
          </w:p>
        </w:tc>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8"/>
              </w:rPr>
              <w:t>Conclusion does not classify what can be published now.</w:t>
            </w:r>
          </w:p>
        </w:tc>
        <w:tc>
          <w:tcPr>
            <w:tcW w:type="dxa" w:w="345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8"/>
              </w:rPr>
              <w:t>Add a decision summary at the end: ready to publish, small format fixes, needs system work, needs policy action.</w:t>
            </w:r>
          </w:p>
        </w:tc>
        <w:tc>
          <w:tcPr>
            <w:tcW w:type="dxa" w:w="204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8"/>
              </w:rPr>
              <w:t>Zambia Technical Team</w:t>
            </w:r>
          </w:p>
        </w:tc>
      </w:tr>
      <w:tr>
        <w:trPr>
          <w:trHeight w:val="907" w:hRule="atLeast"/>
        </w:trPr>
        <w:tc>
          <w:tcPr>
            <w:tcW w:type="dxa" w:w="510"/>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R8</w:t>
            </w:r>
          </w:p>
        </w:tc>
        <w:tc>
          <w:tcPr>
            <w:tcW w:type="dxa" w:w="1020"/>
            <w:tcMar>
              <w:top w:w="180" w:type="dxa"/>
              <w:bottom w:w="180" w:type="dxa"/>
              <w:left w:w="240" w:type="dxa"/>
              <w:right w:w="240" w:type="dxa"/>
            </w:tcMar>
            <w:vAlign w:val="top"/>
            <w:shd w:val="clear" w:color="auto" w:fill="F3F2F1"/>
            <w:tcBorders>
              <w:top w:val="nil"/>
              <w:bottom w:val="nil"/>
              <w:left w:val="nil"/>
              <w:right w:val="nil"/>
            </w:tcBorders>
            <w:shd w:val="clear" w:color="auto" w:fill="FDF3D7"/>
          </w:tcPr>
          <w:p>
            <w:r>
              <w:rPr>
                <w:rFonts w:ascii="Arial" w:hAnsi="Arial"/>
                <w:b/>
                <w:i w:val="0"/>
                <w:color w:val="D4A017"/>
                <w:sz w:val="18"/>
              </w:rPr>
              <w:t>Medium</w:t>
            </w:r>
          </w:p>
        </w:tc>
        <w:tc>
          <w:tcPr>
            <w:tcW w:type="dxa" w:w="238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8"/>
              </w:rPr>
              <w:t>Portal URL and access dates missing from the body.</w:t>
            </w:r>
          </w:p>
        </w:tc>
        <w:tc>
          <w:tcPr>
            <w:tcW w:type="dxa" w:w="345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8"/>
              </w:rPr>
              <w:t>Add the ZPPA e-GP URL and the dates accessed to section 3.1.</w:t>
            </w:r>
          </w:p>
        </w:tc>
        <w:tc>
          <w:tcPr>
            <w:tcW w:type="dxa" w:w="204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8"/>
              </w:rPr>
              <w:t>Zambia Technical Team</w:t>
            </w:r>
          </w:p>
        </w:tc>
      </w:tr>
      <w:tr>
        <w:trPr>
          <w:trHeight w:val="907" w:hRule="atLeast"/>
        </w:trPr>
        <w:tc>
          <w:tcPr>
            <w:tcW w:type="dxa" w:w="510"/>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9"/>
              </w:rPr>
              <w:t>R9</w:t>
            </w:r>
          </w:p>
        </w:tc>
        <w:tc>
          <w:tcPr>
            <w:tcW w:type="dxa" w:w="1020"/>
            <w:tcMar>
              <w:top w:w="180" w:type="dxa"/>
              <w:bottom w:w="180" w:type="dxa"/>
              <w:left w:w="240" w:type="dxa"/>
              <w:right w:w="240" w:type="dxa"/>
            </w:tcMar>
            <w:vAlign w:val="top"/>
            <w:shd w:val="clear" w:color="auto" w:fill="FFFFFF"/>
            <w:tcBorders>
              <w:top w:val="nil"/>
              <w:bottom w:val="nil"/>
              <w:left w:val="nil"/>
              <w:right w:val="nil"/>
            </w:tcBorders>
            <w:shd w:val="clear" w:color="auto" w:fill="FDF3D7"/>
          </w:tcPr>
          <w:p>
            <w:r>
              <w:rPr>
                <w:rFonts w:ascii="Arial" w:hAnsi="Arial"/>
                <w:b/>
                <w:i w:val="0"/>
                <w:color w:val="D4A017"/>
                <w:sz w:val="18"/>
              </w:rPr>
              <w:t>Medium</w:t>
            </w:r>
          </w:p>
        </w:tc>
        <w:tc>
          <w:tcPr>
            <w:tcW w:type="dxa" w:w="238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18"/>
              </w:rPr>
              <w:t>Sample not quantified.</w:t>
            </w:r>
          </w:p>
        </w:tc>
        <w:tc>
          <w:tcPr>
            <w:tcW w:type="dxa" w:w="3458"/>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8"/>
              </w:rPr>
              <w:t>State count, aggregate value, sectors, time window, and selection method in section 3.</w:t>
            </w:r>
          </w:p>
        </w:tc>
        <w:tc>
          <w:tcPr>
            <w:tcW w:type="dxa" w:w="204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18"/>
              </w:rPr>
              <w:t>Zambia Technical Team</w:t>
            </w:r>
          </w:p>
        </w:tc>
      </w:tr>
      <w:tr>
        <w:trPr>
          <w:trHeight w:val="907" w:hRule="atLeast"/>
        </w:trPr>
        <w:tc>
          <w:tcPr>
            <w:tcW w:type="dxa" w:w="510"/>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9"/>
              </w:rPr>
              <w:t>R10</w:t>
            </w:r>
          </w:p>
        </w:tc>
        <w:tc>
          <w:tcPr>
            <w:tcW w:type="dxa" w:w="1020"/>
            <w:tcMar>
              <w:top w:w="180" w:type="dxa"/>
              <w:bottom w:w="180" w:type="dxa"/>
              <w:left w:w="240" w:type="dxa"/>
              <w:right w:w="240" w:type="dxa"/>
            </w:tcMar>
            <w:vAlign w:val="top"/>
            <w:shd w:val="clear" w:color="auto" w:fill="F3F2F1"/>
            <w:tcBorders>
              <w:top w:val="nil"/>
              <w:bottom w:val="nil"/>
              <w:left w:val="nil"/>
              <w:right w:val="nil"/>
            </w:tcBorders>
            <w:shd w:val="clear" w:color="auto" w:fill="E8F5E9"/>
          </w:tcPr>
          <w:p>
            <w:r>
              <w:rPr>
                <w:rFonts w:ascii="Arial" w:hAnsi="Arial"/>
                <w:b/>
                <w:i w:val="0"/>
                <w:color w:val="4EA83D"/>
                <w:sz w:val="18"/>
              </w:rPr>
              <w:t>Low</w:t>
            </w:r>
          </w:p>
        </w:tc>
        <w:tc>
          <w:tcPr>
            <w:tcW w:type="dxa" w:w="238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18"/>
              </w:rPr>
              <w:t>Unmapped template rows lack reasons.</w:t>
            </w:r>
          </w:p>
        </w:tc>
        <w:tc>
          <w:tcPr>
            <w:tcW w:type="dxa" w:w="3458"/>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8"/>
              </w:rPr>
              <w:t>Before resubmission, add a short Notes entry to every unmapped row in the OC4IDS sheets.</w:t>
            </w:r>
          </w:p>
        </w:tc>
        <w:tc>
          <w:tcPr>
            <w:tcW w:type="dxa" w:w="204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18"/>
              </w:rPr>
              <w:t>Zambia Technical Team</w:t>
            </w:r>
          </w:p>
        </w:tc>
      </w:tr>
    </w:tbl>
    <w:p>
      <w:r>
        <w:br w:type="page"/>
      </w:r>
    </w:p>
    <w:p>
      <w:pPr>
        <w:keepNext/>
        <w:spacing w:before="280" w:after="120"/>
      </w:pPr>
      <w:r>
        <w:rPr>
          <w:rFonts w:ascii="Arial" w:hAnsi="Arial"/>
          <w:b/>
          <w:i w:val="0"/>
          <w:color w:val="B7251C"/>
          <w:sz w:val="30"/>
        </w:rPr>
        <w:t>9.  Decision summary</w:t>
      </w: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nil"/>
              <w:bottom w:val="nil"/>
              <w:left w:val="single" w:sz="36" w:color="B7251C"/>
              <w:right w:val="nil"/>
            </w:tcBorders>
            <w:tcMar>
              <w:top w:w="260" w:type="dxa"/>
              <w:bottom w:w="260" w:type="dxa"/>
              <w:left w:w="300" w:type="dxa"/>
              <w:right w:w="300" w:type="dxa"/>
            </w:tcMar>
          </w:tcPr>
          <w:p>
            <w:r>
              <w:rPr>
                <w:rFonts w:ascii="Arial" w:hAnsi="Arial"/>
                <w:b/>
                <w:i w:val="0"/>
                <w:color w:val="B7251C"/>
                <w:sz w:val="19"/>
              </w:rPr>
              <w:t>REVIEW NOTE</w:t>
            </w:r>
            <w:r>
              <w:rPr>
                <w:rFonts w:ascii="Arial" w:hAnsi="Arial"/>
                <w:b/>
                <w:i w:val="0"/>
                <w:color w:val="6B6A68"/>
                <w:sz w:val="19"/>
              </w:rPr>
              <w:t xml:space="preserve">  (R7)   </w:t>
            </w:r>
            <w:r>
              <w:rPr>
                <w:rFonts w:ascii="Arial" w:hAnsi="Arial"/>
                <w:b w:val="0"/>
                <w:i w:val="0"/>
                <w:color w:val="4A4743"/>
                <w:sz w:val="21"/>
              </w:rPr>
              <w:t>The current section 8.2 lists who holds data at each stage but does not separate fields that can be published today from those requiring new workflows or new law. This is the single table the report's primary audience (MSG members, permanent secretaries) will read first. Build it from the four buckets below.</w:t>
            </w:r>
          </w:p>
        </w:tc>
      </w:tr>
    </w:tbl>
    <w:p>
      <w:pPr>
        <w:spacing w:after="200" w:before="0"/>
      </w:pPr>
    </w:p>
    <w:p>
      <w:pPr>
        <w:spacing w:before="80" w:after="200"/>
        <w:jc w:val="center"/>
      </w:pPr>
      <w:r>
        <w:drawing>
          <wp:inline xmlns:a="http://schemas.openxmlformats.org/drawingml/2006/main" xmlns:pic="http://schemas.openxmlformats.org/drawingml/2006/picture">
            <wp:extent cx="5760000" cy="3063386"/>
            <wp:docPr id="5" name="Picture 5"/>
            <wp:cNvGraphicFramePr>
              <a:graphicFrameLocks noChangeAspect="1"/>
            </wp:cNvGraphicFramePr>
            <a:graphic>
              <a:graphicData uri="http://schemas.openxmlformats.org/drawingml/2006/picture">
                <pic:pic>
                  <pic:nvPicPr>
                    <pic:cNvPr id="0" name="03-decision-buckets.png"/>
                    <pic:cNvPicPr/>
                  </pic:nvPicPr>
                  <pic:blipFill>
                    <a:blip r:embed="rId15"/>
                    <a:stretch>
                      <a:fillRect/>
                    </a:stretch>
                  </pic:blipFill>
                  <pic:spPr>
                    <a:xfrm>
                      <a:off x="0" y="0"/>
                      <a:ext cx="5760000" cy="3063386"/>
                    </a:xfrm>
                    <a:prstGeom prst="rect"/>
                  </pic:spPr>
                </pic:pic>
              </a:graphicData>
            </a:graphic>
          </wp:inline>
        </w:drawing>
      </w:r>
    </w:p>
    <w:tbl>
      <w:tblPr>
        <w:jc w:val="left"/>
        <w:tblLayout w:type="fixed"/>
        <w:tblLook w:firstColumn="1" w:firstRow="1" w:lastColumn="0" w:lastRow="0" w:noHBand="0" w:noVBand="1" w:val="04A0"/>
        <w:tblW w:w="9412" w:type="dxa"/>
      </w:tblPr>
      <w:tblGrid>
        <w:gridCol w:w="9412"/>
      </w:tblGrid>
      <w:tr>
        <w:tc>
          <w:tcPr>
            <w:tcW w:type="dxa" w:w="9411"/>
            <w:shd w:val="clear" w:color="auto" w:fill="FFFFFF"/>
            <w:tcBorders>
              <w:top w:val="nil"/>
              <w:bottom w:val="nil"/>
              <w:left w:val="single" w:sz="36" w:color="71B6C9"/>
              <w:right w:val="nil"/>
            </w:tcBorders>
            <w:tcMar>
              <w:top w:w="260" w:type="dxa"/>
              <w:bottom w:w="260" w:type="dxa"/>
              <w:left w:w="300" w:type="dxa"/>
              <w:right w:w="300" w:type="dxa"/>
            </w:tcMar>
          </w:tcPr>
          <w:p>
            <w:pPr>
              <w:spacing w:after="120"/>
            </w:pPr>
            <w:r>
              <w:rPr>
                <w:rFonts w:ascii="Arial" w:hAnsi="Arial"/>
                <w:b/>
                <w:i w:val="0"/>
                <w:color w:val="71B6C9"/>
                <w:sz w:val="19"/>
              </w:rPr>
              <w:t>EXAMPLE</w:t>
            </w:r>
            <w:r>
              <w:rPr>
                <w:rFonts w:ascii="Arial" w:hAnsi="Arial"/>
                <w:b w:val="0"/>
                <w:i/>
                <w:color w:val="6B6A68"/>
                <w:sz w:val="19"/>
              </w:rPr>
              <w:t xml:space="preserve">   Target format for the decision summary panel</w:t>
            </w:r>
          </w:p>
          <w:p>
            <w:pPr>
              <w:spacing w:before="40" w:after="120"/>
            </w:pPr>
            <w:r>
              <w:rPr>
                <w:rFonts w:ascii="Arial" w:hAnsi="Arial"/>
                <w:b w:val="0"/>
                <w:i/>
                <w:color w:val="4A4743"/>
                <w:sz w:val="21"/>
              </w:rPr>
              <w:t>Classify every publishable element into one of the four pathways below.</w:t>
            </w:r>
          </w:p>
          <w:tbl>
            <w:tblPr>
              <w:jc w:val="left"/>
              <w:tblLayout w:type="fixed"/>
              <w:tblLook w:firstColumn="1" w:firstRow="1" w:lastColumn="0" w:lastRow="0" w:noHBand="0" w:noVBand="1" w:val="04A0"/>
              <w:tblW w:w="8731" w:type="dxa"/>
            </w:tblPr>
            <w:tblGrid>
              <w:gridCol w:w="2268"/>
              <w:gridCol w:w="3288"/>
              <w:gridCol w:w="3175"/>
            </w:tblGrid>
            <w:tr>
              <w:trPr>
                <w:trHeight w:val="1020" w:hRule="atLeast"/>
              </w:trPr>
              <w:tc>
                <w:tcPr>
                  <w:tcW w:type="dxa" w:w="2268"/>
                  <w:tcBorders>
                    <w:top w:val="nil"/>
                    <w:bottom w:val="nil"/>
                    <w:left w:val="single" w:sz="40" w:color="4EA83D"/>
                    <w:right w:val="nil"/>
                  </w:tcBorders>
                  <w:shd w:val="clear" w:color="auto" w:fill="F3F2F1"/>
                  <w:tcMar>
                    <w:top w:w="220" w:type="dxa"/>
                    <w:bottom w:w="220" w:type="dxa"/>
                    <w:left w:w="260" w:type="dxa"/>
                    <w:right w:w="260" w:type="dxa"/>
                  </w:tcMar>
                </w:tcPr>
                <w:p>
                  <w:r>
                    <w:rPr>
                      <w:rFonts w:ascii="Arial" w:hAnsi="Arial"/>
                      <w:b/>
                      <w:i w:val="0"/>
                      <w:color w:val="4EA83D"/>
                      <w:sz w:val="22"/>
                    </w:rPr>
                    <w:t>Ready to publish</w:t>
                  </w:r>
                </w:p>
              </w:tc>
              <w:tc>
                <w:tcPr>
                  <w:tcW w:type="dxa" w:w="3288"/>
                  <w:shd w:val="clear" w:color="auto" w:fill="F3F2F1"/>
                  <w:tcMar>
                    <w:top w:w="220" w:type="dxa"/>
                    <w:bottom w:w="220" w:type="dxa"/>
                    <w:left w:w="260" w:type="dxa"/>
                    <w:right w:w="260" w:type="dxa"/>
                  </w:tcMar>
                </w:tcPr>
                <w:p>
                  <w:r>
                    <w:rPr>
                      <w:rFonts w:ascii="Arial" w:hAnsi="Arial"/>
                      <w:b w:val="0"/>
                      <w:i w:val="0"/>
                      <w:color w:val="4A4743"/>
                      <w:sz w:val="20"/>
                    </w:rPr>
                    <w:t>Fields already held with clean source paths and clear legal authority.</w:t>
                  </w:r>
                </w:p>
              </w:tc>
              <w:tc>
                <w:tcPr>
                  <w:tcW w:type="dxa" w:w="3175"/>
                  <w:shd w:val="clear" w:color="auto" w:fill="F3F2F1"/>
                  <w:tcMar>
                    <w:top w:w="220" w:type="dxa"/>
                    <w:bottom w:w="220" w:type="dxa"/>
                    <w:left w:w="260" w:type="dxa"/>
                    <w:right w:w="260" w:type="dxa"/>
                  </w:tcMar>
                </w:tcPr>
                <w:p>
                  <w:r>
                    <w:rPr>
                      <w:rFonts w:ascii="Arial" w:hAnsi="Arial"/>
                      <w:b w:val="0"/>
                      <w:i w:val="0"/>
                      <w:color w:val="4A4743"/>
                      <w:sz w:val="20"/>
                    </w:rPr>
                    <w:t>Approximately 35 fields. Project IDs, titles, sectors, procurement method, tender values.</w:t>
                  </w:r>
                </w:p>
              </w:tc>
            </w:tr>
            <w:tr>
              <w:trPr>
                <w:trHeight w:val="1020" w:hRule="atLeast"/>
              </w:trPr>
              <w:tc>
                <w:tcPr>
                  <w:tcW w:type="dxa" w:w="2268"/>
                  <w:tcBorders>
                    <w:top w:val="nil"/>
                    <w:bottom w:val="nil"/>
                    <w:left w:val="single" w:sz="40" w:color="71B6C9"/>
                    <w:right w:val="nil"/>
                  </w:tcBorders>
                  <w:shd w:val="clear" w:color="auto" w:fill="F3F2F1"/>
                  <w:tcMar>
                    <w:top w:w="220" w:type="dxa"/>
                    <w:bottom w:w="220" w:type="dxa"/>
                    <w:left w:w="260" w:type="dxa"/>
                    <w:right w:w="260" w:type="dxa"/>
                  </w:tcMar>
                </w:tcPr>
                <w:p>
                  <w:r>
                    <w:rPr>
                      <w:rFonts w:ascii="Arial" w:hAnsi="Arial"/>
                      <w:b/>
                      <w:i w:val="0"/>
                      <w:color w:val="71B6C9"/>
                      <w:sz w:val="22"/>
                    </w:rPr>
                    <w:t>Small format fixes</w:t>
                  </w:r>
                </w:p>
              </w:tc>
              <w:tc>
                <w:tcPr>
                  <w:tcW w:type="dxa" w:w="3288"/>
                  <w:shd w:val="clear" w:color="auto" w:fill="F3F2F1"/>
                  <w:tcMar>
                    <w:top w:w="220" w:type="dxa"/>
                    <w:bottom w:w="220" w:type="dxa"/>
                    <w:left w:w="260" w:type="dxa"/>
                    <w:right w:w="260" w:type="dxa"/>
                  </w:tcMar>
                </w:tcPr>
                <w:p>
                  <w:r>
                    <w:rPr>
                      <w:rFonts w:ascii="Arial" w:hAnsi="Arial"/>
                      <w:b w:val="0"/>
                      <w:i w:val="0"/>
                      <w:color w:val="4A4743"/>
                      <w:sz w:val="20"/>
                    </w:rPr>
                    <w:t>Fields present but needing date-format conversion, codelist alignment, or free-text standardisation.</w:t>
                  </w:r>
                </w:p>
              </w:tc>
              <w:tc>
                <w:tcPr>
                  <w:tcW w:type="dxa" w:w="3175"/>
                  <w:shd w:val="clear" w:color="auto" w:fill="F3F2F1"/>
                  <w:tcMar>
                    <w:top w:w="220" w:type="dxa"/>
                    <w:bottom w:w="220" w:type="dxa"/>
                    <w:left w:w="260" w:type="dxa"/>
                    <w:right w:w="260" w:type="dxa"/>
                  </w:tcMar>
                </w:tcPr>
                <w:p>
                  <w:r>
                    <w:rPr>
                      <w:rFonts w:ascii="Arial" w:hAnsi="Arial"/>
                      <w:b w:val="0"/>
                      <w:i w:val="0"/>
                      <w:color w:val="4A4743"/>
                      <w:sz w:val="20"/>
                    </w:rPr>
                    <w:t>Approximately 20 fields. Descriptions, sector codes, date harmonisation.</w:t>
                  </w:r>
                </w:p>
              </w:tc>
            </w:tr>
            <w:tr>
              <w:trPr>
                <w:trHeight w:val="1020" w:hRule="atLeast"/>
              </w:trPr>
              <w:tc>
                <w:tcPr>
                  <w:tcW w:type="dxa" w:w="2268"/>
                  <w:tcBorders>
                    <w:top w:val="nil"/>
                    <w:bottom w:val="nil"/>
                    <w:left w:val="single" w:sz="40" w:color="F1C03D"/>
                    <w:right w:val="nil"/>
                  </w:tcBorders>
                  <w:shd w:val="clear" w:color="auto" w:fill="F3F2F1"/>
                  <w:tcMar>
                    <w:top w:w="220" w:type="dxa"/>
                    <w:bottom w:w="220" w:type="dxa"/>
                    <w:left w:w="260" w:type="dxa"/>
                    <w:right w:w="260" w:type="dxa"/>
                  </w:tcMar>
                </w:tcPr>
                <w:p>
                  <w:r>
                    <w:rPr>
                      <w:rFonts w:ascii="Arial" w:hAnsi="Arial"/>
                      <w:b/>
                      <w:i w:val="0"/>
                      <w:color w:val="F1C03D"/>
                      <w:sz w:val="22"/>
                    </w:rPr>
                    <w:t>Needs system work</w:t>
                  </w:r>
                </w:p>
              </w:tc>
              <w:tc>
                <w:tcPr>
                  <w:tcW w:type="dxa" w:w="3288"/>
                  <w:shd w:val="clear" w:color="auto" w:fill="F3F2F1"/>
                  <w:tcMar>
                    <w:top w:w="220" w:type="dxa"/>
                    <w:bottom w:w="220" w:type="dxa"/>
                    <w:left w:w="260" w:type="dxa"/>
                    <w:right w:w="260" w:type="dxa"/>
                  </w:tcMar>
                </w:tcPr>
                <w:p>
                  <w:r>
                    <w:rPr>
                      <w:rFonts w:ascii="Arial" w:hAnsi="Arial"/>
                      <w:b w:val="0"/>
                      <w:i w:val="0"/>
                      <w:color w:val="4A4743"/>
                      <w:sz w:val="20"/>
                    </w:rPr>
                    <w:t>Fields NCC already collects under NCC Act s.53 but that need an integration layer to reach the public.</w:t>
                  </w:r>
                </w:p>
              </w:tc>
              <w:tc>
                <w:tcPr>
                  <w:tcW w:type="dxa" w:w="3175"/>
                  <w:shd w:val="clear" w:color="auto" w:fill="F3F2F1"/>
                  <w:tcMar>
                    <w:top w:w="220" w:type="dxa"/>
                    <w:bottom w:w="220" w:type="dxa"/>
                    <w:left w:w="260" w:type="dxa"/>
                    <w:right w:w="260" w:type="dxa"/>
                  </w:tcMar>
                </w:tcPr>
                <w:p>
                  <w:r>
                    <w:rPr>
                      <w:rFonts w:ascii="Arial" w:hAnsi="Arial"/>
                      <w:b w:val="0"/>
                      <w:i w:val="0"/>
                      <w:color w:val="4A4743"/>
                      <w:sz w:val="20"/>
                    </w:rPr>
                    <w:t>Approximately 73 fields. Contract variations, progress, quality and safety, payments, final costs.</w:t>
                  </w:r>
                </w:p>
              </w:tc>
            </w:tr>
            <w:tr>
              <w:trPr>
                <w:trHeight w:val="1020" w:hRule="atLeast"/>
              </w:trPr>
              <w:tc>
                <w:tcPr>
                  <w:tcW w:type="dxa" w:w="2268"/>
                  <w:tcBorders>
                    <w:top w:val="nil"/>
                    <w:bottom w:val="nil"/>
                    <w:left w:val="single" w:sz="40" w:color="B7251C"/>
                    <w:right w:val="nil"/>
                  </w:tcBorders>
                  <w:shd w:val="clear" w:color="auto" w:fill="F3F2F1"/>
                  <w:tcMar>
                    <w:top w:w="220" w:type="dxa"/>
                    <w:bottom w:w="220" w:type="dxa"/>
                    <w:left w:w="260" w:type="dxa"/>
                    <w:right w:w="260" w:type="dxa"/>
                  </w:tcMar>
                </w:tcPr>
                <w:p>
                  <w:r>
                    <w:rPr>
                      <w:rFonts w:ascii="Arial" w:hAnsi="Arial"/>
                      <w:b/>
                      <w:i w:val="0"/>
                      <w:color w:val="B7251C"/>
                      <w:sz w:val="22"/>
                    </w:rPr>
                    <w:t>Needs policy action</w:t>
                  </w:r>
                </w:p>
              </w:tc>
              <w:tc>
                <w:tcPr>
                  <w:tcW w:type="dxa" w:w="3288"/>
                  <w:shd w:val="clear" w:color="auto" w:fill="F3F2F1"/>
                  <w:tcMar>
                    <w:top w:w="220" w:type="dxa"/>
                    <w:bottom w:w="220" w:type="dxa"/>
                    <w:left w:w="260" w:type="dxa"/>
                    <w:right w:w="260" w:type="dxa"/>
                  </w:tcMar>
                </w:tcPr>
                <w:p>
                  <w:r>
                    <w:rPr>
                      <w:rFonts w:ascii="Arial" w:hAnsi="Arial"/>
                      <w:b w:val="0"/>
                      <w:i w:val="0"/>
                      <w:color w:val="4A4743"/>
                      <w:sz w:val="20"/>
                    </w:rPr>
                    <w:t>Fields blocked by absence of a regulation, statutory instrument, or internal approval workflow.</w:t>
                  </w:r>
                </w:p>
              </w:tc>
              <w:tc>
                <w:tcPr>
                  <w:tcW w:type="dxa" w:w="3175"/>
                  <w:shd w:val="clear" w:color="auto" w:fill="F3F2F1"/>
                  <w:tcMar>
                    <w:top w:w="220" w:type="dxa"/>
                    <w:bottom w:w="220" w:type="dxa"/>
                    <w:left w:w="260" w:type="dxa"/>
                    <w:right w:w="260" w:type="dxa"/>
                  </w:tcMar>
                </w:tcPr>
                <w:p>
                  <w:r>
                    <w:rPr>
                      <w:rFonts w:ascii="Arial" w:hAnsi="Arial"/>
                      <w:b w:val="0"/>
                      <w:i w:val="0"/>
                      <w:color w:val="4A4743"/>
                      <w:sz w:val="20"/>
                    </w:rPr>
                    <w:t>Approximately 25 fields. Beneficial ownership; maintenance and decommissioning capture.</w:t>
                  </w:r>
                </w:p>
              </w:tc>
            </w:tr>
          </w:tbl>
          <w:p/>
        </w:tc>
      </w:tr>
    </w:tbl>
    <w:p>
      <w:r>
        <w:br w:type="page"/>
      </w:r>
    </w:p>
    <w:p>
      <w:pPr>
        <w:keepNext/>
        <w:spacing w:before="280" w:after="120"/>
      </w:pPr>
      <w:r>
        <w:rPr>
          <w:rFonts w:ascii="Arial" w:hAnsi="Arial"/>
          <w:b/>
          <w:i w:val="0"/>
          <w:color w:val="B7251C"/>
          <w:sz w:val="30"/>
        </w:rPr>
        <w:t>10.  The law already permits most of what is missing</w:t>
      </w:r>
    </w:p>
    <w:p>
      <w:pPr>
        <w:spacing w:after="200" w:before="0"/>
      </w:pPr>
      <w:r>
        <w:rPr>
          <w:rFonts w:ascii="Arial" w:hAnsi="Arial"/>
          <w:b w:val="0"/>
          <w:i w:val="0"/>
          <w:color w:val="4A4743"/>
          <w:sz w:val="21"/>
        </w:rPr>
        <w:t>This is the point Annex 8.1 of the current draft already makes. It is worth pulling forward into the body of the report:</w:t>
      </w:r>
    </w:p>
    <w:tbl>
      <w:tblPr>
        <w:jc w:val="left"/>
        <w:tblLayout w:type="fixed"/>
        <w:tblLook w:firstColumn="1" w:firstRow="1" w:lastColumn="0" w:lastRow="0" w:noHBand="0" w:noVBand="1" w:val="04A0"/>
        <w:tblW w:w="9412" w:type="dxa"/>
      </w:tblPr>
      <w:tblGrid>
        <w:gridCol w:w="3175"/>
        <w:gridCol w:w="3685"/>
        <w:gridCol w:w="2551"/>
      </w:tblGrid>
      <w:tr>
        <w:tc>
          <w:tcPr>
            <w:tcW w:type="dxa" w:w="3175"/>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Legal authority</w:t>
            </w:r>
          </w:p>
        </w:tc>
        <w:tc>
          <w:tcPr>
            <w:tcW w:type="dxa" w:w="3685"/>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What it authorises</w:t>
            </w:r>
          </w:p>
        </w:tc>
        <w:tc>
          <w:tcPr>
            <w:tcW w:type="dxa" w:w="2551"/>
            <w:tcMar>
              <w:top w:w="220" w:type="dxa"/>
              <w:bottom w:w="220" w:type="dxa"/>
              <w:left w:w="240" w:type="dxa"/>
              <w:right w:w="240" w:type="dxa"/>
            </w:tcMar>
            <w:vAlign w:val="top"/>
            <w:shd w:val="clear" w:color="auto" w:fill="C00000"/>
            <w:tcBorders>
              <w:top w:val="single" w:sz="4" w:color="C00000"/>
              <w:bottom w:val="single" w:sz="4" w:color="C00000"/>
              <w:left w:val="single" w:sz="4" w:color="C00000"/>
              <w:right w:val="single" w:sz="4" w:color="C00000"/>
            </w:tcBorders>
            <w:tcMar>
              <w:top w:w="220" w:type="dxa"/>
              <w:bottom w:w="220" w:type="dxa"/>
              <w:left w:w="240" w:type="dxa"/>
              <w:right w:w="240" w:type="dxa"/>
            </w:tcMar>
          </w:tcPr>
          <w:p>
            <w:r>
              <w:rPr>
                <w:rFonts w:ascii="Arial" w:hAnsi="Arial"/>
                <w:b/>
                <w:i w:val="0"/>
                <w:color w:val="FFFFFF"/>
                <w:sz w:val="20"/>
              </w:rPr>
              <w:t>Relevance to OC4IDS publication</w:t>
            </w:r>
          </w:p>
        </w:tc>
      </w:tr>
      <w:tr>
        <w:trPr>
          <w:trHeight w:val="907" w:hRule="atLeast"/>
        </w:trPr>
        <w:tc>
          <w:tcPr>
            <w:tcW w:type="dxa" w:w="317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20"/>
              </w:rPr>
              <w:t>Access to Information Act 2023, s.8</w:t>
            </w:r>
          </w:p>
        </w:tc>
        <w:tc>
          <w:tcPr>
            <w:tcW w:type="dxa" w:w="368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Proactive publication by every information holder of contracts signed, suppliers, amounts, and periods for completion.</w:t>
            </w:r>
          </w:p>
        </w:tc>
        <w:tc>
          <w:tcPr>
            <w:tcW w:type="dxa" w:w="255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Broad: covers most procurement-stage and contract-stage fields.</w:t>
            </w:r>
          </w:p>
        </w:tc>
      </w:tr>
      <w:tr>
        <w:trPr>
          <w:trHeight w:val="907" w:hRule="atLeast"/>
        </w:trPr>
        <w:tc>
          <w:tcPr>
            <w:tcW w:type="dxa" w:w="3175"/>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i w:val="0"/>
                <w:color w:val="4A4743"/>
                <w:sz w:val="20"/>
              </w:rPr>
              <w:t>NCC Act 2020, s.53</w:t>
            </w:r>
          </w:p>
        </w:tc>
        <w:tc>
          <w:tcPr>
            <w:tcW w:type="dxa" w:w="3685"/>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Regular project monitoring and evaluation by the National Council for Construction, with the right to request records and to share information across authorities.</w:t>
            </w:r>
          </w:p>
        </w:tc>
        <w:tc>
          <w:tcPr>
            <w:tcW w:type="dxa" w:w="2551"/>
            <w:tcMar>
              <w:top w:w="180" w:type="dxa"/>
              <w:bottom w:w="180" w:type="dxa"/>
              <w:left w:w="240" w:type="dxa"/>
              <w:right w:w="240" w:type="dxa"/>
            </w:tcMar>
            <w:vAlign w:val="top"/>
            <w:shd w:val="clear" w:color="auto" w:fill="F3F2F1"/>
            <w:tcBorders>
              <w:top w:val="nil"/>
              <w:bottom w:val="nil"/>
              <w:left w:val="nil"/>
              <w:right w:val="nil"/>
            </w:tcBorders>
          </w:tcPr>
          <w:p>
            <w:r>
              <w:rPr>
                <w:rFonts w:ascii="Arial" w:hAnsi="Arial"/>
                <w:b w:val="0"/>
                <w:i w:val="0"/>
                <w:color w:val="4A4743"/>
                <w:sz w:val="20"/>
              </w:rPr>
              <w:t>Depth: covers implementation-stage fields that ZPPA does not currently publish.</w:t>
            </w:r>
          </w:p>
        </w:tc>
      </w:tr>
      <w:tr>
        <w:trPr>
          <w:trHeight w:val="907" w:hRule="atLeast"/>
        </w:trPr>
        <w:tc>
          <w:tcPr>
            <w:tcW w:type="dxa" w:w="317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i w:val="0"/>
                <w:color w:val="4A4743"/>
                <w:sz w:val="20"/>
              </w:rPr>
              <w:t>ZPPA Act 2020, s.67 and s.70</w:t>
            </w:r>
          </w:p>
        </w:tc>
        <w:tc>
          <w:tcPr>
            <w:tcW w:type="dxa" w:w="3685"/>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Transparency of procurement records subject to confidentiality provisions.</w:t>
            </w:r>
          </w:p>
        </w:tc>
        <w:tc>
          <w:tcPr>
            <w:tcW w:type="dxa" w:w="2551"/>
            <w:tcMar>
              <w:top w:w="180" w:type="dxa"/>
              <w:bottom w:w="180" w:type="dxa"/>
              <w:left w:w="240" w:type="dxa"/>
              <w:right w:w="240" w:type="dxa"/>
            </w:tcMar>
            <w:vAlign w:val="top"/>
            <w:shd w:val="clear" w:color="auto" w:fill="FFFFFF"/>
            <w:tcBorders>
              <w:top w:val="nil"/>
              <w:bottom w:val="nil"/>
              <w:left w:val="nil"/>
              <w:right w:val="nil"/>
            </w:tcBorders>
          </w:tcPr>
          <w:p>
            <w:r>
              <w:rPr>
                <w:rFonts w:ascii="Arial" w:hAnsi="Arial"/>
                <w:b w:val="0"/>
                <w:i w:val="0"/>
                <w:color w:val="4A4743"/>
                <w:sz w:val="20"/>
              </w:rPr>
              <w:t>Procurement-specific: supports the fields the e-GP system publishes today.</w:t>
            </w:r>
          </w:p>
        </w:tc>
      </w:tr>
    </w:tbl>
    <w:p>
      <w:pPr>
        <w:spacing w:after="240" w:before="0"/>
      </w:pPr>
    </w:p>
    <w:tbl>
      <w:tblPr>
        <w:jc w:val="left"/>
        <w:tblLayout w:type="fixed"/>
        <w:tblLook w:firstColumn="1" w:firstRow="1" w:lastColumn="0" w:lastRow="0" w:noHBand="0" w:noVBand="1" w:val="04A0"/>
        <w:tblW w:w="9412" w:type="dxa"/>
      </w:tblPr>
      <w:tblGrid>
        <w:gridCol w:w="9412"/>
      </w:tblGrid>
      <w:tr>
        <w:tc>
          <w:tcPr>
            <w:tcW w:type="dxa" w:w="9411"/>
            <w:shd w:val="clear" w:color="auto" w:fill="F3F2F1"/>
            <w:tcBorders>
              <w:top w:val="nil"/>
              <w:bottom w:val="nil"/>
              <w:left w:val="single" w:sz="32" w:color="71B6C9"/>
              <w:right w:val="nil"/>
            </w:tcBorders>
            <w:tcMar>
              <w:top w:w="260" w:type="dxa"/>
              <w:bottom w:w="260" w:type="dxa"/>
              <w:left w:w="300" w:type="dxa"/>
              <w:right w:w="300" w:type="dxa"/>
            </w:tcMar>
          </w:tcPr>
          <w:p>
            <w:r>
              <w:rPr>
                <w:rFonts w:ascii="Arial" w:hAnsi="Arial"/>
                <w:b/>
                <w:i w:val="0"/>
                <w:color w:val="71B6C9"/>
                <w:sz w:val="20"/>
              </w:rPr>
              <w:t xml:space="preserve">IMPLICATION   </w:t>
            </w:r>
            <w:r>
              <w:rPr>
                <w:rFonts w:ascii="Arial" w:hAnsi="Arial"/>
                <w:b w:val="0"/>
                <w:i w:val="0"/>
                <w:color w:val="4A4743"/>
                <w:sz w:val="21"/>
              </w:rPr>
              <w:t>Publishing most of the missing implementation data does not require new law. It requires an integration layer between ZPPA and NCC, and a short statutory instrument clarifying that the two systems share publication-relevant records. The revision should make this case in the recommendations section.</w:t>
            </w:r>
          </w:p>
        </w:tc>
      </w:tr>
    </w:tbl>
    <w:p>
      <w:r>
        <w:br w:type="page"/>
      </w:r>
    </w:p>
    <w:p>
      <w:pPr>
        <w:keepNext/>
        <w:spacing w:before="280" w:after="120"/>
      </w:pPr>
      <w:r>
        <w:rPr>
          <w:rFonts w:ascii="Arial" w:hAnsi="Arial"/>
          <w:b/>
          <w:i w:val="0"/>
          <w:color w:val="B7251C"/>
          <w:sz w:val="30"/>
        </w:rPr>
        <w:t>11.  Next step</w:t>
      </w:r>
    </w:p>
    <w:p>
      <w:pPr>
        <w:spacing w:after="200" w:before="0"/>
      </w:pPr>
      <w:r>
        <w:rPr>
          <w:rFonts w:ascii="Arial" w:hAnsi="Arial"/>
          <w:b w:val="0"/>
          <w:i w:val="0"/>
          <w:color w:val="4A4743"/>
          <w:sz w:val="21"/>
        </w:rPr>
        <w:t>This review is a working document between CoST IS and the Zambia Technical Team. The covering note proposes a short call to walk through the ten revisions and agree a resubmission schedule with the MSG.</w:t>
      </w:r>
    </w:p>
    <w:p>
      <w:pPr>
        <w:spacing w:after="120" w:before="0"/>
      </w:pPr>
      <w:r>
        <w:rPr>
          <w:rFonts w:ascii="Arial" w:hAnsi="Arial"/>
          <w:b w:val="0"/>
          <w:i w:val="0"/>
          <w:color w:val="4A4743"/>
          <w:sz w:val="21"/>
        </w:rPr>
        <w:t>One companion document accompanies this review:</w:t>
      </w:r>
    </w:p>
    <w:p>
      <w:pPr>
        <w:spacing w:after="280" w:before="0"/>
      </w:pPr>
      <w:r>
        <w:rPr>
          <w:rFonts w:ascii="Arial" w:hAnsi="Arial"/>
          <w:b w:val="0"/>
          <w:i w:val="0"/>
          <w:color w:val="4A4743"/>
          <w:sz w:val="21"/>
        </w:rPr>
        <w:t>•   02-sample-final-report.docx. A fully-worked model report for Zambia at the target standard. The structure, numbers, legal analysis, and recommendation logic are set at the level a CoST IS reviewer would accept on publication. Every stakeholder name is shown in square brackets as a placeholder; confirm all assignments through the MSG before the report is finalised. The Zambia team can adapt it directly.</w:t>
      </w:r>
    </w:p>
    <w:p>
      <w:pPr>
        <w:spacing w:after="0" w:before="0"/>
      </w:pPr>
      <w:r>
        <w:rPr>
          <w:rFonts w:ascii="Arial" w:hAnsi="Arial"/>
          <w:b w:val="0"/>
          <w:i/>
          <w:color w:val="9C9B99"/>
          <w:sz w:val="18"/>
        </w:rPr>
        <w:t>Source: Zambia OC4IDS field-level mapping template v0.9.5, accessed 2026-04-23. Zambia OC4IDS field-level mapping report (draft), 3 March 2026.</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drawing>
        <wp:inline xmlns:a="http://schemas.openxmlformats.org/drawingml/2006/main" xmlns:pic="http://schemas.openxmlformats.org/drawingml/2006/picture">
          <wp:extent cx="6120000" cy="145714"/>
          <wp:docPr id="1" name="Picture 1"/>
          <wp:cNvGraphicFramePr>
            <a:graphicFrameLocks noChangeAspect="1"/>
          </wp:cNvGraphicFramePr>
          <a:graphic>
            <a:graphicData uri="http://schemas.openxmlformats.org/drawingml/2006/picture">
              <pic:pic>
                <pic:nvPicPr>
                  <pic:cNvPr id="0" name="cost-stripe-real.png"/>
                  <pic:cNvPicPr/>
                </pic:nvPicPr>
                <pic:blipFill>
                  <a:blip r:embed="rId1"/>
                  <a:stretch>
                    <a:fillRect/>
                  </a:stretch>
                </pic:blipFill>
                <pic:spPr>
                  <a:xfrm>
                    <a:off x="0" y="0"/>
                    <a:ext cx="6120000" cy="145714"/>
                  </a:xfrm>
                  <a:prstGeom prst="rect"/>
                </pic:spPr>
              </pic:pic>
            </a:graphicData>
          </a:graphic>
        </wp:inline>
      </w:drawing>
    </w:r>
  </w:p>
  <w:p>
    <w:pPr>
      <w:spacing w:before="80"/>
      <w:jc w:val="right"/>
    </w:pPr>
    <w:r>
      <w:rPr>
        <w:rFonts w:ascii="Arial" w:hAnsi="Arial"/>
        <w:color w:val="9C9B99"/>
        <w:sz w:val="17"/>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512000" cy="375241"/>
          <wp:docPr id="1" name="Picture 1"/>
          <wp:cNvGraphicFramePr>
            <a:graphicFrameLocks noChangeAspect="1"/>
          </wp:cNvGraphicFramePr>
          <a:graphic>
            <a:graphicData uri="http://schemas.openxmlformats.org/drawingml/2006/picture">
              <pic:pic>
                <pic:nvPicPr>
                  <pic:cNvPr id="0" name="cost-logo-real.jpeg"/>
                  <pic:cNvPicPr/>
                </pic:nvPicPr>
                <pic:blipFill>
                  <a:blip r:embed="rId1"/>
                  <a:stretch>
                    <a:fillRect/>
                  </a:stretch>
                </pic:blipFill>
                <pic:spPr>
                  <a:xfrm>
                    <a:off x="0" y="0"/>
                    <a:ext cx="1512000" cy="37524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A47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