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color w:val="B7251C"/>
          <w:sz w:val="22"/>
        </w:rPr>
        <w:t>CoST IS REVIEW</w:t>
      </w:r>
    </w:p>
    <w:p>
      <w:pPr>
        <w:spacing w:after="80" w:before="0"/>
      </w:pPr>
      <w:r>
        <w:rPr>
          <w:rFonts w:ascii="Arial" w:hAnsi="Arial"/>
          <w:b/>
          <w:i w:val="0"/>
          <w:color w:val="4A4743"/>
          <w:sz w:val="44"/>
        </w:rPr>
        <w:t>OC4IDS Field-Level Mapping Report</w:t>
      </w:r>
    </w:p>
    <w:p>
      <w:pPr>
        <w:spacing w:after="200" w:before="0"/>
      </w:pPr>
      <w:r>
        <w:rPr>
          <w:rFonts w:ascii="Arial" w:hAnsi="Arial"/>
          <w:b w:val="0"/>
          <w:i w:val="0"/>
          <w:color w:val="6B6A68"/>
          <w:sz w:val="26"/>
        </w:rPr>
        <w:t>Zambia: ZPPA, NCC, CoST Zambia   •   Draft of 3 March 2026</w:t>
      </w:r>
    </w:p>
    <w:tbl>
      <w:tblPr>
        <w:jc w:val="left"/>
        <w:tblLayout w:type="fixed"/>
        <w:tblLook w:firstColumn="1" w:firstRow="1" w:lastColumn="0" w:lastRow="0" w:noHBand="0" w:noVBand="1" w:val="04A0"/>
        <w:tblW w:w="11340" w:type="dxa"/>
      </w:tblPr>
      <w:tblGrid>
        <w:gridCol w:w="14798"/>
      </w:tblGrid>
      <w:tr>
        <w:tc>
          <w:tcPr>
            <w:tcW w:type="dxa" w:w="14798"/>
            <w:tcBorders>
              <w:top w:val="nil"/>
              <w:bottom w:val="single" w:sz="24" w:color="B7251C"/>
              <w:left w:val="nil"/>
              <w:right w:val="nil"/>
            </w:tcBorders>
          </w:tcPr>
          <w:p>
            <w:pPr>
              <w:spacing w:after="0"/>
            </w:pPr>
            <w:r/>
          </w:p>
        </w:tc>
      </w:tr>
    </w:tbl>
    <w:p>
      <w:pPr>
        <w:spacing w:after="120" w:before="0"/>
      </w:pPr>
    </w:p>
    <w:tbl>
      <w:tblPr>
        <w:jc w:val="left"/>
        <w:tblLayout w:type="fixed"/>
        <w:tblLook w:firstColumn="1" w:firstRow="1" w:lastColumn="0" w:lastRow="0" w:noHBand="0" w:noVBand="1" w:val="04A0"/>
        <w:tblW w:w="14798" w:type="dxa"/>
      </w:tblPr>
      <w:tblGrid>
        <w:gridCol w:w="3118"/>
        <w:gridCol w:w="11623"/>
      </w:tblGrid>
      <w:tr>
        <w:tc>
          <w:tcPr>
            <w:tcW w:type="dxa" w:w="3118"/>
            <w:tcBorders>
              <w:top w:val="nil"/>
              <w:bottom w:val="nil"/>
              <w:left w:val="nil"/>
              <w:right w:val="nil"/>
            </w:tcBorders>
          </w:tcPr>
          <w:p>
            <w:r>
              <w:rPr>
                <w:rFonts w:ascii="Arial" w:hAnsi="Arial"/>
                <w:b/>
                <w:i w:val="0"/>
                <w:color w:val="6B6A68"/>
                <w:sz w:val="20"/>
              </w:rPr>
              <w:t>Reviewed by:</w:t>
            </w:r>
          </w:p>
        </w:tc>
        <w:tc>
          <w:tcPr>
            <w:tcW w:type="dxa" w:w="11622"/>
            <w:tcBorders>
              <w:top w:val="nil"/>
              <w:bottom w:val="nil"/>
              <w:left w:val="nil"/>
              <w:right w:val="nil"/>
            </w:tcBorders>
          </w:tcPr>
          <w:p>
            <w:r>
              <w:rPr>
                <w:rFonts w:ascii="Arial" w:hAnsi="Arial"/>
                <w:b w:val="0"/>
                <w:i w:val="0"/>
                <w:color w:val="4A4743"/>
                <w:sz w:val="21"/>
              </w:rPr>
              <w:t>CoST International Secretariat. This review applies CoST IS's OC4IDS mapping review methodology.</w:t>
            </w:r>
          </w:p>
        </w:tc>
      </w:tr>
      <w:tr>
        <w:tc>
          <w:tcPr>
            <w:tcW w:type="dxa" w:w="3118"/>
            <w:tcBorders>
              <w:top w:val="nil"/>
              <w:bottom w:val="nil"/>
              <w:left w:val="nil"/>
              <w:right w:val="nil"/>
            </w:tcBorders>
          </w:tcPr>
          <w:p>
            <w:r>
              <w:rPr>
                <w:rFonts w:ascii="Arial" w:hAnsi="Arial"/>
                <w:b/>
                <w:i w:val="0"/>
                <w:color w:val="6B6A68"/>
                <w:sz w:val="20"/>
              </w:rPr>
              <w:t>Review date:</w:t>
            </w:r>
          </w:p>
        </w:tc>
        <w:tc>
          <w:tcPr>
            <w:tcW w:type="dxa" w:w="11622"/>
            <w:tcBorders>
              <w:top w:val="nil"/>
              <w:bottom w:val="nil"/>
              <w:left w:val="nil"/>
              <w:right w:val="nil"/>
            </w:tcBorders>
          </w:tcPr>
          <w:p>
            <w:r>
              <w:rPr>
                <w:rFonts w:ascii="Arial" w:hAnsi="Arial"/>
                <w:b w:val="0"/>
                <w:i w:val="0"/>
                <w:color w:val="4A4743"/>
                <w:sz w:val="21"/>
              </w:rPr>
              <w:t>23 April 2026.</w:t>
            </w:r>
          </w:p>
        </w:tc>
      </w:tr>
      <w:tr>
        <w:tc>
          <w:tcPr>
            <w:tcW w:type="dxa" w:w="3118"/>
            <w:tcBorders>
              <w:top w:val="nil"/>
              <w:bottom w:val="nil"/>
              <w:left w:val="nil"/>
              <w:right w:val="nil"/>
            </w:tcBorders>
          </w:tcPr>
          <w:p>
            <w:r>
              <w:rPr>
                <w:rFonts w:ascii="Arial" w:hAnsi="Arial"/>
                <w:b/>
                <w:i w:val="0"/>
                <w:color w:val="6B6A68"/>
                <w:sz w:val="20"/>
              </w:rPr>
              <w:t>Companion document:</w:t>
            </w:r>
          </w:p>
        </w:tc>
        <w:tc>
          <w:tcPr>
            <w:tcW w:type="dxa" w:w="11622"/>
            <w:tcBorders>
              <w:top w:val="nil"/>
              <w:bottom w:val="nil"/>
              <w:left w:val="nil"/>
              <w:right w:val="nil"/>
            </w:tcBorders>
          </w:tcPr>
          <w:p>
            <w:r>
              <w:rPr>
                <w:rFonts w:ascii="Arial" w:hAnsi="Arial"/>
                <w:b w:val="0"/>
                <w:i w:val="0"/>
                <w:color w:val="4A4743"/>
                <w:sz w:val="21"/>
              </w:rPr>
              <w:t>02-structural-reference.docx, a short illustrative extract showing one way a revised report could be structured.</w:t>
            </w:r>
          </w:p>
        </w:tc>
      </w:tr>
    </w:tbl>
    <w:p>
      <w:pPr>
        <w:spacing w:after="240" w:before="0"/>
      </w:pPr>
    </w:p>
    <w:tbl>
      <w:tblPr>
        <w:jc w:val="left"/>
        <w:tblLayout w:type="fixed"/>
        <w:tblLook w:firstColumn="1" w:firstRow="1" w:lastColumn="0" w:lastRow="0" w:noHBand="0" w:noVBand="1" w:val="04A0"/>
        <w:tblW w:w="14798" w:type="dxa"/>
      </w:tblPr>
      <w:tblGrid>
        <w:gridCol w:w="14798"/>
      </w:tblGrid>
      <w:tr>
        <w:tc>
          <w:tcPr>
            <w:tcW w:type="dxa" w:w="14797"/>
            <w:shd w:val="clear" w:color="auto" w:fill="F3F2F1"/>
            <w:tcBorders>
              <w:top w:val="single" w:sz="24" w:color="B7251C"/>
              <w:bottom w:val="single" w:sz="24" w:color="B7251C"/>
              <w:left w:val="nil"/>
              <w:right w:val="nil"/>
            </w:tcBorders>
          </w:tcPr>
          <w:p>
            <w:r>
              <w:rPr>
                <w:rFonts w:ascii="Arial" w:hAnsi="Arial"/>
                <w:b/>
                <w:i w:val="0"/>
                <w:color w:val="B7251C"/>
                <w:sz w:val="20"/>
              </w:rPr>
              <w:t xml:space="preserve">VERDICT   </w:t>
            </w:r>
            <w:r>
              <w:rPr>
                <w:rFonts w:ascii="Arial" w:hAnsi="Arial"/>
                <w:b w:val="0"/>
                <w:i w:val="0"/>
                <w:color w:val="4A4743"/>
                <w:sz w:val="21"/>
              </w:rPr>
              <w:t xml:space="preserve">The Zambia mapping template is substantively strong: 73 OC4IDS fields mapped, every mapped field backed by a real source path, and 47 of 48 source elements traced forward into OC4IDS. </w:t>
            </w:r>
            <w:r>
              <w:rPr>
                <w:rFonts w:ascii="Arial" w:hAnsi="Arial"/>
                <w:b/>
                <w:i w:val="0"/>
                <w:color w:val="4A4743"/>
                <w:sz w:val="21"/>
              </w:rPr>
              <w:t xml:space="preserve">The narrative report does not yet reflect the strength of the underlying work. </w:t>
            </w:r>
            <w:r>
              <w:rPr>
                <w:rFonts w:ascii="Arial" w:hAnsi="Arial"/>
                <w:b w:val="0"/>
                <w:i w:val="0"/>
                <w:color w:val="4A4743"/>
                <w:sz w:val="21"/>
              </w:rPr>
              <w:t>The executive summary leads with adjectives rather than numbers, the lifecycle findings are described but not quantified, and most recommendations have no named owner. The legal framework analysis in Annex 8.1 is publication-quality and should anchor the report's front page, not sit at the back.</w:t>
            </w:r>
          </w:p>
        </w:tc>
      </w:tr>
    </w:tbl>
    <w:p>
      <w:pPr>
        <w:spacing w:after="280" w:before="0"/>
      </w:pPr>
    </w:p>
    <w:p>
      <w:r>
        <w:rPr>
          <w:rFonts w:ascii="Arial" w:hAnsi="Arial"/>
          <w:b/>
          <w:i w:val="0"/>
          <w:color w:val="4A4743"/>
          <w:sz w:val="26"/>
        </w:rPr>
        <w:t>1.  What is working</w:t>
      </w:r>
    </w:p>
    <w:tbl>
      <w:tblPr>
        <w:jc w:val="left"/>
        <w:tblLayout w:type="fixed"/>
        <w:tblLook w:firstColumn="1" w:firstRow="1" w:lastColumn="0" w:lastRow="0" w:noHBand="0" w:noVBand="1" w:val="04A0"/>
        <w:tblW w:w="4536" w:type="dxa"/>
      </w:tblPr>
      <w:tblGrid>
        <w:gridCol w:w="14798"/>
      </w:tblGrid>
      <w:tr>
        <w:tc>
          <w:tcPr>
            <w:tcW w:type="dxa" w:w="14798"/>
            <w:tcBorders>
              <w:top w:val="nil"/>
              <w:bottom w:val="single" w:sz="24" w:color="4EA83D"/>
              <w:left w:val="nil"/>
              <w:right w:val="nil"/>
            </w:tcBorders>
          </w:tcPr>
          <w:p>
            <w:pPr>
              <w:spacing w:after="0"/>
            </w:pPr>
            <w:r/>
          </w:p>
        </w:tc>
      </w:tr>
    </w:tbl>
    <w:p>
      <w:pPr>
        <w:spacing w:after="80" w:before="0"/>
      </w:pPr>
    </w:p>
    <w:p>
      <w:pPr>
        <w:spacing w:after="160" w:before="0"/>
      </w:pPr>
      <w:r>
        <w:rPr>
          <w:rFonts w:ascii="Arial" w:hAnsi="Arial"/>
          <w:b w:val="0"/>
          <w:i w:val="0"/>
          <w:color w:val="4A4743"/>
          <w:sz w:val="21"/>
        </w:rPr>
        <w:t>These elements of the current draft are already at the level a reader needs. Keep them on revision.</w:t>
      </w:r>
    </w:p>
    <w:p>
      <w:pPr>
        <w:spacing w:after="120"/>
      </w:pPr>
      <w:r>
        <w:rPr>
          <w:rFonts w:ascii="Arial" w:hAnsi="Arial"/>
          <w:b/>
          <w:i w:val="0"/>
          <w:color w:val="4EA83D"/>
          <w:sz w:val="21"/>
        </w:rPr>
        <w:t xml:space="preserve">+  </w:t>
      </w:r>
      <w:r>
        <w:rPr>
          <w:rFonts w:ascii="Arial" w:hAnsi="Arial"/>
          <w:b/>
          <w:i w:val="0"/>
          <w:color w:val="4A4743"/>
          <w:sz w:val="21"/>
        </w:rPr>
        <w:t xml:space="preserve">Legal framework analysis in Annex 8.1.  </w:t>
      </w:r>
      <w:r>
        <w:rPr>
          <w:rFonts w:ascii="Arial" w:hAnsi="Arial"/>
          <w:b w:val="0"/>
          <w:i w:val="0"/>
          <w:color w:val="4A4743"/>
          <w:sz w:val="21"/>
        </w:rPr>
        <w:t>The citations to the Access to Information Act 2023 (s.6, s.8, s.9, s.17), the ZPPA Act 2020 (s.67, s.70), and the NCC Act 2020 (s.5, s.31, s.33, s.53) are precise and directly tied to disclosure obligations. This is the report's strongest asset. Move the substance forward into the executive summary; keep the full text in the annex.</w:t>
      </w:r>
    </w:p>
    <w:p>
      <w:pPr>
        <w:spacing w:after="120"/>
      </w:pPr>
      <w:r>
        <w:rPr>
          <w:rFonts w:ascii="Arial" w:hAnsi="Arial"/>
          <w:b/>
          <w:i w:val="0"/>
          <w:color w:val="4EA83D"/>
          <w:sz w:val="21"/>
        </w:rPr>
        <w:t xml:space="preserve">+  </w:t>
      </w:r>
      <w:r>
        <w:rPr>
          <w:rFonts w:ascii="Arial" w:hAnsi="Arial"/>
          <w:b/>
          <w:i w:val="0"/>
          <w:color w:val="4A4743"/>
          <w:sz w:val="21"/>
        </w:rPr>
        <w:t xml:space="preserve">The NCC insight.  </w:t>
      </w:r>
      <w:r>
        <w:rPr>
          <w:rFonts w:ascii="Arial" w:hAnsi="Arial"/>
          <w:b w:val="0"/>
          <w:i w:val="0"/>
          <w:color w:val="4A4743"/>
          <w:sz w:val="21"/>
        </w:rPr>
        <w:t>The observation in section 4.1 that most implementation-stage data is already collected by NCC under its statutory monitoring mandate is the single most actionable finding in the report. It reframes the question from 'how do we collect this data?' to 'how do we integrate and disclose what is already collected?' Make this the headline of the recommendations section.</w:t>
      </w:r>
    </w:p>
    <w:p>
      <w:pPr>
        <w:spacing w:after="120"/>
      </w:pPr>
      <w:r>
        <w:rPr>
          <w:rFonts w:ascii="Arial" w:hAnsi="Arial"/>
          <w:b/>
          <w:i w:val="0"/>
          <w:color w:val="4EA83D"/>
          <w:sz w:val="21"/>
        </w:rPr>
        <w:t xml:space="preserve">+  </w:t>
      </w:r>
      <w:r>
        <w:rPr>
          <w:rFonts w:ascii="Arial" w:hAnsi="Arial"/>
          <w:b/>
          <w:i w:val="0"/>
          <w:color w:val="4A4743"/>
          <w:sz w:val="21"/>
        </w:rPr>
        <w:t xml:space="preserve">Source element forward-mapping.  </w:t>
      </w:r>
      <w:r>
        <w:rPr>
          <w:rFonts w:ascii="Arial" w:hAnsi="Arial"/>
          <w:b w:val="0"/>
          <w:i w:val="0"/>
          <w:color w:val="4A4743"/>
          <w:sz w:val="21"/>
        </w:rPr>
        <w:t>The template maps 47 of the 48 source data elements from the ZPPA e-GP system into OC4IDS paths. That coverage is excellent. Report the number in the methodology section.</w:t>
      </w:r>
    </w:p>
    <w:p>
      <w:pPr>
        <w:spacing w:after="120"/>
      </w:pPr>
      <w:r>
        <w:rPr>
          <w:rFonts w:ascii="Arial" w:hAnsi="Arial"/>
          <w:b/>
          <w:i w:val="0"/>
          <w:color w:val="4EA83D"/>
          <w:sz w:val="21"/>
        </w:rPr>
        <w:t xml:space="preserve">+  </w:t>
      </w:r>
      <w:r>
        <w:rPr>
          <w:rFonts w:ascii="Arial" w:hAnsi="Arial"/>
          <w:b/>
          <w:i w:val="0"/>
          <w:color w:val="4A4743"/>
          <w:sz w:val="21"/>
        </w:rPr>
        <w:t xml:space="preserve">Lifecycle framework in section 8.2.  </w:t>
      </w:r>
      <w:r>
        <w:rPr>
          <w:rFonts w:ascii="Arial" w:hAnsi="Arial"/>
          <w:b w:val="0"/>
          <w:i w:val="0"/>
          <w:color w:val="4A4743"/>
          <w:sz w:val="21"/>
        </w:rPr>
        <w:t>The five-row data-source-by-stage table is a foundation for the decision summary this review asks for (section 2, revision R4 below). Expand it into the four-bucket classification: ready to publish, small format fixes, needs system work, needs policy action.</w:t>
      </w:r>
    </w:p>
    <w:p>
      <w:pPr>
        <w:spacing w:after="120"/>
      </w:pPr>
      <w:r>
        <w:rPr>
          <w:rFonts w:ascii="Arial" w:hAnsi="Arial"/>
          <w:b/>
          <w:i w:val="0"/>
          <w:color w:val="4EA83D"/>
          <w:sz w:val="21"/>
        </w:rPr>
        <w:t xml:space="preserve">+  </w:t>
      </w:r>
      <w:r>
        <w:rPr>
          <w:rFonts w:ascii="Arial" w:hAnsi="Arial"/>
          <w:b/>
          <w:i w:val="0"/>
          <w:color w:val="4A4743"/>
          <w:sz w:val="21"/>
        </w:rPr>
        <w:t xml:space="preserve">Mapping quality.  </w:t>
      </w:r>
      <w:r>
        <w:rPr>
          <w:rFonts w:ascii="Arial" w:hAnsi="Arial"/>
          <w:b w:val="0"/>
          <w:i w:val="0"/>
          <w:color w:val="4A4743"/>
          <w:sz w:val="21"/>
        </w:rPr>
        <w:t>Every OC4IDS path the template lists as mapped contains real source content. No placeholders. A reviewer sampling the mapping sheets can verify every line back to the ZPPA e-GP schema.</w:t>
      </w:r>
    </w:p>
    <w:p>
      <w:pPr>
        <w:spacing w:after="280" w:before="0"/>
      </w:pPr>
    </w:p>
    <w:p>
      <w:r>
        <w:rPr>
          <w:rFonts w:ascii="Arial" w:hAnsi="Arial"/>
          <w:b/>
          <w:i w:val="0"/>
          <w:color w:val="4A4743"/>
          <w:sz w:val="26"/>
        </w:rPr>
        <w:t>2.  The mapping evidence</w:t>
      </w:r>
    </w:p>
    <w:tbl>
      <w:tblPr>
        <w:jc w:val="left"/>
        <w:tblLayout w:type="fixed"/>
        <w:tblLook w:firstColumn="1" w:firstRow="1" w:lastColumn="0" w:lastRow="0" w:noHBand="0" w:noVBand="1" w:val="04A0"/>
        <w:tblW w:w="4536" w:type="dxa"/>
      </w:tblPr>
      <w:tblGrid>
        <w:gridCol w:w="14798"/>
      </w:tblGrid>
      <w:tr>
        <w:tc>
          <w:tcPr>
            <w:tcW w:type="dxa" w:w="14798"/>
            <w:tcBorders>
              <w:top w:val="nil"/>
              <w:bottom w:val="single" w:sz="24" w:color="B7251C"/>
              <w:left w:val="nil"/>
              <w:right w:val="nil"/>
            </w:tcBorders>
          </w:tcPr>
          <w:p>
            <w:pPr>
              <w:spacing w:after="0"/>
            </w:pPr>
            <w:r/>
          </w:p>
        </w:tc>
      </w:tr>
    </w:tbl>
    <w:p>
      <w:pPr>
        <w:spacing w:after="80" w:before="0"/>
      </w:pPr>
    </w:p>
    <w:p>
      <w:pPr>
        <w:spacing w:after="160" w:before="0"/>
      </w:pPr>
      <w:r>
        <w:rPr>
          <w:rFonts w:ascii="Arial" w:hAnsi="Arial"/>
          <w:b w:val="0"/>
          <w:i w:val="0"/>
          <w:color w:val="4A4743"/>
          <w:sz w:val="21"/>
        </w:rPr>
        <w:t>The report's strongest asset is the template itself. It maps 73 OC4IDS fields across four sheets, all backed by real source paths from the ZPPA e-GP system. The headline does not yet say this. Section 4 below sets out specific changes to bring the narrative in line with the evidence.</w:t>
      </w:r>
    </w:p>
    <w:p>
      <w:pPr>
        <w:spacing w:after="120" w:before="0"/>
      </w:pPr>
      <w:r>
        <w:rPr>
          <w:rFonts w:ascii="Arial" w:hAnsi="Arial"/>
          <w:b w:val="0"/>
          <w:i w:val="0"/>
          <w:color w:val="4A4743"/>
          <w:sz w:val="21"/>
        </w:rPr>
        <w:t>Two of the four OC4IDS template sheets carry almost no Zambia data. That is the first story the executive summary should lead with.</w:t>
      </w:r>
    </w:p>
    <w:p>
      <w:pPr>
        <w:jc w:val="center"/>
      </w:pPr>
      <w:r>
        <w:drawing>
          <wp:inline xmlns:a="http://schemas.openxmlformats.org/drawingml/2006/main" xmlns:pic="http://schemas.openxmlformats.org/drawingml/2006/picture">
            <wp:extent cx="7920000" cy="4055533"/>
            <wp:docPr id="1" name="Picture 1"/>
            <wp:cNvGraphicFramePr>
              <a:graphicFrameLocks noChangeAspect="1"/>
            </wp:cNvGraphicFramePr>
            <a:graphic>
              <a:graphicData uri="http://schemas.openxmlformats.org/drawingml/2006/picture">
                <pic:pic>
                  <pic:nvPicPr>
                    <pic:cNvPr id="0" name="01-sheet-coverage.png"/>
                    <pic:cNvPicPr/>
                  </pic:nvPicPr>
                  <pic:blipFill>
                    <a:blip r:embed="rId11"/>
                    <a:stretch>
                      <a:fillRect/>
                    </a:stretch>
                  </pic:blipFill>
                  <pic:spPr>
                    <a:xfrm>
                      <a:off x="0" y="0"/>
                      <a:ext cx="7920000" cy="4055533"/>
                    </a:xfrm>
                    <a:prstGeom prst="rect"/>
                  </pic:spPr>
                </pic:pic>
              </a:graphicData>
            </a:graphic>
          </wp:inline>
        </w:drawing>
      </w:r>
    </w:p>
    <w:p>
      <w:pPr>
        <w:spacing w:after="280" w:before="0"/>
      </w:pPr>
    </w:p>
    <w:p>
      <w:r>
        <w:br w:type="page"/>
      </w:r>
    </w:p>
    <w:p>
      <w:r>
        <w:rPr>
          <w:rFonts w:ascii="Arial" w:hAnsi="Arial"/>
          <w:b/>
          <w:i w:val="0"/>
          <w:color w:val="4A4743"/>
          <w:sz w:val="26"/>
        </w:rPr>
        <w:t>3.  Where the gaps sit across the project lifecycle</w:t>
      </w:r>
    </w:p>
    <w:tbl>
      <w:tblPr>
        <w:jc w:val="left"/>
        <w:tblLayout w:type="fixed"/>
        <w:tblLook w:firstColumn="1" w:firstRow="1" w:lastColumn="0" w:lastRow="0" w:noHBand="0" w:noVBand="1" w:val="04A0"/>
        <w:tblW w:w="4536" w:type="dxa"/>
      </w:tblPr>
      <w:tblGrid>
        <w:gridCol w:w="14798"/>
      </w:tblGrid>
      <w:tr>
        <w:tc>
          <w:tcPr>
            <w:tcW w:type="dxa" w:w="14798"/>
            <w:tcBorders>
              <w:top w:val="nil"/>
              <w:bottom w:val="single" w:sz="24" w:color="B7251C"/>
              <w:left w:val="nil"/>
              <w:right w:val="nil"/>
            </w:tcBorders>
          </w:tcPr>
          <w:p>
            <w:pPr>
              <w:spacing w:after="0"/>
            </w:pPr>
            <w:r/>
          </w:p>
        </w:tc>
      </w:tr>
    </w:tbl>
    <w:p>
      <w:pPr>
        <w:spacing w:after="80" w:before="0"/>
      </w:pPr>
    </w:p>
    <w:p>
      <w:pPr>
        <w:spacing w:after="160" w:before="0"/>
      </w:pPr>
      <w:r>
        <w:rPr>
          <w:rFonts w:ascii="Arial" w:hAnsi="Arial"/>
          <w:b w:val="0"/>
          <w:i w:val="0"/>
          <w:color w:val="4A4743"/>
          <w:sz w:val="21"/>
        </w:rPr>
        <w:t>Disclosure is strong at identification and procurement. It thins out sharply across implementation and collapses entirely at maintenance and decommissioning. The report describes this in words; the revision should add the percentages.</w:t>
      </w:r>
    </w:p>
    <w:p>
      <w:pPr>
        <w:jc w:val="center"/>
      </w:pPr>
      <w:r>
        <w:drawing>
          <wp:inline xmlns:a="http://schemas.openxmlformats.org/drawingml/2006/main" xmlns:pic="http://schemas.openxmlformats.org/drawingml/2006/picture">
            <wp:extent cx="7920000" cy="4423404"/>
            <wp:docPr id="2" name="Picture 2"/>
            <wp:cNvGraphicFramePr>
              <a:graphicFrameLocks noChangeAspect="1"/>
            </wp:cNvGraphicFramePr>
            <a:graphic>
              <a:graphicData uri="http://schemas.openxmlformats.org/drawingml/2006/picture">
                <pic:pic>
                  <pic:nvPicPr>
                    <pic:cNvPr id="0" name="02-phase-coverage.png"/>
                    <pic:cNvPicPr/>
                  </pic:nvPicPr>
                  <pic:blipFill>
                    <a:blip r:embed="rId12"/>
                    <a:stretch>
                      <a:fillRect/>
                    </a:stretch>
                  </pic:blipFill>
                  <pic:spPr>
                    <a:xfrm>
                      <a:off x="0" y="0"/>
                      <a:ext cx="7920000" cy="4423404"/>
                    </a:xfrm>
                    <a:prstGeom prst="rect"/>
                  </pic:spPr>
                </pic:pic>
              </a:graphicData>
            </a:graphic>
          </wp:inline>
        </w:drawing>
      </w:r>
    </w:p>
    <w:p>
      <w:pPr>
        <w:spacing w:after="120" w:before="0"/>
      </w:pPr>
    </w:p>
    <w:p>
      <w:pPr>
        <w:spacing w:after="280" w:before="0"/>
      </w:pPr>
      <w:r>
        <w:rPr>
          <w:rFonts w:ascii="Arial" w:hAnsi="Arial"/>
          <w:b w:val="0"/>
          <w:i w:val="0"/>
          <w:color w:val="4A4743"/>
          <w:sz w:val="21"/>
        </w:rPr>
        <w:t>The report already points to the single most useful reading of this pattern: most of the missing implementation-stage data is already collected by the National Council for Construction under its statutory monitoring mandate (NCC Act 2020, s.53). In other words, this is a disclosure gap, not a data gap. Remediation is integration, not new collection. That framing should carry the report.</w:t>
      </w:r>
    </w:p>
    <w:p>
      <w:r>
        <w:rPr>
          <w:rFonts w:ascii="Arial" w:hAnsi="Arial"/>
          <w:b/>
          <w:i w:val="0"/>
          <w:color w:val="4A4743"/>
          <w:sz w:val="26"/>
        </w:rPr>
        <w:t>4.  Priority revisions requested</w:t>
      </w:r>
    </w:p>
    <w:tbl>
      <w:tblPr>
        <w:jc w:val="left"/>
        <w:tblLayout w:type="fixed"/>
        <w:tblLook w:firstColumn="1" w:firstRow="1" w:lastColumn="0" w:lastRow="0" w:noHBand="0" w:noVBand="1" w:val="04A0"/>
        <w:tblW w:w="4536" w:type="dxa"/>
      </w:tblPr>
      <w:tblGrid>
        <w:gridCol w:w="14798"/>
      </w:tblGrid>
      <w:tr>
        <w:tc>
          <w:tcPr>
            <w:tcW w:type="dxa" w:w="14798"/>
            <w:tcBorders>
              <w:top w:val="nil"/>
              <w:bottom w:val="single" w:sz="24" w:color="B7251C"/>
              <w:left w:val="nil"/>
              <w:right w:val="nil"/>
            </w:tcBorders>
          </w:tcPr>
          <w:p>
            <w:pPr>
              <w:spacing w:after="0"/>
            </w:pPr>
            <w:r/>
          </w:p>
        </w:tc>
      </w:tr>
    </w:tbl>
    <w:p>
      <w:pPr>
        <w:spacing w:after="80" w:before="0"/>
      </w:pPr>
    </w:p>
    <w:p>
      <w:pPr>
        <w:spacing w:after="200" w:before="0"/>
      </w:pPr>
      <w:r>
        <w:rPr>
          <w:rFonts w:ascii="Arial" w:hAnsi="Arial"/>
          <w:b w:val="0"/>
          <w:i w:val="0"/>
          <w:color w:val="4A4743"/>
          <w:sz w:val="21"/>
        </w:rPr>
        <w:t>Ten changes, ranked by priority. Each carries an issue, the evidence behind it, the specific revision requested, and a proposed owner. Dates are not set here; a resubmission schedule will be agreed through the MSG in the covering note.</w:t>
      </w:r>
    </w:p>
    <w:tbl>
      <w:tblPr>
        <w:jc w:val="left"/>
        <w:tblLayout w:type="fixed"/>
        <w:tblLook w:firstColumn="1" w:firstRow="1" w:lastColumn="0" w:lastRow="0" w:noHBand="0" w:noVBand="1" w:val="04A0"/>
        <w:tblW w:w="14798" w:type="dxa"/>
      </w:tblPr>
      <w:tblGrid>
        <w:gridCol w:w="623"/>
        <w:gridCol w:w="1190"/>
        <w:gridCol w:w="2835"/>
        <w:gridCol w:w="4309"/>
        <w:gridCol w:w="3628"/>
        <w:gridCol w:w="2211"/>
      </w:tblGrid>
      <w:tr>
        <w:tc>
          <w:tcPr>
            <w:tcW w:type="dxa" w:w="624"/>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Ref</w:t>
            </w:r>
          </w:p>
        </w:tc>
        <w:tc>
          <w:tcPr>
            <w:tcW w:type="dxa" w:w="1191"/>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Priority</w:t>
            </w:r>
          </w:p>
        </w:tc>
        <w:tc>
          <w:tcPr>
            <w:tcW w:type="dxa" w:w="2835"/>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Issue</w:t>
            </w:r>
          </w:p>
        </w:tc>
        <w:tc>
          <w:tcPr>
            <w:tcW w:type="dxa" w:w="4309"/>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Evidence</w:t>
            </w:r>
          </w:p>
        </w:tc>
        <w:tc>
          <w:tcPr>
            <w:tcW w:type="dxa" w:w="3628"/>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Revision requested</w:t>
            </w:r>
          </w:p>
        </w:tc>
        <w:tc>
          <w:tcPr>
            <w:tcW w:type="dxa" w:w="2211"/>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Proposed owner</w:t>
            </w:r>
          </w:p>
        </w:tc>
      </w:tr>
      <w:tr>
        <w:tc>
          <w:tcPr>
            <w:tcW w:type="dxa" w:w="624"/>
            <w:shd w:val="clear" w:color="auto" w:fill="FFFFFF"/>
            <w:tcBorders>
              <w:top w:val="nil"/>
              <w:bottom w:val="nil"/>
              <w:left w:val="nil"/>
              <w:right w:val="nil"/>
            </w:tcBorders>
          </w:tcPr>
          <w:p>
            <w:r>
              <w:rPr>
                <w:rFonts w:ascii="Arial" w:hAnsi="Arial"/>
                <w:b/>
                <w:i w:val="0"/>
                <w:color w:val="4A4743"/>
                <w:sz w:val="19"/>
              </w:rPr>
              <w:t>R1</w:t>
            </w:r>
          </w:p>
        </w:tc>
        <w:tc>
          <w:tcPr>
            <w:tcW w:type="dxa" w:w="1191"/>
            <w:shd w:val="clear" w:color="auto" w:fill="FFFFFF"/>
            <w:tcBorders>
              <w:top w:val="nil"/>
              <w:bottom w:val="nil"/>
              <w:left w:val="nil"/>
              <w:right w:val="nil"/>
            </w:tcBorders>
            <w:shd w:val="clear" w:color="auto" w:fill="F5D5D3"/>
          </w:tcPr>
          <w:p>
            <w:r>
              <w:rPr>
                <w:rFonts w:ascii="Arial" w:hAnsi="Arial"/>
                <w:b/>
                <w:i w:val="0"/>
                <w:color w:val="B7251C"/>
                <w:sz w:val="19"/>
              </w:rPr>
              <w:t>Critical</w:t>
            </w:r>
          </w:p>
        </w:tc>
        <w:tc>
          <w:tcPr>
            <w:tcW w:type="dxa" w:w="2835"/>
            <w:shd w:val="clear" w:color="auto" w:fill="FFFFFF"/>
            <w:tcBorders>
              <w:top w:val="nil"/>
              <w:bottom w:val="nil"/>
              <w:left w:val="nil"/>
              <w:right w:val="nil"/>
            </w:tcBorders>
          </w:tcPr>
          <w:p>
            <w:r>
              <w:rPr>
                <w:rFonts w:ascii="Arial" w:hAnsi="Arial"/>
                <w:b/>
                <w:i w:val="0"/>
                <w:color w:val="4A4743"/>
                <w:sz w:val="19"/>
              </w:rPr>
              <w:t>The executive summary carries no number.</w:t>
            </w:r>
          </w:p>
        </w:tc>
        <w:tc>
          <w:tcPr>
            <w:tcW w:type="dxa" w:w="4309"/>
            <w:shd w:val="clear" w:color="auto" w:fill="FFFFFF"/>
            <w:tcBorders>
              <w:top w:val="nil"/>
              <w:bottom w:val="nil"/>
              <w:left w:val="nil"/>
              <w:right w:val="nil"/>
            </w:tcBorders>
          </w:tcPr>
          <w:p>
            <w:r>
              <w:rPr>
                <w:rFonts w:ascii="Arial" w:hAnsi="Arial"/>
                <w:b w:val="0"/>
                <w:i w:val="0"/>
                <w:color w:val="4A4743"/>
                <w:sz w:val="19"/>
              </w:rPr>
              <w:t>The opening currently reads "significant data gaps exist". The template itself supports a stronger statement: 73 OC4IDS fields mapped, two of four template sheets near zero (Linked Releases 0/6, Parties 18/968).</w:t>
            </w:r>
          </w:p>
        </w:tc>
        <w:tc>
          <w:tcPr>
            <w:tcW w:type="dxa" w:w="3628"/>
            <w:shd w:val="clear" w:color="auto" w:fill="FFFFFF"/>
            <w:tcBorders>
              <w:top w:val="nil"/>
              <w:bottom w:val="nil"/>
              <w:left w:val="nil"/>
              <w:right w:val="nil"/>
            </w:tcBorders>
          </w:tcPr>
          <w:p>
            <w:r>
              <w:rPr>
                <w:rFonts w:ascii="Arial" w:hAnsi="Arial"/>
                <w:b w:val="0"/>
                <w:i w:val="0"/>
                <w:color w:val="4A4743"/>
                <w:sz w:val="19"/>
              </w:rPr>
              <w:t>Rewrite the first paragraph of the executive summary to lead with the headline numbers and the two silent sheets.</w:t>
            </w:r>
          </w:p>
        </w:tc>
        <w:tc>
          <w:tcPr>
            <w:tcW w:type="dxa" w:w="2211"/>
            <w:shd w:val="clear" w:color="auto" w:fill="FFFFFF"/>
            <w:tcBorders>
              <w:top w:val="nil"/>
              <w:bottom w:val="nil"/>
              <w:left w:val="nil"/>
              <w:right w:val="nil"/>
            </w:tcBorders>
          </w:tcPr>
          <w:p>
            <w:r>
              <w:rPr>
                <w:rFonts w:ascii="Arial" w:hAnsi="Arial"/>
                <w:b w:val="0"/>
                <w:i w:val="0"/>
                <w:color w:val="4A4743"/>
                <w:sz w:val="19"/>
              </w:rPr>
              <w:t>Zambia Technical Team</w:t>
            </w:r>
          </w:p>
        </w:tc>
      </w:tr>
      <w:tr>
        <w:tc>
          <w:tcPr>
            <w:tcW w:type="dxa" w:w="624"/>
            <w:shd w:val="clear" w:color="auto" w:fill="F3F2F1"/>
            <w:tcBorders>
              <w:top w:val="nil"/>
              <w:bottom w:val="nil"/>
              <w:left w:val="nil"/>
              <w:right w:val="nil"/>
            </w:tcBorders>
          </w:tcPr>
          <w:p>
            <w:r>
              <w:rPr>
                <w:rFonts w:ascii="Arial" w:hAnsi="Arial"/>
                <w:b/>
                <w:i w:val="0"/>
                <w:color w:val="4A4743"/>
                <w:sz w:val="19"/>
              </w:rPr>
              <w:t>R2</w:t>
            </w:r>
          </w:p>
        </w:tc>
        <w:tc>
          <w:tcPr>
            <w:tcW w:type="dxa" w:w="1191"/>
            <w:shd w:val="clear" w:color="auto" w:fill="F3F2F1"/>
            <w:tcBorders>
              <w:top w:val="nil"/>
              <w:bottom w:val="nil"/>
              <w:left w:val="nil"/>
              <w:right w:val="nil"/>
            </w:tcBorders>
            <w:shd w:val="clear" w:color="auto" w:fill="F5D5D3"/>
          </w:tcPr>
          <w:p>
            <w:r>
              <w:rPr>
                <w:rFonts w:ascii="Arial" w:hAnsi="Arial"/>
                <w:b/>
                <w:i w:val="0"/>
                <w:color w:val="B7251C"/>
                <w:sz w:val="19"/>
              </w:rPr>
              <w:t>Critical</w:t>
            </w:r>
          </w:p>
        </w:tc>
        <w:tc>
          <w:tcPr>
            <w:tcW w:type="dxa" w:w="2835"/>
            <w:shd w:val="clear" w:color="auto" w:fill="F3F2F1"/>
            <w:tcBorders>
              <w:top w:val="nil"/>
              <w:bottom w:val="nil"/>
              <w:left w:val="nil"/>
              <w:right w:val="nil"/>
            </w:tcBorders>
          </w:tcPr>
          <w:p>
            <w:r>
              <w:rPr>
                <w:rFonts w:ascii="Arial" w:hAnsi="Arial"/>
                <w:b/>
                <w:i w:val="0"/>
                <w:color w:val="4A4743"/>
                <w:sz w:val="19"/>
              </w:rPr>
              <w:t>Phase-level percentages are discussed but not reported.</w:t>
            </w:r>
          </w:p>
        </w:tc>
        <w:tc>
          <w:tcPr>
            <w:tcW w:type="dxa" w:w="4309"/>
            <w:shd w:val="clear" w:color="auto" w:fill="F3F2F1"/>
            <w:tcBorders>
              <w:top w:val="nil"/>
              <w:bottom w:val="nil"/>
              <w:left w:val="nil"/>
              <w:right w:val="nil"/>
            </w:tcBorders>
          </w:tcPr>
          <w:p>
            <w:r>
              <w:rPr>
                <w:rFonts w:ascii="Arial" w:hAnsi="Arial"/>
                <w:b w:val="0"/>
                <w:i w:val="0"/>
                <w:color w:val="4A4743"/>
                <w:sz w:val="19"/>
              </w:rPr>
              <w:t>Section 4 describes each phase qualitatively. A quantitative line per phase is recoverable directly from the template: identification 28%, preparation 12%, procurement 21%, implementation 2%, completion 8%, maintenance 0%, decommissioning 0%.</w:t>
            </w:r>
          </w:p>
        </w:tc>
        <w:tc>
          <w:tcPr>
            <w:tcW w:type="dxa" w:w="3628"/>
            <w:shd w:val="clear" w:color="auto" w:fill="F3F2F1"/>
            <w:tcBorders>
              <w:top w:val="nil"/>
              <w:bottom w:val="nil"/>
              <w:left w:val="nil"/>
              <w:right w:val="nil"/>
            </w:tcBorders>
          </w:tcPr>
          <w:p>
            <w:r>
              <w:rPr>
                <w:rFonts w:ascii="Arial" w:hAnsi="Arial"/>
                <w:b w:val="0"/>
                <w:i w:val="0"/>
                <w:color w:val="4A4743"/>
                <w:sz w:val="19"/>
              </w:rPr>
              <w:t>Add a phase coverage table to section 4: one row per phase, with percentage, dominant reason for the gap, and a short example.</w:t>
            </w:r>
          </w:p>
        </w:tc>
        <w:tc>
          <w:tcPr>
            <w:tcW w:type="dxa" w:w="2211"/>
            <w:shd w:val="clear" w:color="auto" w:fill="F3F2F1"/>
            <w:tcBorders>
              <w:top w:val="nil"/>
              <w:bottom w:val="nil"/>
              <w:left w:val="nil"/>
              <w:right w:val="nil"/>
            </w:tcBorders>
          </w:tcPr>
          <w:p>
            <w:r>
              <w:rPr>
                <w:rFonts w:ascii="Arial" w:hAnsi="Arial"/>
                <w:b w:val="0"/>
                <w:i w:val="0"/>
                <w:color w:val="4A4743"/>
                <w:sz w:val="19"/>
              </w:rPr>
              <w:t>Zambia Technical Team</w:t>
            </w:r>
          </w:p>
        </w:tc>
      </w:tr>
      <w:tr>
        <w:tc>
          <w:tcPr>
            <w:tcW w:type="dxa" w:w="624"/>
            <w:shd w:val="clear" w:color="auto" w:fill="FFFFFF"/>
            <w:tcBorders>
              <w:top w:val="nil"/>
              <w:bottom w:val="nil"/>
              <w:left w:val="nil"/>
              <w:right w:val="nil"/>
            </w:tcBorders>
          </w:tcPr>
          <w:p>
            <w:r>
              <w:rPr>
                <w:rFonts w:ascii="Arial" w:hAnsi="Arial"/>
                <w:b/>
                <w:i w:val="0"/>
                <w:color w:val="4A4743"/>
                <w:sz w:val="19"/>
              </w:rPr>
              <w:t>R3</w:t>
            </w:r>
          </w:p>
        </w:tc>
        <w:tc>
          <w:tcPr>
            <w:tcW w:type="dxa" w:w="1191"/>
            <w:shd w:val="clear" w:color="auto" w:fill="FFFFFF"/>
            <w:tcBorders>
              <w:top w:val="nil"/>
              <w:bottom w:val="nil"/>
              <w:left w:val="nil"/>
              <w:right w:val="nil"/>
            </w:tcBorders>
            <w:shd w:val="clear" w:color="auto" w:fill="F5D5D3"/>
          </w:tcPr>
          <w:p>
            <w:r>
              <w:rPr>
                <w:rFonts w:ascii="Arial" w:hAnsi="Arial"/>
                <w:b/>
                <w:i w:val="0"/>
                <w:color w:val="B7251C"/>
                <w:sz w:val="19"/>
              </w:rPr>
              <w:t>Critical</w:t>
            </w:r>
          </w:p>
        </w:tc>
        <w:tc>
          <w:tcPr>
            <w:tcW w:type="dxa" w:w="2835"/>
            <w:shd w:val="clear" w:color="auto" w:fill="FFFFFF"/>
            <w:tcBorders>
              <w:top w:val="nil"/>
              <w:bottom w:val="nil"/>
              <w:left w:val="nil"/>
              <w:right w:val="nil"/>
            </w:tcBorders>
          </w:tcPr>
          <w:p>
            <w:r>
              <w:rPr>
                <w:rFonts w:ascii="Arial" w:hAnsi="Arial"/>
                <w:b/>
                <w:i w:val="0"/>
                <w:color w:val="4A4743"/>
                <w:sz w:val="19"/>
              </w:rPr>
              <w:t>Source-field provenance is in the template but not in the report.</w:t>
            </w:r>
          </w:p>
        </w:tc>
        <w:tc>
          <w:tcPr>
            <w:tcW w:type="dxa" w:w="4309"/>
            <w:shd w:val="clear" w:color="auto" w:fill="FFFFFF"/>
            <w:tcBorders>
              <w:top w:val="nil"/>
              <w:bottom w:val="nil"/>
              <w:left w:val="nil"/>
              <w:right w:val="nil"/>
            </w:tcBorders>
          </w:tcPr>
          <w:p>
            <w:r>
              <w:rPr>
                <w:rFonts w:ascii="Arial" w:hAnsi="Arial"/>
                <w:b w:val="0"/>
                <w:i w:val="0"/>
                <w:color w:val="4A4743"/>
                <w:sz w:val="19"/>
              </w:rPr>
              <w:t>Every mapped OC4IDS path in the template is already traced to a ZPPA e-GP source path (for example, the OC4IDS project id comes from zppa_egp.project.project.id).</w:t>
            </w:r>
          </w:p>
        </w:tc>
        <w:tc>
          <w:tcPr>
            <w:tcW w:type="dxa" w:w="3628"/>
            <w:shd w:val="clear" w:color="auto" w:fill="FFFFFF"/>
            <w:tcBorders>
              <w:top w:val="nil"/>
              <w:bottom w:val="nil"/>
              <w:left w:val="nil"/>
              <w:right w:val="nil"/>
            </w:tcBorders>
          </w:tcPr>
          <w:p>
            <w:r>
              <w:rPr>
                <w:rFonts w:ascii="Arial" w:hAnsi="Arial"/>
                <w:b w:val="0"/>
                <w:i w:val="0"/>
                <w:color w:val="4A4743"/>
                <w:sz w:val="19"/>
              </w:rPr>
              <w:t>Add a source column to the section 5 phase tables: the OC4IDS path, the ZPPA e-GP source path, and the current status.</w:t>
            </w:r>
          </w:p>
        </w:tc>
        <w:tc>
          <w:tcPr>
            <w:tcW w:type="dxa" w:w="2211"/>
            <w:shd w:val="clear" w:color="auto" w:fill="FFFFFF"/>
            <w:tcBorders>
              <w:top w:val="nil"/>
              <w:bottom w:val="nil"/>
              <w:left w:val="nil"/>
              <w:right w:val="nil"/>
            </w:tcBorders>
          </w:tcPr>
          <w:p>
            <w:r>
              <w:rPr>
                <w:rFonts w:ascii="Arial" w:hAnsi="Arial"/>
                <w:b w:val="0"/>
                <w:i w:val="0"/>
                <w:color w:val="4A4743"/>
                <w:sz w:val="19"/>
              </w:rPr>
              <w:t>Zambia Technical Team</w:t>
            </w:r>
          </w:p>
        </w:tc>
      </w:tr>
      <w:tr>
        <w:tc>
          <w:tcPr>
            <w:tcW w:type="dxa" w:w="624"/>
            <w:shd w:val="clear" w:color="auto" w:fill="F3F2F1"/>
            <w:tcBorders>
              <w:top w:val="nil"/>
              <w:bottom w:val="nil"/>
              <w:left w:val="nil"/>
              <w:right w:val="nil"/>
            </w:tcBorders>
          </w:tcPr>
          <w:p>
            <w:r>
              <w:rPr>
                <w:rFonts w:ascii="Arial" w:hAnsi="Arial"/>
                <w:b/>
                <w:i w:val="0"/>
                <w:color w:val="4A4743"/>
                <w:sz w:val="19"/>
              </w:rPr>
              <w:t>R4</w:t>
            </w:r>
          </w:p>
        </w:tc>
        <w:tc>
          <w:tcPr>
            <w:tcW w:type="dxa" w:w="1191"/>
            <w:shd w:val="clear" w:color="auto" w:fill="F3F2F1"/>
            <w:tcBorders>
              <w:top w:val="nil"/>
              <w:bottom w:val="nil"/>
              <w:left w:val="nil"/>
              <w:right w:val="nil"/>
            </w:tcBorders>
            <w:shd w:val="clear" w:color="auto" w:fill="F5D5D3"/>
          </w:tcPr>
          <w:p>
            <w:r>
              <w:rPr>
                <w:rFonts w:ascii="Arial" w:hAnsi="Arial"/>
                <w:b/>
                <w:i w:val="0"/>
                <w:color w:val="B7251C"/>
                <w:sz w:val="19"/>
              </w:rPr>
              <w:t>Critical</w:t>
            </w:r>
          </w:p>
        </w:tc>
        <w:tc>
          <w:tcPr>
            <w:tcW w:type="dxa" w:w="2835"/>
            <w:shd w:val="clear" w:color="auto" w:fill="F3F2F1"/>
            <w:tcBorders>
              <w:top w:val="nil"/>
              <w:bottom w:val="nil"/>
              <w:left w:val="nil"/>
              <w:right w:val="nil"/>
            </w:tcBorders>
          </w:tcPr>
          <w:p>
            <w:r>
              <w:rPr>
                <w:rFonts w:ascii="Arial" w:hAnsi="Arial"/>
                <w:b/>
                <w:i w:val="0"/>
                <w:color w:val="4A4743"/>
                <w:sz w:val="19"/>
              </w:rPr>
              <w:t>Recommendations carry no owner or timeline.</w:t>
            </w:r>
          </w:p>
        </w:tc>
        <w:tc>
          <w:tcPr>
            <w:tcW w:type="dxa" w:w="4309"/>
            <w:shd w:val="clear" w:color="auto" w:fill="F3F2F1"/>
            <w:tcBorders>
              <w:top w:val="nil"/>
              <w:bottom w:val="nil"/>
              <w:left w:val="nil"/>
              <w:right w:val="nil"/>
            </w:tcBorders>
          </w:tcPr>
          <w:p>
            <w:r>
              <w:rPr>
                <w:rFonts w:ascii="Arial" w:hAnsi="Arial"/>
                <w:b w:val="0"/>
                <w:i w:val="0"/>
                <w:color w:val="4A4743"/>
                <w:sz w:val="19"/>
              </w:rPr>
              <w:t>Sections 6.1 to 6.6 list six recommendation groups. All are directional. None names an institution, a person, or a quarter.</w:t>
            </w:r>
          </w:p>
        </w:tc>
        <w:tc>
          <w:tcPr>
            <w:tcW w:type="dxa" w:w="3628"/>
            <w:shd w:val="clear" w:color="auto" w:fill="F3F2F1"/>
            <w:tcBorders>
              <w:top w:val="nil"/>
              <w:bottom w:val="nil"/>
              <w:left w:val="nil"/>
              <w:right w:val="nil"/>
            </w:tcBorders>
          </w:tcPr>
          <w:p>
            <w:r>
              <w:rPr>
                <w:rFonts w:ascii="Arial" w:hAnsi="Arial"/>
                <w:b w:val="0"/>
                <w:i w:val="0"/>
                <w:color w:val="4A4743"/>
                <w:sz w:val="19"/>
              </w:rPr>
              <w:t>Assign each recommendation to a specific institution (NCC, ZPPA, CoST Zambia, or the relevant ministry) with a proposed quarter. Cite the legal provision each recommendation operationalises. Timelines will be confirmed by the MSG.</w:t>
            </w:r>
          </w:p>
        </w:tc>
        <w:tc>
          <w:tcPr>
            <w:tcW w:type="dxa" w:w="2211"/>
            <w:shd w:val="clear" w:color="auto" w:fill="F3F2F1"/>
            <w:tcBorders>
              <w:top w:val="nil"/>
              <w:bottom w:val="nil"/>
              <w:left w:val="nil"/>
              <w:right w:val="nil"/>
            </w:tcBorders>
          </w:tcPr>
          <w:p>
            <w:r>
              <w:rPr>
                <w:rFonts w:ascii="Arial" w:hAnsi="Arial"/>
                <w:b w:val="0"/>
                <w:i w:val="0"/>
                <w:color w:val="4A4743"/>
                <w:sz w:val="19"/>
              </w:rPr>
              <w:t>CoST Zambia with NCC and ZPPA</w:t>
            </w:r>
          </w:p>
        </w:tc>
      </w:tr>
      <w:tr>
        <w:tc>
          <w:tcPr>
            <w:tcW w:type="dxa" w:w="624"/>
            <w:shd w:val="clear" w:color="auto" w:fill="FFFFFF"/>
            <w:tcBorders>
              <w:top w:val="nil"/>
              <w:bottom w:val="nil"/>
              <w:left w:val="nil"/>
              <w:right w:val="nil"/>
            </w:tcBorders>
          </w:tcPr>
          <w:p>
            <w:r>
              <w:rPr>
                <w:rFonts w:ascii="Arial" w:hAnsi="Arial"/>
                <w:b/>
                <w:i w:val="0"/>
                <w:color w:val="4A4743"/>
                <w:sz w:val="19"/>
              </w:rPr>
              <w:t>R5</w:t>
            </w:r>
          </w:p>
        </w:tc>
        <w:tc>
          <w:tcPr>
            <w:tcW w:type="dxa" w:w="1191"/>
            <w:shd w:val="clear" w:color="auto" w:fill="FFFFFF"/>
            <w:tcBorders>
              <w:top w:val="nil"/>
              <w:bottom w:val="nil"/>
              <w:left w:val="nil"/>
              <w:right w:val="nil"/>
            </w:tcBorders>
            <w:shd w:val="clear" w:color="auto" w:fill="D9EDF3"/>
          </w:tcPr>
          <w:p>
            <w:r>
              <w:rPr>
                <w:rFonts w:ascii="Arial" w:hAnsi="Arial"/>
                <w:b/>
                <w:i w:val="0"/>
                <w:color w:val="71B6C9"/>
                <w:sz w:val="19"/>
              </w:rPr>
              <w:t>High</w:t>
            </w:r>
          </w:p>
        </w:tc>
        <w:tc>
          <w:tcPr>
            <w:tcW w:type="dxa" w:w="2835"/>
            <w:shd w:val="clear" w:color="auto" w:fill="FFFFFF"/>
            <w:tcBorders>
              <w:top w:val="nil"/>
              <w:bottom w:val="nil"/>
              <w:left w:val="nil"/>
              <w:right w:val="nil"/>
            </w:tcBorders>
          </w:tcPr>
          <w:p>
            <w:r>
              <w:rPr>
                <w:rFonts w:ascii="Arial" w:hAnsi="Arial"/>
                <w:b/>
                <w:i w:val="0"/>
                <w:color w:val="4A4743"/>
                <w:sz w:val="19"/>
              </w:rPr>
              <w:t>Gaps are listed by phase but not classified by cause.</w:t>
            </w:r>
          </w:p>
        </w:tc>
        <w:tc>
          <w:tcPr>
            <w:tcW w:type="dxa" w:w="4309"/>
            <w:shd w:val="clear" w:color="auto" w:fill="FFFFFF"/>
            <w:tcBorders>
              <w:top w:val="nil"/>
              <w:bottom w:val="nil"/>
              <w:left w:val="nil"/>
              <w:right w:val="nil"/>
            </w:tcBorders>
          </w:tcPr>
          <w:p>
            <w:r>
              <w:rPr>
                <w:rFonts w:ascii="Arial" w:hAnsi="Arial"/>
                <w:b w:val="0"/>
                <w:i w:val="0"/>
                <w:color w:val="4A4743"/>
                <w:sz w:val="19"/>
              </w:rPr>
              <w:t>The strongest implicit finding in the report is that most of the missing implementation data is already collected by NCC but is not publicly disclosed. That is a different problem from data that does not exist at all, and it takes a different fix.</w:t>
            </w:r>
          </w:p>
        </w:tc>
        <w:tc>
          <w:tcPr>
            <w:tcW w:type="dxa" w:w="3628"/>
            <w:shd w:val="clear" w:color="auto" w:fill="FFFFFF"/>
            <w:tcBorders>
              <w:top w:val="nil"/>
              <w:bottom w:val="nil"/>
              <w:left w:val="nil"/>
              <w:right w:val="nil"/>
            </w:tcBorders>
          </w:tcPr>
          <w:p>
            <w:r>
              <w:rPr>
                <w:rFonts w:ascii="Arial" w:hAnsi="Arial"/>
                <w:b w:val="0"/>
                <w:i w:val="0"/>
                <w:color w:val="4A4743"/>
                <w:sz w:val="19"/>
              </w:rPr>
              <w:t>Classify each material gap as one of: not collected, collected but not disclosed, collected only in unstructured documents, collected inconsistently, restricted by law or workflow. Label the NCC insight explicitly as 'collected but not yet disclosed'.</w:t>
            </w:r>
          </w:p>
        </w:tc>
        <w:tc>
          <w:tcPr>
            <w:tcW w:type="dxa" w:w="2211"/>
            <w:shd w:val="clear" w:color="auto" w:fill="FFFFFF"/>
            <w:tcBorders>
              <w:top w:val="nil"/>
              <w:bottom w:val="nil"/>
              <w:left w:val="nil"/>
              <w:right w:val="nil"/>
            </w:tcBorders>
          </w:tcPr>
          <w:p>
            <w:r>
              <w:rPr>
                <w:rFonts w:ascii="Arial" w:hAnsi="Arial"/>
                <w:b w:val="0"/>
                <w:i w:val="0"/>
                <w:color w:val="4A4743"/>
                <w:sz w:val="19"/>
              </w:rPr>
              <w:t>Zambia Technical Team</w:t>
            </w:r>
          </w:p>
        </w:tc>
      </w:tr>
      <w:tr>
        <w:tc>
          <w:tcPr>
            <w:tcW w:type="dxa" w:w="624"/>
            <w:shd w:val="clear" w:color="auto" w:fill="F3F2F1"/>
            <w:tcBorders>
              <w:top w:val="nil"/>
              <w:bottom w:val="nil"/>
              <w:left w:val="nil"/>
              <w:right w:val="nil"/>
            </w:tcBorders>
          </w:tcPr>
          <w:p>
            <w:r>
              <w:rPr>
                <w:rFonts w:ascii="Arial" w:hAnsi="Arial"/>
                <w:b/>
                <w:i w:val="0"/>
                <w:color w:val="4A4743"/>
                <w:sz w:val="19"/>
              </w:rPr>
              <w:t>R6</w:t>
            </w:r>
          </w:p>
        </w:tc>
        <w:tc>
          <w:tcPr>
            <w:tcW w:type="dxa" w:w="1191"/>
            <w:shd w:val="clear" w:color="auto" w:fill="F3F2F1"/>
            <w:tcBorders>
              <w:top w:val="nil"/>
              <w:bottom w:val="nil"/>
              <w:left w:val="nil"/>
              <w:right w:val="nil"/>
            </w:tcBorders>
            <w:shd w:val="clear" w:color="auto" w:fill="D9EDF3"/>
          </w:tcPr>
          <w:p>
            <w:r>
              <w:rPr>
                <w:rFonts w:ascii="Arial" w:hAnsi="Arial"/>
                <w:b/>
                <w:i w:val="0"/>
                <w:color w:val="71B6C9"/>
                <w:sz w:val="19"/>
              </w:rPr>
              <w:t>High</w:t>
            </w:r>
          </w:p>
        </w:tc>
        <w:tc>
          <w:tcPr>
            <w:tcW w:type="dxa" w:w="2835"/>
            <w:shd w:val="clear" w:color="auto" w:fill="F3F2F1"/>
            <w:tcBorders>
              <w:top w:val="nil"/>
              <w:bottom w:val="nil"/>
              <w:left w:val="nil"/>
              <w:right w:val="nil"/>
            </w:tcBorders>
          </w:tcPr>
          <w:p>
            <w:r>
              <w:rPr>
                <w:rFonts w:ascii="Arial" w:hAnsi="Arial"/>
                <w:b/>
                <w:i w:val="0"/>
                <w:color w:val="4A4743"/>
                <w:sz w:val="19"/>
              </w:rPr>
              <w:t>Data published beyond OC4IDS is not examined.</w:t>
            </w:r>
          </w:p>
        </w:tc>
        <w:tc>
          <w:tcPr>
            <w:tcW w:type="dxa" w:w="4309"/>
            <w:shd w:val="clear" w:color="auto" w:fill="F3F2F1"/>
            <w:tcBorders>
              <w:top w:val="nil"/>
              <w:bottom w:val="nil"/>
              <w:left w:val="nil"/>
              <w:right w:val="nil"/>
            </w:tcBorders>
          </w:tcPr>
          <w:p>
            <w:r>
              <w:rPr>
                <w:rFonts w:ascii="Arial" w:hAnsi="Arial"/>
                <w:b w:val="0"/>
                <w:i w:val="0"/>
                <w:color w:val="4A4743"/>
                <w:sz w:val="19"/>
              </w:rPr>
              <w:t>The report does not discuss which fields the ZPPA e-GP or NCC publish today that fall outside OC4IDS. That is useful country context for both the Zambia audience and for OCP's future OC4IDS revisions.</w:t>
            </w:r>
          </w:p>
        </w:tc>
        <w:tc>
          <w:tcPr>
            <w:tcW w:type="dxa" w:w="3628"/>
            <w:shd w:val="clear" w:color="auto" w:fill="F3F2F1"/>
            <w:tcBorders>
              <w:top w:val="nil"/>
              <w:bottom w:val="nil"/>
              <w:left w:val="nil"/>
              <w:right w:val="nil"/>
            </w:tcBorders>
          </w:tcPr>
          <w:p>
            <w:r>
              <w:rPr>
                <w:rFonts w:ascii="Arial" w:hAnsi="Arial"/>
                <w:b w:val="0"/>
                <w:i w:val="0"/>
                <w:color w:val="4A4743"/>
                <w:sz w:val="19"/>
              </w:rPr>
              <w:t>Add a short section listing non-OC4IDS fields the country publishes, with a recommendation on whether to preserve them as extensions or to propose them for the standard.</w:t>
            </w:r>
          </w:p>
        </w:tc>
        <w:tc>
          <w:tcPr>
            <w:tcW w:type="dxa" w:w="2211"/>
            <w:shd w:val="clear" w:color="auto" w:fill="F3F2F1"/>
            <w:tcBorders>
              <w:top w:val="nil"/>
              <w:bottom w:val="nil"/>
              <w:left w:val="nil"/>
              <w:right w:val="nil"/>
            </w:tcBorders>
          </w:tcPr>
          <w:p>
            <w:r>
              <w:rPr>
                <w:rFonts w:ascii="Arial" w:hAnsi="Arial"/>
                <w:b w:val="0"/>
                <w:i w:val="0"/>
                <w:color w:val="4A4743"/>
                <w:sz w:val="19"/>
              </w:rPr>
              <w:t>Zambia Technical Team with CoST IS</w:t>
            </w:r>
          </w:p>
        </w:tc>
      </w:tr>
      <w:tr>
        <w:tc>
          <w:tcPr>
            <w:tcW w:type="dxa" w:w="624"/>
            <w:shd w:val="clear" w:color="auto" w:fill="FFFFFF"/>
            <w:tcBorders>
              <w:top w:val="nil"/>
              <w:bottom w:val="nil"/>
              <w:left w:val="nil"/>
              <w:right w:val="nil"/>
            </w:tcBorders>
          </w:tcPr>
          <w:p>
            <w:r>
              <w:rPr>
                <w:rFonts w:ascii="Arial" w:hAnsi="Arial"/>
                <w:b/>
                <w:i w:val="0"/>
                <w:color w:val="4A4743"/>
                <w:sz w:val="19"/>
              </w:rPr>
              <w:t>R7</w:t>
            </w:r>
          </w:p>
        </w:tc>
        <w:tc>
          <w:tcPr>
            <w:tcW w:type="dxa" w:w="1191"/>
            <w:shd w:val="clear" w:color="auto" w:fill="FFFFFF"/>
            <w:tcBorders>
              <w:top w:val="nil"/>
              <w:bottom w:val="nil"/>
              <w:left w:val="nil"/>
              <w:right w:val="nil"/>
            </w:tcBorders>
            <w:shd w:val="clear" w:color="auto" w:fill="D9EDF3"/>
          </w:tcPr>
          <w:p>
            <w:r>
              <w:rPr>
                <w:rFonts w:ascii="Arial" w:hAnsi="Arial"/>
                <w:b/>
                <w:i w:val="0"/>
                <w:color w:val="71B6C9"/>
                <w:sz w:val="19"/>
              </w:rPr>
              <w:t>High</w:t>
            </w:r>
          </w:p>
        </w:tc>
        <w:tc>
          <w:tcPr>
            <w:tcW w:type="dxa" w:w="2835"/>
            <w:shd w:val="clear" w:color="auto" w:fill="FFFFFF"/>
            <w:tcBorders>
              <w:top w:val="nil"/>
              <w:bottom w:val="nil"/>
              <w:left w:val="nil"/>
              <w:right w:val="nil"/>
            </w:tcBorders>
          </w:tcPr>
          <w:p>
            <w:r>
              <w:rPr>
                <w:rFonts w:ascii="Arial" w:hAnsi="Arial"/>
                <w:b/>
                <w:i w:val="0"/>
                <w:color w:val="4A4743"/>
                <w:sz w:val="19"/>
              </w:rPr>
              <w:t>The conclusion does not classify what can be published now.</w:t>
            </w:r>
          </w:p>
        </w:tc>
        <w:tc>
          <w:tcPr>
            <w:tcW w:type="dxa" w:w="4309"/>
            <w:shd w:val="clear" w:color="auto" w:fill="FFFFFF"/>
            <w:tcBorders>
              <w:top w:val="nil"/>
              <w:bottom w:val="nil"/>
              <w:left w:val="nil"/>
              <w:right w:val="nil"/>
            </w:tcBorders>
          </w:tcPr>
          <w:p>
            <w:r>
              <w:rPr>
                <w:rFonts w:ascii="Arial" w:hAnsi="Arial"/>
                <w:b w:val="0"/>
                <w:i w:val="0"/>
                <w:color w:val="4A4743"/>
                <w:sz w:val="19"/>
              </w:rPr>
              <w:t>Section 8.2 is a first pass at who holds data at which stage, but it does not separate fields that can be published today from those requiring new workflows or new law.</w:t>
            </w:r>
          </w:p>
        </w:tc>
        <w:tc>
          <w:tcPr>
            <w:tcW w:type="dxa" w:w="3628"/>
            <w:shd w:val="clear" w:color="auto" w:fill="FFFFFF"/>
            <w:tcBorders>
              <w:top w:val="nil"/>
              <w:bottom w:val="nil"/>
              <w:left w:val="nil"/>
              <w:right w:val="nil"/>
            </w:tcBorders>
          </w:tcPr>
          <w:p>
            <w:r>
              <w:rPr>
                <w:rFonts w:ascii="Arial" w:hAnsi="Arial"/>
                <w:b w:val="0"/>
                <w:i w:val="0"/>
                <w:color w:val="4A4743"/>
                <w:sz w:val="19"/>
              </w:rPr>
              <w:t>Add a decision summary at the end of the report: four groups (ready to publish, small format fixes, needs system work, needs policy action), with a short example in each. This is the table a Permanent Secretary reads first.</w:t>
            </w:r>
          </w:p>
        </w:tc>
        <w:tc>
          <w:tcPr>
            <w:tcW w:type="dxa" w:w="2211"/>
            <w:shd w:val="clear" w:color="auto" w:fill="FFFFFF"/>
            <w:tcBorders>
              <w:top w:val="nil"/>
              <w:bottom w:val="nil"/>
              <w:left w:val="nil"/>
              <w:right w:val="nil"/>
            </w:tcBorders>
          </w:tcPr>
          <w:p>
            <w:r>
              <w:rPr>
                <w:rFonts w:ascii="Arial" w:hAnsi="Arial"/>
                <w:b w:val="0"/>
                <w:i w:val="0"/>
                <w:color w:val="4A4743"/>
                <w:sz w:val="19"/>
              </w:rPr>
              <w:t>Zambia Technical Team</w:t>
            </w:r>
          </w:p>
        </w:tc>
      </w:tr>
      <w:tr>
        <w:tc>
          <w:tcPr>
            <w:tcW w:type="dxa" w:w="624"/>
            <w:shd w:val="clear" w:color="auto" w:fill="F3F2F1"/>
            <w:tcBorders>
              <w:top w:val="nil"/>
              <w:bottom w:val="nil"/>
              <w:left w:val="nil"/>
              <w:right w:val="nil"/>
            </w:tcBorders>
          </w:tcPr>
          <w:p>
            <w:r>
              <w:rPr>
                <w:rFonts w:ascii="Arial" w:hAnsi="Arial"/>
                <w:b/>
                <w:i w:val="0"/>
                <w:color w:val="4A4743"/>
                <w:sz w:val="19"/>
              </w:rPr>
              <w:t>R8</w:t>
            </w:r>
          </w:p>
        </w:tc>
        <w:tc>
          <w:tcPr>
            <w:tcW w:type="dxa" w:w="1191"/>
            <w:shd w:val="clear" w:color="auto" w:fill="F3F2F1"/>
            <w:tcBorders>
              <w:top w:val="nil"/>
              <w:bottom w:val="nil"/>
              <w:left w:val="nil"/>
              <w:right w:val="nil"/>
            </w:tcBorders>
            <w:shd w:val="clear" w:color="auto" w:fill="FDF3D7"/>
          </w:tcPr>
          <w:p>
            <w:r>
              <w:rPr>
                <w:rFonts w:ascii="Arial" w:hAnsi="Arial"/>
                <w:b/>
                <w:i w:val="0"/>
                <w:color w:val="D4A017"/>
                <w:sz w:val="19"/>
              </w:rPr>
              <w:t>Medium</w:t>
            </w:r>
          </w:p>
        </w:tc>
        <w:tc>
          <w:tcPr>
            <w:tcW w:type="dxa" w:w="2835"/>
            <w:shd w:val="clear" w:color="auto" w:fill="F3F2F1"/>
            <w:tcBorders>
              <w:top w:val="nil"/>
              <w:bottom w:val="nil"/>
              <w:left w:val="nil"/>
              <w:right w:val="nil"/>
            </w:tcBorders>
          </w:tcPr>
          <w:p>
            <w:r>
              <w:rPr>
                <w:rFonts w:ascii="Arial" w:hAnsi="Arial"/>
                <w:b/>
                <w:i w:val="0"/>
                <w:color w:val="4A4743"/>
                <w:sz w:val="19"/>
              </w:rPr>
              <w:t>The portal URL and access dates are missing from the body.</w:t>
            </w:r>
          </w:p>
        </w:tc>
        <w:tc>
          <w:tcPr>
            <w:tcW w:type="dxa" w:w="4309"/>
            <w:shd w:val="clear" w:color="auto" w:fill="F3F2F1"/>
            <w:tcBorders>
              <w:top w:val="nil"/>
              <w:bottom w:val="nil"/>
              <w:left w:val="nil"/>
              <w:right w:val="nil"/>
            </w:tcBorders>
          </w:tcPr>
          <w:p>
            <w:r>
              <w:rPr>
                <w:rFonts w:ascii="Arial" w:hAnsi="Arial"/>
                <w:b w:val="0"/>
                <w:i w:val="0"/>
                <w:color w:val="4A4743"/>
                <w:sz w:val="19"/>
              </w:rPr>
              <w:t>The ZPPA e-GP URL (eprocure.zppa.org.zm/epps/home.d) is in the attached mapping template but not in the report itself.</w:t>
            </w:r>
          </w:p>
        </w:tc>
        <w:tc>
          <w:tcPr>
            <w:tcW w:type="dxa" w:w="3628"/>
            <w:shd w:val="clear" w:color="auto" w:fill="F3F2F1"/>
            <w:tcBorders>
              <w:top w:val="nil"/>
              <w:bottom w:val="nil"/>
              <w:left w:val="nil"/>
              <w:right w:val="nil"/>
            </w:tcBorders>
          </w:tcPr>
          <w:p>
            <w:r>
              <w:rPr>
                <w:rFonts w:ascii="Arial" w:hAnsi="Arial"/>
                <w:b w:val="0"/>
                <w:i w:val="0"/>
                <w:color w:val="4A4743"/>
                <w:sz w:val="19"/>
              </w:rPr>
              <w:t>Add the URL and the dates the system was accessed to section 3.1.</w:t>
            </w:r>
          </w:p>
        </w:tc>
        <w:tc>
          <w:tcPr>
            <w:tcW w:type="dxa" w:w="2211"/>
            <w:shd w:val="clear" w:color="auto" w:fill="F3F2F1"/>
            <w:tcBorders>
              <w:top w:val="nil"/>
              <w:bottom w:val="nil"/>
              <w:left w:val="nil"/>
              <w:right w:val="nil"/>
            </w:tcBorders>
          </w:tcPr>
          <w:p>
            <w:r>
              <w:rPr>
                <w:rFonts w:ascii="Arial" w:hAnsi="Arial"/>
                <w:b w:val="0"/>
                <w:i w:val="0"/>
                <w:color w:val="4A4743"/>
                <w:sz w:val="19"/>
              </w:rPr>
              <w:t>Zambia Technical Team</w:t>
            </w:r>
          </w:p>
        </w:tc>
      </w:tr>
      <w:tr>
        <w:tc>
          <w:tcPr>
            <w:tcW w:type="dxa" w:w="624"/>
            <w:shd w:val="clear" w:color="auto" w:fill="FFFFFF"/>
            <w:tcBorders>
              <w:top w:val="nil"/>
              <w:bottom w:val="nil"/>
              <w:left w:val="nil"/>
              <w:right w:val="nil"/>
            </w:tcBorders>
          </w:tcPr>
          <w:p>
            <w:r>
              <w:rPr>
                <w:rFonts w:ascii="Arial" w:hAnsi="Arial"/>
                <w:b/>
                <w:i w:val="0"/>
                <w:color w:val="4A4743"/>
                <w:sz w:val="19"/>
              </w:rPr>
              <w:t>R9</w:t>
            </w:r>
          </w:p>
        </w:tc>
        <w:tc>
          <w:tcPr>
            <w:tcW w:type="dxa" w:w="1191"/>
            <w:shd w:val="clear" w:color="auto" w:fill="FFFFFF"/>
            <w:tcBorders>
              <w:top w:val="nil"/>
              <w:bottom w:val="nil"/>
              <w:left w:val="nil"/>
              <w:right w:val="nil"/>
            </w:tcBorders>
            <w:shd w:val="clear" w:color="auto" w:fill="FDF3D7"/>
          </w:tcPr>
          <w:p>
            <w:r>
              <w:rPr>
                <w:rFonts w:ascii="Arial" w:hAnsi="Arial"/>
                <w:b/>
                <w:i w:val="0"/>
                <w:color w:val="D4A017"/>
                <w:sz w:val="19"/>
              </w:rPr>
              <w:t>Medium</w:t>
            </w:r>
          </w:p>
        </w:tc>
        <w:tc>
          <w:tcPr>
            <w:tcW w:type="dxa" w:w="2835"/>
            <w:shd w:val="clear" w:color="auto" w:fill="FFFFFF"/>
            <w:tcBorders>
              <w:top w:val="nil"/>
              <w:bottom w:val="nil"/>
              <w:left w:val="nil"/>
              <w:right w:val="nil"/>
            </w:tcBorders>
          </w:tcPr>
          <w:p>
            <w:r>
              <w:rPr>
                <w:rFonts w:ascii="Arial" w:hAnsi="Arial"/>
                <w:b/>
                <w:i w:val="0"/>
                <w:color w:val="4A4743"/>
                <w:sz w:val="19"/>
              </w:rPr>
              <w:t>The sample is not quantified.</w:t>
            </w:r>
          </w:p>
        </w:tc>
        <w:tc>
          <w:tcPr>
            <w:tcW w:type="dxa" w:w="4309"/>
            <w:shd w:val="clear" w:color="auto" w:fill="FFFFFF"/>
            <w:tcBorders>
              <w:top w:val="nil"/>
              <w:bottom w:val="nil"/>
              <w:left w:val="nil"/>
              <w:right w:val="nil"/>
            </w:tcBorders>
          </w:tcPr>
          <w:p>
            <w:r>
              <w:rPr>
                <w:rFonts w:ascii="Arial" w:hAnsi="Arial"/>
                <w:b w:val="0"/>
                <w:i w:val="0"/>
                <w:color w:val="4A4743"/>
                <w:sz w:val="19"/>
              </w:rPr>
              <w:t>Section 3 says 'the ZPPA e-GP system was analysed' without specifying what was analysed.</w:t>
            </w:r>
          </w:p>
        </w:tc>
        <w:tc>
          <w:tcPr>
            <w:tcW w:type="dxa" w:w="3628"/>
            <w:shd w:val="clear" w:color="auto" w:fill="FFFFFF"/>
            <w:tcBorders>
              <w:top w:val="nil"/>
              <w:bottom w:val="nil"/>
              <w:left w:val="nil"/>
              <w:right w:val="nil"/>
            </w:tcBorders>
          </w:tcPr>
          <w:p>
            <w:r>
              <w:rPr>
                <w:rFonts w:ascii="Arial" w:hAnsi="Arial"/>
                <w:b w:val="0"/>
                <w:i w:val="0"/>
                <w:color w:val="4A4743"/>
                <w:sz w:val="19"/>
              </w:rPr>
              <w:t>State the count of procurement records reviewed, the aggregate value, the sectors covered, the time window, and how records were selected.</w:t>
            </w:r>
          </w:p>
        </w:tc>
        <w:tc>
          <w:tcPr>
            <w:tcW w:type="dxa" w:w="2211"/>
            <w:shd w:val="clear" w:color="auto" w:fill="FFFFFF"/>
            <w:tcBorders>
              <w:top w:val="nil"/>
              <w:bottom w:val="nil"/>
              <w:left w:val="nil"/>
              <w:right w:val="nil"/>
            </w:tcBorders>
          </w:tcPr>
          <w:p>
            <w:r>
              <w:rPr>
                <w:rFonts w:ascii="Arial" w:hAnsi="Arial"/>
                <w:b w:val="0"/>
                <w:i w:val="0"/>
                <w:color w:val="4A4743"/>
                <w:sz w:val="19"/>
              </w:rPr>
              <w:t>Zambia Technical Team</w:t>
            </w:r>
          </w:p>
        </w:tc>
      </w:tr>
      <w:tr>
        <w:tc>
          <w:tcPr>
            <w:tcW w:type="dxa" w:w="624"/>
            <w:shd w:val="clear" w:color="auto" w:fill="F3F2F1"/>
            <w:tcBorders>
              <w:top w:val="nil"/>
              <w:bottom w:val="nil"/>
              <w:left w:val="nil"/>
              <w:right w:val="nil"/>
            </w:tcBorders>
          </w:tcPr>
          <w:p>
            <w:r>
              <w:rPr>
                <w:rFonts w:ascii="Arial" w:hAnsi="Arial"/>
                <w:b/>
                <w:i w:val="0"/>
                <w:color w:val="4A4743"/>
                <w:sz w:val="19"/>
              </w:rPr>
              <w:t>R10</w:t>
            </w:r>
          </w:p>
        </w:tc>
        <w:tc>
          <w:tcPr>
            <w:tcW w:type="dxa" w:w="1191"/>
            <w:shd w:val="clear" w:color="auto" w:fill="F3F2F1"/>
            <w:tcBorders>
              <w:top w:val="nil"/>
              <w:bottom w:val="nil"/>
              <w:left w:val="nil"/>
              <w:right w:val="nil"/>
            </w:tcBorders>
            <w:shd w:val="clear" w:color="auto" w:fill="E8F5E9"/>
          </w:tcPr>
          <w:p>
            <w:r>
              <w:rPr>
                <w:rFonts w:ascii="Arial" w:hAnsi="Arial"/>
                <w:b/>
                <w:i w:val="0"/>
                <w:color w:val="4EA83D"/>
                <w:sz w:val="19"/>
              </w:rPr>
              <w:t>Low</w:t>
            </w:r>
          </w:p>
        </w:tc>
        <w:tc>
          <w:tcPr>
            <w:tcW w:type="dxa" w:w="2835"/>
            <w:shd w:val="clear" w:color="auto" w:fill="F3F2F1"/>
            <w:tcBorders>
              <w:top w:val="nil"/>
              <w:bottom w:val="nil"/>
              <w:left w:val="nil"/>
              <w:right w:val="nil"/>
            </w:tcBorders>
          </w:tcPr>
          <w:p>
            <w:r>
              <w:rPr>
                <w:rFonts w:ascii="Arial" w:hAnsi="Arial"/>
                <w:b/>
                <w:i w:val="0"/>
                <w:color w:val="4A4743"/>
                <w:sz w:val="19"/>
              </w:rPr>
              <w:t>Some unmapped rows in the template lack a reason.</w:t>
            </w:r>
          </w:p>
        </w:tc>
        <w:tc>
          <w:tcPr>
            <w:tcW w:type="dxa" w:w="4309"/>
            <w:shd w:val="clear" w:color="auto" w:fill="F3F2F1"/>
            <w:tcBorders>
              <w:top w:val="nil"/>
              <w:bottom w:val="nil"/>
              <w:left w:val="nil"/>
              <w:right w:val="nil"/>
            </w:tcBorders>
          </w:tcPr>
          <w:p>
            <w:r>
              <w:rPr>
                <w:rFonts w:ascii="Arial" w:hAnsi="Arial"/>
                <w:b w:val="0"/>
                <w:i w:val="0"/>
                <w:color w:val="4A4743"/>
                <w:sz w:val="19"/>
              </w:rPr>
              <w:t>A spot-check of five unmapped rows in the OC4IDS sheets found no note explaining why the field was left blank.</w:t>
            </w:r>
          </w:p>
        </w:tc>
        <w:tc>
          <w:tcPr>
            <w:tcW w:type="dxa" w:w="3628"/>
            <w:shd w:val="clear" w:color="auto" w:fill="F3F2F1"/>
            <w:tcBorders>
              <w:top w:val="nil"/>
              <w:bottom w:val="nil"/>
              <w:left w:val="nil"/>
              <w:right w:val="nil"/>
            </w:tcBorders>
          </w:tcPr>
          <w:p>
            <w:r>
              <w:rPr>
                <w:rFonts w:ascii="Arial" w:hAnsi="Arial"/>
                <w:b w:val="0"/>
                <w:i w:val="0"/>
                <w:color w:val="4A4743"/>
                <w:sz w:val="19"/>
              </w:rPr>
              <w:t>Before resubmission, add a short Notes entry to every unmapped row in the (OC4IDS) sheets. One line per row is sufficient.</w:t>
            </w:r>
          </w:p>
        </w:tc>
        <w:tc>
          <w:tcPr>
            <w:tcW w:type="dxa" w:w="2211"/>
            <w:shd w:val="clear" w:color="auto" w:fill="F3F2F1"/>
            <w:tcBorders>
              <w:top w:val="nil"/>
              <w:bottom w:val="nil"/>
              <w:left w:val="nil"/>
              <w:right w:val="nil"/>
            </w:tcBorders>
          </w:tcPr>
          <w:p>
            <w:r>
              <w:rPr>
                <w:rFonts w:ascii="Arial" w:hAnsi="Arial"/>
                <w:b w:val="0"/>
                <w:i w:val="0"/>
                <w:color w:val="4A4743"/>
                <w:sz w:val="19"/>
              </w:rPr>
              <w:t>Zambia Technical Team</w:t>
            </w:r>
          </w:p>
        </w:tc>
      </w:tr>
    </w:tbl>
    <w:p>
      <w:pPr>
        <w:spacing w:after="240" w:before="0"/>
      </w:pPr>
    </w:p>
    <w:p>
      <w:r>
        <w:br w:type="page"/>
      </w:r>
    </w:p>
    <w:p>
      <w:r>
        <w:rPr>
          <w:rFonts w:ascii="Arial" w:hAnsi="Arial"/>
          <w:b/>
          <w:i w:val="0"/>
          <w:color w:val="4A4743"/>
          <w:sz w:val="26"/>
        </w:rPr>
        <w:t>5.  What Zambia can publish now</w:t>
      </w:r>
    </w:p>
    <w:tbl>
      <w:tblPr>
        <w:jc w:val="left"/>
        <w:tblLayout w:type="fixed"/>
        <w:tblLook w:firstColumn="1" w:firstRow="1" w:lastColumn="0" w:lastRow="0" w:noHBand="0" w:noVBand="1" w:val="04A0"/>
        <w:tblW w:w="4536" w:type="dxa"/>
      </w:tblPr>
      <w:tblGrid>
        <w:gridCol w:w="14798"/>
      </w:tblGrid>
      <w:tr>
        <w:tc>
          <w:tcPr>
            <w:tcW w:type="dxa" w:w="14798"/>
            <w:tcBorders>
              <w:top w:val="nil"/>
              <w:bottom w:val="single" w:sz="24" w:color="B7251C"/>
              <w:left w:val="nil"/>
              <w:right w:val="nil"/>
            </w:tcBorders>
          </w:tcPr>
          <w:p>
            <w:pPr>
              <w:spacing w:after="0"/>
            </w:pPr>
            <w:r/>
          </w:p>
        </w:tc>
      </w:tr>
    </w:tbl>
    <w:p>
      <w:pPr>
        <w:spacing w:after="80" w:before="0"/>
      </w:pPr>
    </w:p>
    <w:p>
      <w:pPr>
        <w:spacing w:after="160" w:before="0"/>
      </w:pPr>
      <w:r>
        <w:rPr>
          <w:rFonts w:ascii="Arial" w:hAnsi="Arial"/>
          <w:b w:val="0"/>
          <w:i w:val="0"/>
          <w:color w:val="4A4743"/>
          <w:sz w:val="21"/>
        </w:rPr>
        <w:t>This is the reading this review asks for in R7 above. It is also the single table the report's primary audience (MSG members, permanent secretaries, senior officials) will read first. An indicative version, drawn from the current mapping template, appears below. The revision should produce a version reviewed by the Zambia team before publication.</w:t>
      </w:r>
    </w:p>
    <w:p>
      <w:pPr>
        <w:jc w:val="center"/>
      </w:pPr>
      <w:r>
        <w:drawing>
          <wp:inline xmlns:a="http://schemas.openxmlformats.org/drawingml/2006/main" xmlns:pic="http://schemas.openxmlformats.org/drawingml/2006/picture">
            <wp:extent cx="7920000" cy="4394064"/>
            <wp:docPr id="3" name="Picture 3"/>
            <wp:cNvGraphicFramePr>
              <a:graphicFrameLocks noChangeAspect="1"/>
            </wp:cNvGraphicFramePr>
            <a:graphic>
              <a:graphicData uri="http://schemas.openxmlformats.org/drawingml/2006/picture">
                <pic:pic>
                  <pic:nvPicPr>
                    <pic:cNvPr id="0" name="03-decision-buckets.png"/>
                    <pic:cNvPicPr/>
                  </pic:nvPicPr>
                  <pic:blipFill>
                    <a:blip r:embed="rId13"/>
                    <a:stretch>
                      <a:fillRect/>
                    </a:stretch>
                  </pic:blipFill>
                  <pic:spPr>
                    <a:xfrm>
                      <a:off x="0" y="0"/>
                      <a:ext cx="7920000" cy="4394064"/>
                    </a:xfrm>
                    <a:prstGeom prst="rect"/>
                  </pic:spPr>
                </pic:pic>
              </a:graphicData>
            </a:graphic>
          </wp:inline>
        </w:drawing>
      </w:r>
    </w:p>
    <w:p>
      <w:pPr>
        <w:spacing w:after="280" w:before="0"/>
      </w:pPr>
    </w:p>
    <w:p>
      <w:r>
        <w:rPr>
          <w:rFonts w:ascii="Arial" w:hAnsi="Arial"/>
          <w:b/>
          <w:i w:val="0"/>
          <w:color w:val="4A4743"/>
          <w:sz w:val="26"/>
        </w:rPr>
        <w:t>6.  The law already permits most of what is missing</w:t>
      </w:r>
    </w:p>
    <w:tbl>
      <w:tblPr>
        <w:jc w:val="left"/>
        <w:tblLayout w:type="fixed"/>
        <w:tblLook w:firstColumn="1" w:firstRow="1" w:lastColumn="0" w:lastRow="0" w:noHBand="0" w:noVBand="1" w:val="04A0"/>
        <w:tblW w:w="4536" w:type="dxa"/>
      </w:tblPr>
      <w:tblGrid>
        <w:gridCol w:w="14798"/>
      </w:tblGrid>
      <w:tr>
        <w:tc>
          <w:tcPr>
            <w:tcW w:type="dxa" w:w="14798"/>
            <w:tcBorders>
              <w:top w:val="nil"/>
              <w:bottom w:val="single" w:sz="24" w:color="B7251C"/>
              <w:left w:val="nil"/>
              <w:right w:val="nil"/>
            </w:tcBorders>
          </w:tcPr>
          <w:p>
            <w:pPr>
              <w:spacing w:after="0"/>
            </w:pPr>
            <w:r/>
          </w:p>
        </w:tc>
      </w:tr>
    </w:tbl>
    <w:p>
      <w:pPr>
        <w:spacing w:after="80" w:before="0"/>
      </w:pPr>
    </w:p>
    <w:p>
      <w:pPr>
        <w:spacing w:after="160" w:before="0"/>
      </w:pPr>
      <w:r>
        <w:rPr>
          <w:rFonts w:ascii="Arial" w:hAnsi="Arial"/>
          <w:b w:val="0"/>
          <w:i w:val="0"/>
          <w:color w:val="4A4743"/>
          <w:sz w:val="21"/>
        </w:rPr>
        <w:t>This is the point the legal framework analysis in Annex 8.1 already makes. It is worth pulling forward into the body of the report:</w:t>
      </w:r>
    </w:p>
    <w:tbl>
      <w:tblPr>
        <w:jc w:val="left"/>
        <w:tblLayout w:type="fixed"/>
        <w:tblLook w:firstColumn="1" w:firstRow="1" w:lastColumn="0" w:lastRow="0" w:noHBand="0" w:noVBand="1" w:val="04A0"/>
        <w:tblW w:w="14798" w:type="dxa"/>
      </w:tblPr>
      <w:tblGrid>
        <w:gridCol w:w="3969"/>
        <w:gridCol w:w="6520"/>
        <w:gridCol w:w="4309"/>
      </w:tblGrid>
      <w:tr>
        <w:tc>
          <w:tcPr>
            <w:tcW w:type="dxa" w:w="3969"/>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Legal authority</w:t>
            </w:r>
          </w:p>
        </w:tc>
        <w:tc>
          <w:tcPr>
            <w:tcW w:type="dxa" w:w="6520"/>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What it authorises</w:t>
            </w:r>
          </w:p>
        </w:tc>
        <w:tc>
          <w:tcPr>
            <w:tcW w:type="dxa" w:w="4309"/>
            <w:shd w:val="clear" w:color="auto" w:fill="2D2D2D"/>
            <w:tcBorders>
              <w:top w:val="single" w:sz="4" w:color="2D2D2D"/>
              <w:bottom w:val="single" w:sz="4" w:color="2D2D2D"/>
              <w:left w:val="single" w:sz="4" w:color="2D2D2D"/>
              <w:right w:val="single" w:sz="4" w:color="2D2D2D"/>
            </w:tcBorders>
          </w:tcPr>
          <w:p>
            <w:r>
              <w:rPr>
                <w:rFonts w:ascii="Arial" w:hAnsi="Arial"/>
                <w:b/>
                <w:i w:val="0"/>
                <w:color w:val="FFFFFF"/>
                <w:sz w:val="20"/>
              </w:rPr>
              <w:t>Relevance to OC4IDS publication</w:t>
            </w:r>
          </w:p>
        </w:tc>
      </w:tr>
      <w:tr>
        <w:tc>
          <w:tcPr>
            <w:tcW w:type="dxa" w:w="3969"/>
            <w:shd w:val="clear" w:color="auto" w:fill="FFFFFF"/>
            <w:tcBorders>
              <w:top w:val="nil"/>
              <w:bottom w:val="nil"/>
              <w:left w:val="nil"/>
              <w:right w:val="nil"/>
            </w:tcBorders>
          </w:tcPr>
          <w:p>
            <w:r>
              <w:rPr>
                <w:rFonts w:ascii="Arial" w:hAnsi="Arial"/>
                <w:b/>
                <w:i w:val="0"/>
                <w:color w:val="4A4743"/>
                <w:sz w:val="19"/>
              </w:rPr>
              <w:t>Access to Information Act 2023, s.8</w:t>
            </w:r>
          </w:p>
        </w:tc>
        <w:tc>
          <w:tcPr>
            <w:tcW w:type="dxa" w:w="6520"/>
            <w:shd w:val="clear" w:color="auto" w:fill="FFFFFF"/>
            <w:tcBorders>
              <w:top w:val="nil"/>
              <w:bottom w:val="nil"/>
              <w:left w:val="nil"/>
              <w:right w:val="nil"/>
            </w:tcBorders>
          </w:tcPr>
          <w:p>
            <w:r>
              <w:rPr>
                <w:rFonts w:ascii="Arial" w:hAnsi="Arial"/>
                <w:b w:val="0"/>
                <w:i w:val="0"/>
                <w:color w:val="4A4743"/>
                <w:sz w:val="19"/>
              </w:rPr>
              <w:t>Proactive publication by every information holder of contracts signed, suppliers, amounts, and periods for completion.</w:t>
            </w:r>
          </w:p>
        </w:tc>
        <w:tc>
          <w:tcPr>
            <w:tcW w:type="dxa" w:w="4309"/>
            <w:shd w:val="clear" w:color="auto" w:fill="FFFFFF"/>
            <w:tcBorders>
              <w:top w:val="nil"/>
              <w:bottom w:val="nil"/>
              <w:left w:val="nil"/>
              <w:right w:val="nil"/>
            </w:tcBorders>
          </w:tcPr>
          <w:p>
            <w:r>
              <w:rPr>
                <w:rFonts w:ascii="Arial" w:hAnsi="Arial"/>
                <w:b w:val="0"/>
                <w:i w:val="0"/>
                <w:color w:val="4A4743"/>
                <w:sz w:val="19"/>
              </w:rPr>
              <w:t>Broad: covers most procurement-stage and contract-stage OC4IDS fields.</w:t>
            </w:r>
          </w:p>
        </w:tc>
      </w:tr>
      <w:tr>
        <w:tc>
          <w:tcPr>
            <w:tcW w:type="dxa" w:w="3969"/>
            <w:shd w:val="clear" w:color="auto" w:fill="F3F2F1"/>
            <w:tcBorders>
              <w:top w:val="nil"/>
              <w:bottom w:val="nil"/>
              <w:left w:val="nil"/>
              <w:right w:val="nil"/>
            </w:tcBorders>
          </w:tcPr>
          <w:p>
            <w:r>
              <w:rPr>
                <w:rFonts w:ascii="Arial" w:hAnsi="Arial"/>
                <w:b/>
                <w:i w:val="0"/>
                <w:color w:val="4A4743"/>
                <w:sz w:val="19"/>
              </w:rPr>
              <w:t>NCC Act 2020, s.53</w:t>
            </w:r>
          </w:p>
        </w:tc>
        <w:tc>
          <w:tcPr>
            <w:tcW w:type="dxa" w:w="6520"/>
            <w:shd w:val="clear" w:color="auto" w:fill="F3F2F1"/>
            <w:tcBorders>
              <w:top w:val="nil"/>
              <w:bottom w:val="nil"/>
              <w:left w:val="nil"/>
              <w:right w:val="nil"/>
            </w:tcBorders>
          </w:tcPr>
          <w:p>
            <w:r>
              <w:rPr>
                <w:rFonts w:ascii="Arial" w:hAnsi="Arial"/>
                <w:b w:val="0"/>
                <w:i w:val="0"/>
                <w:color w:val="4A4743"/>
                <w:sz w:val="19"/>
              </w:rPr>
              <w:t>Regular project monitoring and evaluation by the National Council for Construction, with the right to request records and to share information across authorities.</w:t>
            </w:r>
          </w:p>
        </w:tc>
        <w:tc>
          <w:tcPr>
            <w:tcW w:type="dxa" w:w="4309"/>
            <w:shd w:val="clear" w:color="auto" w:fill="F3F2F1"/>
            <w:tcBorders>
              <w:top w:val="nil"/>
              <w:bottom w:val="nil"/>
              <w:left w:val="nil"/>
              <w:right w:val="nil"/>
            </w:tcBorders>
          </w:tcPr>
          <w:p>
            <w:r>
              <w:rPr>
                <w:rFonts w:ascii="Arial" w:hAnsi="Arial"/>
                <w:b w:val="0"/>
                <w:i w:val="0"/>
                <w:color w:val="4A4743"/>
                <w:sz w:val="19"/>
              </w:rPr>
              <w:t>Depth: covers implementation-stage fields (progress, quality, variations) that ZPPA does not currently publish.</w:t>
            </w:r>
          </w:p>
        </w:tc>
      </w:tr>
      <w:tr>
        <w:tc>
          <w:tcPr>
            <w:tcW w:type="dxa" w:w="3969"/>
            <w:shd w:val="clear" w:color="auto" w:fill="FFFFFF"/>
            <w:tcBorders>
              <w:top w:val="nil"/>
              <w:bottom w:val="nil"/>
              <w:left w:val="nil"/>
              <w:right w:val="nil"/>
            </w:tcBorders>
          </w:tcPr>
          <w:p>
            <w:r>
              <w:rPr>
                <w:rFonts w:ascii="Arial" w:hAnsi="Arial"/>
                <w:b/>
                <w:i w:val="0"/>
                <w:color w:val="4A4743"/>
                <w:sz w:val="19"/>
              </w:rPr>
              <w:t>ZPPA Act 2020, s.67 and s.70</w:t>
            </w:r>
          </w:p>
        </w:tc>
        <w:tc>
          <w:tcPr>
            <w:tcW w:type="dxa" w:w="6520"/>
            <w:shd w:val="clear" w:color="auto" w:fill="FFFFFF"/>
            <w:tcBorders>
              <w:top w:val="nil"/>
              <w:bottom w:val="nil"/>
              <w:left w:val="nil"/>
              <w:right w:val="nil"/>
            </w:tcBorders>
          </w:tcPr>
          <w:p>
            <w:r>
              <w:rPr>
                <w:rFonts w:ascii="Arial" w:hAnsi="Arial"/>
                <w:b w:val="0"/>
                <w:i w:val="0"/>
                <w:color w:val="4A4743"/>
                <w:sz w:val="19"/>
              </w:rPr>
              <w:t>Transparency of procurement records subject to confidentiality provisions.</w:t>
            </w:r>
          </w:p>
        </w:tc>
        <w:tc>
          <w:tcPr>
            <w:tcW w:type="dxa" w:w="4309"/>
            <w:shd w:val="clear" w:color="auto" w:fill="FFFFFF"/>
            <w:tcBorders>
              <w:top w:val="nil"/>
              <w:bottom w:val="nil"/>
              <w:left w:val="nil"/>
              <w:right w:val="nil"/>
            </w:tcBorders>
          </w:tcPr>
          <w:p>
            <w:r>
              <w:rPr>
                <w:rFonts w:ascii="Arial" w:hAnsi="Arial"/>
                <w:b w:val="0"/>
                <w:i w:val="0"/>
                <w:color w:val="4A4743"/>
                <w:sz w:val="19"/>
              </w:rPr>
              <w:t>Procurement-specific: already supports the fields the e-GP system publishes today.</w:t>
            </w:r>
          </w:p>
        </w:tc>
      </w:tr>
    </w:tbl>
    <w:p>
      <w:pPr>
        <w:spacing w:after="240" w:before="0"/>
      </w:pPr>
    </w:p>
    <w:tbl>
      <w:tblPr>
        <w:jc w:val="left"/>
        <w:tblLayout w:type="fixed"/>
        <w:tblLook w:firstColumn="1" w:firstRow="1" w:lastColumn="0" w:lastRow="0" w:noHBand="0" w:noVBand="1" w:val="04A0"/>
        <w:tblW w:w="14798" w:type="dxa"/>
      </w:tblPr>
      <w:tblGrid>
        <w:gridCol w:w="14798"/>
      </w:tblGrid>
      <w:tr>
        <w:tc>
          <w:tcPr>
            <w:tcW w:type="dxa" w:w="14797"/>
            <w:shd w:val="clear" w:color="auto" w:fill="F3F2F1"/>
            <w:tcBorders>
              <w:top w:val="nil"/>
              <w:bottom w:val="nil"/>
              <w:left w:val="single" w:sz="32" w:color="71B6C9"/>
              <w:right w:val="nil"/>
            </w:tcBorders>
          </w:tcPr>
          <w:p>
            <w:r>
              <w:rPr>
                <w:rFonts w:ascii="Arial" w:hAnsi="Arial"/>
                <w:b/>
                <w:i w:val="0"/>
                <w:color w:val="71B6C9"/>
                <w:sz w:val="20"/>
              </w:rPr>
              <w:t xml:space="preserve">IMPLICATION  </w:t>
            </w:r>
            <w:r>
              <w:rPr>
                <w:rFonts w:ascii="Arial" w:hAnsi="Arial"/>
                <w:b w:val="0"/>
                <w:i w:val="0"/>
                <w:color w:val="4A4743"/>
                <w:sz w:val="21"/>
              </w:rPr>
              <w:t>Publishing most of the missing implementation data does not require new law. It requires an integration layer between ZPPA and NCC, and a short statutory instrument clarifying that the two systems share publication-relevant records. The revision should make this case in the recommendations section.</w:t>
            </w:r>
          </w:p>
        </w:tc>
      </w:tr>
    </w:tbl>
    <w:p>
      <w:pPr>
        <w:spacing w:after="280" w:before="0"/>
      </w:pPr>
    </w:p>
    <w:p>
      <w:r>
        <w:rPr>
          <w:rFonts w:ascii="Arial" w:hAnsi="Arial"/>
          <w:b/>
          <w:i w:val="0"/>
          <w:color w:val="4A4743"/>
          <w:sz w:val="26"/>
        </w:rPr>
        <w:t>7.  Next step</w:t>
      </w:r>
    </w:p>
    <w:tbl>
      <w:tblPr>
        <w:jc w:val="left"/>
        <w:tblLayout w:type="fixed"/>
        <w:tblLook w:firstColumn="1" w:firstRow="1" w:lastColumn="0" w:lastRow="0" w:noHBand="0" w:noVBand="1" w:val="04A0"/>
        <w:tblW w:w="4536" w:type="dxa"/>
      </w:tblPr>
      <w:tblGrid>
        <w:gridCol w:w="14798"/>
      </w:tblGrid>
      <w:tr>
        <w:tc>
          <w:tcPr>
            <w:tcW w:type="dxa" w:w="14798"/>
            <w:tcBorders>
              <w:top w:val="nil"/>
              <w:bottom w:val="single" w:sz="24" w:color="B7251C"/>
              <w:left w:val="nil"/>
              <w:right w:val="nil"/>
            </w:tcBorders>
          </w:tcPr>
          <w:p>
            <w:pPr>
              <w:spacing w:after="0"/>
            </w:pPr>
            <w:r/>
          </w:p>
        </w:tc>
      </w:tr>
    </w:tbl>
    <w:p>
      <w:pPr>
        <w:spacing w:after="80" w:before="0"/>
      </w:pPr>
    </w:p>
    <w:p>
      <w:pPr>
        <w:spacing w:after="240" w:before="0"/>
      </w:pPr>
      <w:r>
        <w:rPr>
          <w:rFonts w:ascii="Arial" w:hAnsi="Arial"/>
          <w:b w:val="0"/>
          <w:i w:val="0"/>
          <w:color w:val="4A4743"/>
          <w:sz w:val="21"/>
        </w:rPr>
        <w:t>This review is a working document between CoST IS and the Zambia Technical Team. The covering note proposes a short call to walk through the ten revisions and agree a resubmission schedule with the MSG. A companion document (02-structural-reference.docx) is attached: it is a short illustrative extract, not a rewrite of the report. Use it as a reference for the kind of specificity a strong report carries, not as content to adopt.</w:t>
      </w:r>
    </w:p>
    <w:p>
      <w:pPr>
        <w:spacing w:after="0" w:before="0"/>
      </w:pPr>
      <w:r>
        <w:rPr>
          <w:rFonts w:ascii="Arial" w:hAnsi="Arial"/>
          <w:b w:val="0"/>
          <w:i/>
          <w:color w:val="9C9B99"/>
          <w:sz w:val="18"/>
        </w:rPr>
        <w:t>Source: Zambia OC4IDS field-level mapping template v0.9.5, accessed 2026-04-23. Zambia OC4IDS field-level mapping report (draft), 3 March 2026.</w:t>
      </w:r>
    </w:p>
    <w:sectPr w:rsidR="00FC693F" w:rsidRPr="0006063C" w:rsidSect="00034616">
      <w:headerReference w:type="default" r:id="rId9"/>
      <w:footerReference w:type="default" r:id="rId10"/>
      <w:pgSz w:w="16838" w:h="11906"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drawing>
        <wp:inline xmlns:a="http://schemas.openxmlformats.org/drawingml/2006/main" xmlns:pic="http://schemas.openxmlformats.org/drawingml/2006/picture">
          <wp:extent cx="6120000" cy="145714"/>
          <wp:docPr id="1" name="Picture 1"/>
          <wp:cNvGraphicFramePr>
            <a:graphicFrameLocks noChangeAspect="1"/>
          </wp:cNvGraphicFramePr>
          <a:graphic>
            <a:graphicData uri="http://schemas.openxmlformats.org/drawingml/2006/picture">
              <pic:pic>
                <pic:nvPicPr>
                  <pic:cNvPr id="0" name="cost-stripe-real.png"/>
                  <pic:cNvPicPr/>
                </pic:nvPicPr>
                <pic:blipFill>
                  <a:blip r:embed="rId1"/>
                  <a:stretch>
                    <a:fillRect/>
                  </a:stretch>
                </pic:blipFill>
                <pic:spPr>
                  <a:xfrm>
                    <a:off x="0" y="0"/>
                    <a:ext cx="6120000" cy="145714"/>
                  </a:xfrm>
                  <a:prstGeom prst="rect"/>
                </pic:spPr>
              </pic:pic>
            </a:graphicData>
          </a:graphic>
        </wp:inline>
      </w:drawing>
    </w:r>
  </w:p>
  <w:p>
    <w:pPr>
      <w:spacing w:before="80"/>
      <w:jc w:val="right"/>
    </w:pPr>
    <w:r>
      <w:rPr>
        <w:rFonts w:ascii="Arial" w:hAnsi="Arial"/>
        <w:color w:val="9C9B99"/>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512000" cy="375241"/>
          <wp:docPr id="1" name="Picture 1"/>
          <wp:cNvGraphicFramePr>
            <a:graphicFrameLocks noChangeAspect="1"/>
          </wp:cNvGraphicFramePr>
          <a:graphic>
            <a:graphicData uri="http://schemas.openxmlformats.org/drawingml/2006/picture">
              <pic:pic>
                <pic:nvPicPr>
                  <pic:cNvPr id="0" name="cost-logo-real.jpeg"/>
                  <pic:cNvPicPr/>
                </pic:nvPicPr>
                <pic:blipFill>
                  <a:blip r:embed="rId1"/>
                  <a:stretch>
                    <a:fillRect/>
                  </a:stretch>
                </pic:blipFill>
                <pic:spPr>
                  <a:xfrm>
                    <a:off x="0" y="0"/>
                    <a:ext cx="1512000" cy="3752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47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