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Findings</w:t>
      </w:r>
    </w:p>
    <w:p>
      <w:r>
        <w:t>This review covers 25 of 100 mapped fields. Recommendations R1 and R2 reference the action list.</w:t>
      </w:r>
    </w:p>
    <w:p>
      <w:r>
        <w:t>NOTE: the total of 100 fields is the universe.</w:t>
      </w:r>
    </w:p>
    <w:p>
      <w:pPr>
        <w:pStyle w:val="Heading1"/>
      </w:pPr>
      <w:r>
        <w:t>Phases</w:t>
      </w:r>
    </w:p>
    <w:p>
      <w:r>
        <w:t>Alpha: 50%. Beta: 25%.</w:t>
      </w:r>
    </w:p>
    <w:p>
      <w:r>
        <w:t>We will leverage this review to examine integration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