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4" w:type="dxa"/>
        <w:tblInd w:w="-545" w:type="dxa"/>
        <w:tblLook w:val="04A0" w:firstRow="1" w:lastRow="0" w:firstColumn="1" w:lastColumn="0" w:noHBand="0" w:noVBand="1"/>
      </w:tblPr>
      <w:tblGrid>
        <w:gridCol w:w="10484"/>
      </w:tblGrid>
      <w:tr w:rsidR="007175BA" w:rsidRPr="00A43FC9" w:rsidTr="00E841BB">
        <w:trPr>
          <w:trHeight w:val="563"/>
        </w:trPr>
        <w:tc>
          <w:tcPr>
            <w:tcW w:w="10484" w:type="dxa"/>
            <w:shd w:val="clear" w:color="auto" w:fill="FFFFFF" w:themeFill="background1"/>
          </w:tcPr>
          <w:p w:rsidR="007175BA" w:rsidRPr="00A43FC9" w:rsidRDefault="007175BA" w:rsidP="00E841BB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43FC9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A43FC9">
              <w:rPr>
                <w:rFonts w:ascii="Arial" w:hAnsi="Arial" w:cs="Arial"/>
                <w:b/>
                <w:sz w:val="24"/>
                <w:szCs w:val="20"/>
              </w:rPr>
              <w:t xml:space="preserve">ontract Addendum for </w:t>
            </w:r>
            <w:r w:rsidRPr="00A43FC9">
              <w:rPr>
                <w:rFonts w:ascii="Arial" w:hAnsi="Arial" w:cs="Arial"/>
                <w:b/>
                <w:bCs/>
                <w:sz w:val="24"/>
                <w:szCs w:val="20"/>
              </w:rPr>
              <w:t>c</w:t>
            </w:r>
            <w:r w:rsidRPr="00A43FC9">
              <w:rPr>
                <w:rFonts w:ascii="Arial" w:eastAsia="Arial Unicode MS" w:hAnsi="Arial" w:cs="Arial"/>
                <w:b/>
                <w:sz w:val="24"/>
                <w:szCs w:val="20"/>
              </w:rPr>
              <w:t>onsultancy to develop data analytical dashboards and engage on improving disclosure of infrastructure with government systems.</w:t>
            </w:r>
          </w:p>
          <w:p w:rsidR="007175BA" w:rsidRPr="00A43FC9" w:rsidRDefault="007175BA" w:rsidP="007175B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  <w:p w:rsidR="007175BA" w:rsidRPr="00A43FC9" w:rsidRDefault="007175BA" w:rsidP="007175BA">
            <w:pPr>
              <w:pStyle w:val="Body"/>
              <w:spacing w:after="0"/>
              <w:ind w:left="0" w:firstLine="0"/>
              <w:jc w:val="center"/>
              <w:rPr>
                <w:rFonts w:ascii="Arial" w:eastAsia="Helvetica" w:hAnsi="Arial" w:cs="Arial"/>
                <w:sz w:val="20"/>
                <w:szCs w:val="20"/>
              </w:rPr>
            </w:pPr>
            <w:r w:rsidRPr="00A43FC9">
              <w:rPr>
                <w:rFonts w:ascii="Arial" w:hAnsi="Arial" w:cs="Arial"/>
                <w:sz w:val="20"/>
                <w:szCs w:val="20"/>
              </w:rPr>
              <w:t>Dr. Levi Kabagambe Bategeka</w:t>
            </w:r>
          </w:p>
          <w:p w:rsidR="007175BA" w:rsidRPr="00A43FC9" w:rsidRDefault="007175BA" w:rsidP="007175BA">
            <w:pPr>
              <w:pStyle w:val="Body"/>
              <w:spacing w:after="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A43FC9">
                <w:rPr>
                  <w:rStyle w:val="Hyperlink"/>
                  <w:rFonts w:ascii="Arial" w:hAnsi="Arial" w:cs="Arial"/>
                  <w:sz w:val="20"/>
                  <w:szCs w:val="20"/>
                </w:rPr>
                <w:t>levi.kabagambe@gmail.com</w:t>
              </w:r>
            </w:hyperlink>
          </w:p>
        </w:tc>
      </w:tr>
      <w:tr w:rsidR="007175BA" w:rsidRPr="00A43FC9" w:rsidTr="00E841BB">
        <w:trPr>
          <w:trHeight w:val="10700"/>
        </w:trPr>
        <w:tc>
          <w:tcPr>
            <w:tcW w:w="10484" w:type="dxa"/>
          </w:tcPr>
          <w:p w:rsidR="007175BA" w:rsidRPr="00A43FC9" w:rsidRDefault="007175BA" w:rsidP="00E841BB">
            <w:pPr>
              <w:tabs>
                <w:tab w:val="left" w:pos="3495"/>
                <w:tab w:val="center" w:pos="5194"/>
              </w:tabs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ab/>
            </w:r>
          </w:p>
          <w:p w:rsidR="007175BA" w:rsidRPr="00A43FC9" w:rsidRDefault="007175BA" w:rsidP="00E841BB">
            <w:pPr>
              <w:tabs>
                <w:tab w:val="left" w:pos="3495"/>
                <w:tab w:val="center" w:pos="5194"/>
              </w:tabs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ab/>
              <w:t>Addendum to existing Contract</w:t>
            </w:r>
          </w:p>
          <w:p w:rsidR="007175BA" w:rsidRPr="00A43FC9" w:rsidRDefault="007175BA" w:rsidP="00A43FC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This document is in reference to a contract agreement dated </w:t>
            </w: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March 2023</w:t>
            </w: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between </w:t>
            </w:r>
            <w:r w:rsidRPr="00A43FC9">
              <w:rPr>
                <w:rFonts w:ascii="Arial" w:hAnsi="Arial" w:cs="Arial"/>
                <w:bCs/>
                <w:sz w:val="20"/>
                <w:szCs w:val="20"/>
              </w:rPr>
              <w:t xml:space="preserve">Africa Freedom of Information Centre on behalf of CoST – Infrastructure Transparency Initiative, hereafter referred to as Client P.O Box 35643, Kampala, Uganda Telephone 0414 533 554 and </w:t>
            </w:r>
            <w:r w:rsidRPr="00A43FC9">
              <w:rPr>
                <w:rFonts w:ascii="Arial" w:hAnsi="Arial" w:cs="Arial"/>
                <w:bCs/>
                <w:sz w:val="20"/>
                <w:szCs w:val="20"/>
              </w:rPr>
              <w:t>Dr. Levi Kabagambe Bategeka</w:t>
            </w:r>
            <w:r w:rsidRPr="00A43FC9">
              <w:rPr>
                <w:rFonts w:ascii="Arial" w:hAnsi="Arial" w:cs="Arial"/>
                <w:bCs/>
                <w:sz w:val="20"/>
                <w:szCs w:val="20"/>
              </w:rPr>
              <w:t xml:space="preserve"> hereafter referred to as “</w:t>
            </w:r>
            <w:r w:rsidRPr="00A43FC9">
              <w:rPr>
                <w:rFonts w:ascii="Arial" w:hAnsi="Arial" w:cs="Arial"/>
                <w:bCs/>
                <w:sz w:val="20"/>
                <w:szCs w:val="20"/>
              </w:rPr>
              <w:t>Consultant”</w:t>
            </w:r>
          </w:p>
          <w:p w:rsidR="007175BA" w:rsidRPr="00A43FC9" w:rsidRDefault="007175BA" w:rsidP="00E841BB">
            <w:pPr>
              <w:pStyle w:val="ListParagraph"/>
              <w:spacing w:after="0"/>
              <w:ind w:left="501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7175BA" w:rsidRPr="00A43FC9" w:rsidRDefault="007175BA" w:rsidP="00A43FC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May it be known that the undersigned parties, for good consideration, do hereby agree to make the following changes and or additions that are outlined </w:t>
            </w: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below?</w:t>
            </w: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These additions shall be made valid as they are included in the original stated contract.</w:t>
            </w:r>
          </w:p>
          <w:p w:rsidR="007175BA" w:rsidRPr="00A43FC9" w:rsidRDefault="007175BA" w:rsidP="00E841BB">
            <w:pPr>
              <w:pStyle w:val="ListParagraph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:rsidR="007175BA" w:rsidRPr="00A43FC9" w:rsidRDefault="007175BA" w:rsidP="00A43FC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Stated Contract for:</w:t>
            </w: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A43FC9">
              <w:rPr>
                <w:rFonts w:ascii="Arial" w:hAnsi="Arial" w:cs="Arial"/>
                <w:sz w:val="20"/>
                <w:szCs w:val="20"/>
              </w:rPr>
              <w:t xml:space="preserve">No-cost time extension for consultancy services as </w:t>
            </w:r>
            <w:r w:rsidRPr="00A43FC9">
              <w:rPr>
                <w:rFonts w:ascii="Arial" w:hAnsi="Arial" w:cs="Arial"/>
                <w:sz w:val="20"/>
                <w:szCs w:val="20"/>
              </w:rPr>
              <w:t>Consultant to</w:t>
            </w:r>
            <w:r w:rsidRPr="00A43F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3FC9">
              <w:rPr>
                <w:rFonts w:ascii="Arial" w:eastAsia="Arial Unicode MS" w:hAnsi="Arial" w:cs="Arial"/>
                <w:sz w:val="20"/>
                <w:szCs w:val="20"/>
              </w:rPr>
              <w:t>develop data analytical dashboards and engage on improving disclosure of infrastructure with government systems.</w:t>
            </w:r>
          </w:p>
          <w:p w:rsidR="007175BA" w:rsidRPr="00A43FC9" w:rsidRDefault="007175BA" w:rsidP="00E841BB">
            <w:pPr>
              <w:spacing w:after="242"/>
              <w:ind w:left="720"/>
              <w:contextualSpacing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7175BA" w:rsidRPr="00A43FC9" w:rsidRDefault="007175BA" w:rsidP="00E841B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                                    Clause to be amended</w:t>
            </w:r>
          </w:p>
          <w:p w:rsidR="007175BA" w:rsidRPr="00A43FC9" w:rsidRDefault="007175BA" w:rsidP="007175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sz w:val="20"/>
                <w:szCs w:val="20"/>
              </w:rPr>
              <w:t>This addendum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 seeks to amend section Seven (7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>), of</w:t>
            </w:r>
            <w:r w:rsidRPr="00A43F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43FC9">
              <w:rPr>
                <w:rFonts w:ascii="Arial" w:hAnsi="Arial" w:cs="Arial"/>
                <w:bCs/>
                <w:sz w:val="20"/>
                <w:szCs w:val="20"/>
              </w:rPr>
              <w:t xml:space="preserve">Deliverables, Reporting timeline and </w:t>
            </w:r>
            <w:r w:rsidRPr="00A43FC9">
              <w:rPr>
                <w:rFonts w:ascii="Arial" w:hAnsi="Arial" w:cs="Arial"/>
                <w:bCs/>
                <w:sz w:val="20"/>
                <w:szCs w:val="20"/>
              </w:rPr>
              <w:t>Supervision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 by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 extending the time frame of the work at no cost from 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A43FC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 May</w:t>
            </w:r>
            <w:r w:rsidR="00FC3C91"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FC3C91" w:rsidRPr="00A43FC9">
              <w:rPr>
                <w:rFonts w:ascii="Arial" w:eastAsia="Times New Roman" w:hAnsi="Arial" w:cs="Arial"/>
                <w:sz w:val="20"/>
                <w:szCs w:val="20"/>
              </w:rPr>
              <w:t>30</w:t>
            </w:r>
            <w:r w:rsidR="00FC3C91" w:rsidRPr="00A43FC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th</w:t>
            </w:r>
            <w:r w:rsidR="00FC3C91"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 June 2023 </w:t>
            </w:r>
          </w:p>
          <w:p w:rsidR="007175BA" w:rsidRPr="00A43FC9" w:rsidRDefault="007175BA" w:rsidP="00E841BB">
            <w:pPr>
              <w:pStyle w:val="ListParagraph"/>
              <w:shd w:val="clear" w:color="auto" w:fill="FFFFFF"/>
              <w:spacing w:after="0"/>
              <w:ind w:left="86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175BA" w:rsidRPr="00A43FC9" w:rsidRDefault="007175BA" w:rsidP="00A43F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sz w:val="20"/>
                <w:szCs w:val="20"/>
              </w:rPr>
              <w:t>Purpose of the Addendum</w:t>
            </w:r>
          </w:p>
          <w:p w:rsidR="007175BA" w:rsidRPr="00A43FC9" w:rsidRDefault="007175BA" w:rsidP="00E841B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This addendum is expected to provide additional time for </w:t>
            </w:r>
            <w:r w:rsidR="00FC3C91" w:rsidRPr="00A43FC9">
              <w:rPr>
                <w:rFonts w:ascii="Arial" w:eastAsia="Times New Roman" w:hAnsi="Arial" w:cs="Arial"/>
                <w:sz w:val="20"/>
                <w:szCs w:val="20"/>
              </w:rPr>
              <w:t>the Consultant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 to provide professional and technical support in the </w:t>
            </w:r>
            <w:r w:rsidR="00FC3C91"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development of the analytical dashboard, engagements with the OC4IDS help desk and compile the analytical report. 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The delayed delivery of the task is attributed to the following factors; </w:t>
            </w:r>
          </w:p>
          <w:p w:rsidR="00A43FC9" w:rsidRPr="00A43FC9" w:rsidRDefault="00A43FC9" w:rsidP="00A43FC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43FC9">
              <w:rPr>
                <w:rFonts w:ascii="Arial" w:hAnsi="Arial" w:cs="Arial"/>
                <w:sz w:val="20"/>
                <w:szCs w:val="20"/>
              </w:rPr>
              <w:t xml:space="preserve">Data inefficiencies with disclosed data that required two weeks of correspondences with PPDA and MoFPED </w:t>
            </w:r>
          </w:p>
          <w:p w:rsidR="00A43FC9" w:rsidRPr="00A43FC9" w:rsidRDefault="00A43FC9" w:rsidP="00A43FC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43FC9">
              <w:rPr>
                <w:rFonts w:ascii="Arial" w:hAnsi="Arial" w:cs="Arial"/>
                <w:sz w:val="20"/>
                <w:szCs w:val="20"/>
              </w:rPr>
              <w:t xml:space="preserve">Reviewing the dashboard to secure approval from the OC4IDS, which took a week. </w:t>
            </w:r>
          </w:p>
          <w:p w:rsidR="007175BA" w:rsidRPr="00A43FC9" w:rsidRDefault="007175BA" w:rsidP="00A43FC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43FC9">
              <w:rPr>
                <w:rFonts w:ascii="Arial" w:hAnsi="Arial" w:cs="Arial"/>
                <w:sz w:val="20"/>
                <w:szCs w:val="20"/>
              </w:rPr>
              <w:t>The scope of work was</w:t>
            </w:r>
            <w:r w:rsidR="00A43FC9" w:rsidRPr="00A43FC9">
              <w:rPr>
                <w:rFonts w:ascii="Arial" w:hAnsi="Arial" w:cs="Arial"/>
                <w:sz w:val="20"/>
                <w:szCs w:val="20"/>
              </w:rPr>
              <w:t xml:space="preserve"> revised to further include additional indicators. </w:t>
            </w:r>
          </w:p>
          <w:p w:rsidR="007175BA" w:rsidRPr="00A43FC9" w:rsidRDefault="007175BA" w:rsidP="00E841BB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75BA" w:rsidRPr="00A43FC9" w:rsidRDefault="00A43FC9" w:rsidP="00E841BB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sz w:val="20"/>
                <w:szCs w:val="20"/>
              </w:rPr>
              <w:t>The time extension of one and  half months</w:t>
            </w:r>
            <w:r w:rsidR="007175BA"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 will cover the time lost during the circumstances explained above and will be used to deliver the following tasks in the </w:t>
            </w:r>
            <w:r w:rsidRPr="00A43FC9">
              <w:rPr>
                <w:rFonts w:ascii="Arial" w:eastAsia="Times New Roman" w:hAnsi="Arial" w:cs="Arial"/>
                <w:sz w:val="20"/>
                <w:szCs w:val="20"/>
              </w:rPr>
              <w:t xml:space="preserve">contract under section 5; 6 and 8; </w:t>
            </w:r>
          </w:p>
          <w:p w:rsidR="00A43FC9" w:rsidRPr="00A43FC9" w:rsidRDefault="00A43FC9" w:rsidP="00A43FC9">
            <w:pPr>
              <w:pStyle w:val="Default"/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A43FC9">
              <w:rPr>
                <w:sz w:val="20"/>
                <w:szCs w:val="20"/>
              </w:rPr>
              <w:t xml:space="preserve">A total of four use cases </w:t>
            </w:r>
          </w:p>
          <w:p w:rsidR="00A43FC9" w:rsidRPr="00A43FC9" w:rsidRDefault="00A43FC9" w:rsidP="00A43FC9">
            <w:pPr>
              <w:pStyle w:val="Default"/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A43FC9">
              <w:rPr>
                <w:sz w:val="20"/>
                <w:szCs w:val="20"/>
              </w:rPr>
              <w:t>A designed and approved analytical platform</w:t>
            </w:r>
          </w:p>
          <w:p w:rsidR="00A43FC9" w:rsidRPr="00A43FC9" w:rsidRDefault="00A43FC9" w:rsidP="00A43FC9">
            <w:pPr>
              <w:pStyle w:val="Default"/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A43FC9">
              <w:rPr>
                <w:sz w:val="20"/>
                <w:szCs w:val="20"/>
              </w:rPr>
              <w:t xml:space="preserve">Disclosure performance report developed against agreed-upon indicators </w:t>
            </w:r>
          </w:p>
          <w:p w:rsidR="00A43FC9" w:rsidRPr="00A43FC9" w:rsidRDefault="00A43FC9" w:rsidP="00A43FC9">
            <w:pPr>
              <w:pStyle w:val="Default"/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A43FC9">
              <w:rPr>
                <w:sz w:val="20"/>
                <w:szCs w:val="20"/>
              </w:rPr>
              <w:t xml:space="preserve">Status report on the integration of the OC4IDS into the EGP  </w:t>
            </w:r>
          </w:p>
          <w:p w:rsidR="00A43FC9" w:rsidRPr="00A43FC9" w:rsidRDefault="00A43FC9" w:rsidP="00A43FC9">
            <w:pPr>
              <w:pStyle w:val="Default"/>
              <w:numPr>
                <w:ilvl w:val="0"/>
                <w:numId w:val="6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A43FC9">
              <w:rPr>
                <w:sz w:val="20"/>
                <w:szCs w:val="20"/>
              </w:rPr>
              <w:t xml:space="preserve">End of task report </w:t>
            </w:r>
          </w:p>
          <w:p w:rsidR="007175BA" w:rsidRPr="00A43FC9" w:rsidRDefault="007175BA" w:rsidP="00E841BB">
            <w:pPr>
              <w:pStyle w:val="Default"/>
              <w:spacing w:line="276" w:lineRule="auto"/>
              <w:rPr>
                <w:sz w:val="20"/>
                <w:szCs w:val="20"/>
              </w:rPr>
            </w:pPr>
          </w:p>
          <w:p w:rsidR="007175BA" w:rsidRPr="00A43FC9" w:rsidRDefault="007175BA" w:rsidP="00A43FC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other terms or conditions of the above-mentioned contract shall be negated or changed as a result of this here stated addendum. </w:t>
            </w:r>
          </w:p>
          <w:p w:rsidR="007175BA" w:rsidRPr="00A43FC9" w:rsidRDefault="007175BA" w:rsidP="00E841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7175BA" w:rsidRPr="00A43FC9" w:rsidRDefault="007175BA" w:rsidP="00E841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>Effective date of Addendum</w:t>
            </w:r>
          </w:p>
          <w:p w:rsidR="007175BA" w:rsidRPr="00A43FC9" w:rsidRDefault="007175BA" w:rsidP="00E841BB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7175BA" w:rsidRPr="00A43FC9" w:rsidRDefault="007175BA" w:rsidP="00A43FC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addendum shall take effect on the date of signature by the parties.</w:t>
            </w:r>
          </w:p>
          <w:p w:rsidR="007175BA" w:rsidRPr="00A43FC9" w:rsidRDefault="007175BA" w:rsidP="00E841B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175BA" w:rsidRPr="00A43FC9" w:rsidRDefault="007175BA" w:rsidP="00E841BB">
            <w:pPr>
              <w:pStyle w:val="ListParagraph"/>
              <w:spacing w:after="0"/>
              <w:ind w:left="50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175BA" w:rsidRPr="00A43FC9" w:rsidRDefault="00A43FC9" w:rsidP="00E841BB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Dr. Levi Bategeka Kabagambe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4"/>
              <w:gridCol w:w="2663"/>
              <w:gridCol w:w="699"/>
              <w:gridCol w:w="2528"/>
            </w:tblGrid>
            <w:tr w:rsidR="007175BA" w:rsidRPr="00A43FC9" w:rsidTr="00E841BB">
              <w:trPr>
                <w:trHeight w:val="414"/>
              </w:trPr>
              <w:tc>
                <w:tcPr>
                  <w:tcW w:w="1094" w:type="dxa"/>
                  <w:vAlign w:val="bottom"/>
                </w:tcPr>
                <w:p w:rsidR="007175BA" w:rsidRPr="00A43FC9" w:rsidRDefault="007175BA" w:rsidP="00E841B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A43FC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2663" w:type="dxa"/>
                  <w:tcBorders>
                    <w:bottom w:val="single" w:sz="4" w:space="0" w:color="auto"/>
                  </w:tcBorders>
                  <w:vAlign w:val="bottom"/>
                </w:tcPr>
                <w:p w:rsidR="007175BA" w:rsidRPr="00A43FC9" w:rsidRDefault="007175BA" w:rsidP="00E841BB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vAlign w:val="bottom"/>
                </w:tcPr>
                <w:p w:rsidR="007175BA" w:rsidRPr="00A43FC9" w:rsidRDefault="007175BA" w:rsidP="00E841B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A43FC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2528" w:type="dxa"/>
                  <w:tcBorders>
                    <w:bottom w:val="single" w:sz="4" w:space="0" w:color="auto"/>
                  </w:tcBorders>
                  <w:vAlign w:val="bottom"/>
                </w:tcPr>
                <w:p w:rsidR="007175BA" w:rsidRPr="00A43FC9" w:rsidRDefault="00A43FC9" w:rsidP="00E841BB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A43FC9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5</w:t>
                  </w:r>
                  <w:r w:rsidRPr="00A43FC9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vertAlign w:val="superscript"/>
                    </w:rPr>
                    <w:t>th</w:t>
                  </w:r>
                  <w:r w:rsidRPr="00A43FC9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 May 2023 </w:t>
                  </w:r>
                </w:p>
              </w:tc>
            </w:tr>
          </w:tbl>
          <w:p w:rsidR="007175BA" w:rsidRPr="00A43FC9" w:rsidRDefault="007175BA" w:rsidP="00E841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Approved by: Gilbert Sendugwa (Executive Director AFIC)</w:t>
            </w: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Signature </w:t>
            </w: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Date </w:t>
            </w:r>
            <w:r w:rsidRPr="00A43F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__________________</w:t>
            </w:r>
            <w:r w:rsidR="00A43FC9"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5</w:t>
            </w:r>
            <w:r w:rsidR="00A43FC9"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 w:rsidR="00A43FC9"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May 2023 </w:t>
            </w: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Witnessed by: Olive Kabatwairwe (Programme Coordinator CoST Uganda)</w:t>
            </w: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Signature _</w:t>
            </w:r>
            <w:r w:rsidRPr="00A43FC9">
              <w:rPr>
                <w:rFonts w:ascii="Arial" w:hAnsi="Arial" w:cs="Arial"/>
                <w:noProof/>
                <w:sz w:val="20"/>
                <w:szCs w:val="20"/>
              </w:rPr>
              <w:t>___________________</w:t>
            </w:r>
            <w:r w:rsidRPr="00A43F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 Date: _____</w:t>
            </w:r>
            <w:r w:rsidR="00A43FC9"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5</w:t>
            </w:r>
            <w:r w:rsidR="00A43FC9"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 w:rsidR="00A43FC9" w:rsidRPr="00A43FC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May 2023 _</w:t>
            </w:r>
          </w:p>
          <w:p w:rsidR="007175BA" w:rsidRPr="00A43FC9" w:rsidRDefault="007175BA" w:rsidP="00E841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175BA" w:rsidRPr="00A43FC9" w:rsidRDefault="007175BA" w:rsidP="007175BA">
      <w:pPr>
        <w:rPr>
          <w:rFonts w:ascii="Arial" w:hAnsi="Arial" w:cs="Arial"/>
          <w:sz w:val="20"/>
          <w:szCs w:val="20"/>
        </w:rPr>
      </w:pPr>
    </w:p>
    <w:p w:rsidR="007175BA" w:rsidRPr="00A43FC9" w:rsidRDefault="007175BA" w:rsidP="007175BA">
      <w:pPr>
        <w:rPr>
          <w:rFonts w:ascii="Arial" w:hAnsi="Arial" w:cs="Arial"/>
          <w:sz w:val="20"/>
          <w:szCs w:val="20"/>
        </w:rPr>
      </w:pPr>
    </w:p>
    <w:p w:rsidR="007175BA" w:rsidRPr="00A43FC9" w:rsidRDefault="007175BA" w:rsidP="007175BA">
      <w:pPr>
        <w:rPr>
          <w:rFonts w:ascii="Arial" w:hAnsi="Arial" w:cs="Arial"/>
          <w:sz w:val="20"/>
          <w:szCs w:val="20"/>
        </w:rPr>
      </w:pPr>
    </w:p>
    <w:p w:rsidR="00C47272" w:rsidRPr="00A43FC9" w:rsidRDefault="00A43FC9">
      <w:pPr>
        <w:rPr>
          <w:rFonts w:ascii="Arial" w:hAnsi="Arial" w:cs="Arial"/>
          <w:sz w:val="20"/>
          <w:szCs w:val="20"/>
        </w:rPr>
      </w:pPr>
    </w:p>
    <w:sectPr w:rsidR="00C47272" w:rsidRPr="00A43FC9" w:rsidSect="00AA5F14">
      <w:footerReference w:type="default" r:id="rId6"/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331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5258" w:rsidRDefault="00A43FC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43FC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5258" w:rsidRDefault="00A43FC9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4E0B"/>
    <w:multiLevelType w:val="hybridMultilevel"/>
    <w:tmpl w:val="97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766F9"/>
    <w:multiLevelType w:val="hybridMultilevel"/>
    <w:tmpl w:val="5A42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C6C50"/>
    <w:multiLevelType w:val="hybridMultilevel"/>
    <w:tmpl w:val="BA060624"/>
    <w:lvl w:ilvl="0" w:tplc="4B2A076E">
      <w:start w:val="1"/>
      <w:numFmt w:val="decimal"/>
      <w:lvlText w:val="%1."/>
      <w:lvlJc w:val="left"/>
      <w:pPr>
        <w:ind w:left="72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52161"/>
    <w:multiLevelType w:val="hybridMultilevel"/>
    <w:tmpl w:val="687CBD60"/>
    <w:lvl w:ilvl="0" w:tplc="4B2A076E">
      <w:start w:val="1"/>
      <w:numFmt w:val="decimal"/>
      <w:lvlText w:val="%1."/>
      <w:lvlJc w:val="left"/>
      <w:pPr>
        <w:ind w:left="1440" w:hanging="360"/>
      </w:pPr>
      <w:rPr>
        <w:rFonts w:eastAsia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B178E"/>
    <w:multiLevelType w:val="hybridMultilevel"/>
    <w:tmpl w:val="A5CE6864"/>
    <w:lvl w:ilvl="0" w:tplc="535EA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858EC"/>
    <w:multiLevelType w:val="hybridMultilevel"/>
    <w:tmpl w:val="246A6062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11FAB"/>
    <w:multiLevelType w:val="hybridMultilevel"/>
    <w:tmpl w:val="2A6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BA"/>
    <w:rsid w:val="0030547D"/>
    <w:rsid w:val="007175BA"/>
    <w:rsid w:val="008C7BB7"/>
    <w:rsid w:val="00A43FC9"/>
    <w:rsid w:val="00BE42BE"/>
    <w:rsid w:val="00CE7999"/>
    <w:rsid w:val="00DA5DFD"/>
    <w:rsid w:val="00F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D73A8-14FC-4A80-AD56-693FC909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5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2,OBC Bullet,List Paragraph11,Colorful List - Accent 11,Normal numbered"/>
    <w:basedOn w:val="Normal"/>
    <w:link w:val="ListParagraphChar"/>
    <w:uiPriority w:val="34"/>
    <w:qFormat/>
    <w:rsid w:val="007175BA"/>
    <w:pPr>
      <w:ind w:left="720"/>
      <w:contextualSpacing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2 Char"/>
    <w:basedOn w:val="DefaultParagraphFont"/>
    <w:link w:val="ListParagraph"/>
    <w:uiPriority w:val="34"/>
    <w:qFormat/>
    <w:rsid w:val="007175BA"/>
  </w:style>
  <w:style w:type="character" w:styleId="Hyperlink">
    <w:name w:val="Hyperlink"/>
    <w:basedOn w:val="DefaultParagraphFont"/>
    <w:uiPriority w:val="99"/>
    <w:unhideWhenUsed/>
    <w:rsid w:val="007175B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5BA"/>
  </w:style>
  <w:style w:type="paragraph" w:customStyle="1" w:styleId="Default">
    <w:name w:val="Default"/>
    <w:rsid w:val="007175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Body">
    <w:name w:val="Body"/>
    <w:rsid w:val="007175BA"/>
    <w:pPr>
      <w:pBdr>
        <w:top w:val="nil"/>
        <w:left w:val="nil"/>
        <w:bottom w:val="nil"/>
        <w:right w:val="nil"/>
        <w:between w:val="nil"/>
        <w:bar w:val="nil"/>
      </w:pBdr>
      <w:spacing w:after="242" w:line="265" w:lineRule="auto"/>
      <w:ind w:left="161" w:hanging="9"/>
      <w:jc w:val="both"/>
    </w:pPr>
    <w:rPr>
      <w:rFonts w:ascii="Cambria" w:eastAsia="Cambria" w:hAnsi="Cambria" w:cs="Cambria"/>
      <w:color w:val="221F20"/>
      <w:sz w:val="24"/>
      <w:szCs w:val="24"/>
      <w:u w:color="221F20"/>
      <w:bdr w:val="nil"/>
    </w:rPr>
  </w:style>
  <w:style w:type="character" w:customStyle="1" w:styleId="go">
    <w:name w:val="go"/>
    <w:basedOn w:val="DefaultParagraphFont"/>
    <w:rsid w:val="0071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levi.kabagamb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</dc:creator>
  <cp:keywords/>
  <dc:description/>
  <cp:lastModifiedBy>CoST</cp:lastModifiedBy>
  <cp:revision>1</cp:revision>
  <dcterms:created xsi:type="dcterms:W3CDTF">2023-06-29T08:18:00Z</dcterms:created>
  <dcterms:modified xsi:type="dcterms:W3CDTF">2023-06-29T08:48:00Z</dcterms:modified>
</cp:coreProperties>
</file>