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E49A" w14:textId="430F382B" w:rsidR="004477C5" w:rsidRPr="00413233" w:rsidRDefault="004477C5" w:rsidP="00F916F7">
      <w:pPr>
        <w:pStyle w:val="Heading1"/>
        <w:rPr>
          <w:lang w:val="en-US"/>
        </w:rPr>
      </w:pPr>
      <w:r w:rsidRPr="00413233">
        <w:rPr>
          <w:lang w:val="en-US"/>
        </w:rPr>
        <w:t xml:space="preserve">CENG 463 Homework </w:t>
      </w:r>
      <w:r w:rsidR="00713694" w:rsidRPr="00413233">
        <w:rPr>
          <w:lang w:val="en-US"/>
        </w:rPr>
        <w:t>3</w:t>
      </w:r>
      <w:r w:rsidRPr="00413233">
        <w:rPr>
          <w:lang w:val="en-US"/>
        </w:rPr>
        <w:t xml:space="preserve"> due to </w:t>
      </w:r>
      <w:r w:rsidR="00713694" w:rsidRPr="00413233">
        <w:rPr>
          <w:lang w:val="en-US"/>
        </w:rPr>
        <w:t>12</w:t>
      </w:r>
      <w:r w:rsidR="003C6517" w:rsidRPr="00413233">
        <w:rPr>
          <w:vertAlign w:val="superscript"/>
          <w:lang w:val="en-US"/>
        </w:rPr>
        <w:t>th</w:t>
      </w:r>
      <w:r w:rsidRPr="00413233">
        <w:rPr>
          <w:lang w:val="en-US"/>
        </w:rPr>
        <w:t xml:space="preserve"> </w:t>
      </w:r>
      <w:r w:rsidR="00713694" w:rsidRPr="00413233">
        <w:rPr>
          <w:lang w:val="en-US"/>
        </w:rPr>
        <w:t>November</w:t>
      </w:r>
      <w:r w:rsidRPr="00413233">
        <w:rPr>
          <w:lang w:val="en-US"/>
        </w:rPr>
        <w:t xml:space="preserve"> 2022 at 13.00. </w:t>
      </w:r>
    </w:p>
    <w:p w14:paraId="64068505" w14:textId="07E1E6D7" w:rsidR="000528A6" w:rsidRPr="00413233" w:rsidRDefault="00157B53">
      <w:pPr>
        <w:rPr>
          <w:b/>
          <w:bCs/>
          <w:lang w:val="en-US"/>
        </w:rPr>
      </w:pPr>
      <w:r>
        <w:rPr>
          <w:b/>
          <w:bCs/>
          <w:lang w:val="en-US"/>
        </w:rPr>
        <w:t>Curve fitting to Crop Phenologies</w:t>
      </w:r>
    </w:p>
    <w:p w14:paraId="1CDA3CF9" w14:textId="735EEE71" w:rsidR="004477C5" w:rsidRPr="00413233" w:rsidRDefault="004477C5">
      <w:pPr>
        <w:rPr>
          <w:b/>
          <w:bCs/>
          <w:lang w:val="en-US"/>
        </w:rPr>
      </w:pPr>
      <w:r w:rsidRPr="00413233">
        <w:rPr>
          <w:b/>
          <w:bCs/>
          <w:lang w:val="en-US"/>
        </w:rPr>
        <w:t xml:space="preserve">Description: </w:t>
      </w:r>
    </w:p>
    <w:p w14:paraId="1BEE5C90" w14:textId="0143BFB4" w:rsidR="00155FA4" w:rsidRPr="00413233" w:rsidRDefault="00713694">
      <w:pPr>
        <w:rPr>
          <w:lang w:val="en-US"/>
        </w:rPr>
      </w:pPr>
      <w:r w:rsidRPr="00413233">
        <w:rPr>
          <w:lang w:val="en-US"/>
        </w:rPr>
        <w:t xml:space="preserve">We are going to fit linear (lines) functions to corn and cotton data in the Harran Plain. </w:t>
      </w:r>
      <w:r w:rsidR="004C28FB" w:rsidRPr="00413233">
        <w:rPr>
          <w:lang w:val="en-US"/>
        </w:rPr>
        <w:t>Discuss outputs</w:t>
      </w:r>
      <w:r w:rsidR="002C6150">
        <w:rPr>
          <w:lang w:val="en-US"/>
        </w:rPr>
        <w:t xml:space="preserve"> and </w:t>
      </w:r>
      <w:r w:rsidR="004C28FB" w:rsidRPr="00413233">
        <w:rPr>
          <w:lang w:val="en-US"/>
        </w:rPr>
        <w:t>fit qualities.</w:t>
      </w:r>
      <w:r w:rsidR="00F42BCB" w:rsidRPr="00413233">
        <w:rPr>
          <w:lang w:val="en-US"/>
        </w:rPr>
        <w:t xml:space="preserve"> Each step requires a brief discussion as markdowns in your notebook files. </w:t>
      </w:r>
      <w:r w:rsidR="00157B53">
        <w:rPr>
          <w:lang w:val="en-US"/>
        </w:rPr>
        <w:t xml:space="preserve">Use </w:t>
      </w:r>
      <w:r w:rsidR="00157B53" w:rsidRPr="00157B53">
        <w:rPr>
          <w:lang w:val="en-US"/>
        </w:rPr>
        <w:t>HW3Data.csv</w:t>
      </w:r>
      <w:r w:rsidR="00157B53">
        <w:rPr>
          <w:lang w:val="en-US"/>
        </w:rPr>
        <w:t xml:space="preserve"> as input. Fit curves to both corn and cotton crops at each year. </w:t>
      </w:r>
      <w:r w:rsidR="00EC2D6B">
        <w:rPr>
          <w:lang w:val="en-US"/>
        </w:rPr>
        <w:t xml:space="preserve">Plot your fittings: group plots for each question. </w:t>
      </w:r>
    </w:p>
    <w:p w14:paraId="16E7214A" w14:textId="08EA0245" w:rsidR="004477C5" w:rsidRPr="00413233" w:rsidRDefault="00BB2E2C">
      <w:pPr>
        <w:rPr>
          <w:lang w:val="en-US"/>
        </w:rPr>
      </w:pPr>
      <w:r>
        <w:rPr>
          <w:lang w:val="en-US"/>
        </w:rPr>
        <w:t>You may s</w:t>
      </w:r>
      <w:r w:rsidR="001440ED" w:rsidRPr="00413233">
        <w:rPr>
          <w:lang w:val="en-US"/>
        </w:rPr>
        <w:t xml:space="preserve">tart with the Lecture </w:t>
      </w:r>
      <w:r w:rsidR="00713694" w:rsidRPr="00413233">
        <w:rPr>
          <w:lang w:val="en-US"/>
        </w:rPr>
        <w:t>5</w:t>
      </w:r>
      <w:r w:rsidR="001440ED" w:rsidRPr="00413233">
        <w:rPr>
          <w:lang w:val="en-US"/>
        </w:rPr>
        <w:t xml:space="preserve"> </w:t>
      </w:r>
      <w:proofErr w:type="spellStart"/>
      <w:r w:rsidR="001440ED" w:rsidRPr="00413233">
        <w:rPr>
          <w:lang w:val="en-US"/>
        </w:rPr>
        <w:t>Jupyter</w:t>
      </w:r>
      <w:proofErr w:type="spellEnd"/>
      <w:r w:rsidR="001440ED" w:rsidRPr="00413233">
        <w:rPr>
          <w:lang w:val="en-US"/>
        </w:rPr>
        <w:t xml:space="preserve"> Notebook </w:t>
      </w:r>
      <w:r w:rsidR="00713694" w:rsidRPr="00413233">
        <w:rPr>
          <w:lang w:val="en-US"/>
        </w:rPr>
        <w:t xml:space="preserve">or from </w:t>
      </w:r>
      <w:r>
        <w:rPr>
          <w:lang w:val="en-US"/>
        </w:rPr>
        <w:t xml:space="preserve">the </w:t>
      </w:r>
      <w:r w:rsidR="00713694" w:rsidRPr="00413233">
        <w:rPr>
          <w:lang w:val="en-US"/>
        </w:rPr>
        <w:t>scratch</w:t>
      </w:r>
    </w:p>
    <w:p w14:paraId="48374EB4" w14:textId="781496CA" w:rsidR="003C6517" w:rsidRPr="00413233" w:rsidRDefault="003C6517">
      <w:pPr>
        <w:rPr>
          <w:b/>
          <w:bCs/>
          <w:lang w:val="en-US"/>
        </w:rPr>
      </w:pPr>
      <w:r w:rsidRPr="00413233">
        <w:rPr>
          <w:b/>
          <w:bCs/>
          <w:lang w:val="en-US"/>
        </w:rPr>
        <w:t xml:space="preserve">Tasks: </w:t>
      </w:r>
    </w:p>
    <w:p w14:paraId="428D7514" w14:textId="7316D3B4" w:rsidR="003C6517" w:rsidRPr="00413233" w:rsidRDefault="004C28FB" w:rsidP="003C6517">
      <w:pPr>
        <w:pStyle w:val="ListParagraph"/>
        <w:numPr>
          <w:ilvl w:val="0"/>
          <w:numId w:val="1"/>
        </w:numPr>
        <w:rPr>
          <w:lang w:val="en-US"/>
        </w:rPr>
      </w:pPr>
      <w:r w:rsidRPr="00413233">
        <w:rPr>
          <w:lang w:val="en-US"/>
        </w:rPr>
        <w:t xml:space="preserve">Fit curves to corn and cotton NDVI vs days. In 2013. </w:t>
      </w:r>
      <w:r w:rsidR="00F42BCB" w:rsidRPr="00413233">
        <w:rPr>
          <w:lang w:val="en-US"/>
        </w:rPr>
        <w:t xml:space="preserve">Solve both manually and </w:t>
      </w:r>
      <w:proofErr w:type="spellStart"/>
      <w:r w:rsidR="00F42BCB" w:rsidRPr="00413233">
        <w:rPr>
          <w:lang w:val="en-US"/>
        </w:rPr>
        <w:t>SKLeaarn</w:t>
      </w:r>
      <w:proofErr w:type="spellEnd"/>
      <w:r w:rsidR="00F42BCB" w:rsidRPr="00413233">
        <w:rPr>
          <w:lang w:val="en-US"/>
        </w:rPr>
        <w:t xml:space="preserve">, then compare errors. </w:t>
      </w:r>
    </w:p>
    <w:p w14:paraId="0B78A687" w14:textId="766727EA" w:rsidR="003C6517" w:rsidRPr="00413233" w:rsidRDefault="00F42BCB" w:rsidP="003C6517">
      <w:pPr>
        <w:pStyle w:val="ListParagraph"/>
        <w:numPr>
          <w:ilvl w:val="0"/>
          <w:numId w:val="1"/>
        </w:numPr>
        <w:rPr>
          <w:lang w:val="en-US"/>
        </w:rPr>
      </w:pPr>
      <w:r w:rsidRPr="00413233">
        <w:rPr>
          <w:lang w:val="en-US"/>
        </w:rPr>
        <w:t xml:space="preserve">Estimate EVI and MSAVI from NDVI by using curve fitting in 2013 </w:t>
      </w:r>
      <w:r w:rsidR="00EC2D6B">
        <w:rPr>
          <w:lang w:val="en-US"/>
        </w:rPr>
        <w:t>(EVI and MSAVI vs NDVI) .</w:t>
      </w:r>
      <w:r w:rsidRPr="00413233">
        <w:rPr>
          <w:lang w:val="en-US"/>
        </w:rPr>
        <w:t xml:space="preserve">Solve both manually and </w:t>
      </w:r>
      <w:proofErr w:type="spellStart"/>
      <w:r w:rsidRPr="00413233">
        <w:rPr>
          <w:lang w:val="en-US"/>
        </w:rPr>
        <w:t>SKLeaarn</w:t>
      </w:r>
      <w:proofErr w:type="spellEnd"/>
      <w:r w:rsidRPr="00413233">
        <w:rPr>
          <w:lang w:val="en-US"/>
        </w:rPr>
        <w:t>, then compare errors.</w:t>
      </w:r>
    </w:p>
    <w:p w14:paraId="62BF542A" w14:textId="244ADA8E" w:rsidR="003C6517" w:rsidRPr="00413233" w:rsidRDefault="00F42BCB" w:rsidP="003C6517">
      <w:pPr>
        <w:pStyle w:val="ListParagraph"/>
        <w:numPr>
          <w:ilvl w:val="0"/>
          <w:numId w:val="1"/>
        </w:numPr>
        <w:rPr>
          <w:lang w:val="en-US"/>
        </w:rPr>
      </w:pPr>
      <w:r w:rsidRPr="00413233">
        <w:rPr>
          <w:lang w:val="en-US"/>
        </w:rPr>
        <w:t xml:space="preserve">Estimate 2014 NDVI, EVI and MSAVI values from 2013’s NDVI curve data by using curve fitting. </w:t>
      </w:r>
    </w:p>
    <w:p w14:paraId="339E163C" w14:textId="2FAD688D" w:rsidR="00155FA4" w:rsidRPr="00413233" w:rsidRDefault="00F42BCB" w:rsidP="003C6517">
      <w:pPr>
        <w:pStyle w:val="ListParagraph"/>
        <w:numPr>
          <w:ilvl w:val="0"/>
          <w:numId w:val="1"/>
        </w:numPr>
        <w:rPr>
          <w:lang w:val="en-US"/>
        </w:rPr>
      </w:pPr>
      <w:r w:rsidRPr="00413233">
        <w:rPr>
          <w:lang w:val="en-US"/>
        </w:rPr>
        <w:t xml:space="preserve">Add discussion at each step and describe limitations of linear curve fitting for this data set. Select appropriate quality metrics then analyze fitting quality. </w:t>
      </w:r>
      <w:r w:rsidR="00157B53">
        <w:rPr>
          <w:lang w:val="en-US"/>
        </w:rPr>
        <w:t xml:space="preserve">Discuss suitability of estimation for corn and cotton. Is there any difference between crop phenologies. </w:t>
      </w:r>
    </w:p>
    <w:p w14:paraId="7309B589" w14:textId="35D744B7" w:rsidR="00173294" w:rsidRPr="00413233" w:rsidRDefault="00155FA4">
      <w:pPr>
        <w:rPr>
          <w:b/>
          <w:bCs/>
          <w:lang w:val="en-US"/>
        </w:rPr>
      </w:pPr>
      <w:r w:rsidRPr="00413233">
        <w:rPr>
          <w:b/>
          <w:bCs/>
          <w:lang w:val="en-US"/>
        </w:rPr>
        <w:t>Notes</w:t>
      </w:r>
      <w:r w:rsidR="00173294" w:rsidRPr="00413233">
        <w:rPr>
          <w:b/>
          <w:bCs/>
          <w:lang w:val="en-US"/>
        </w:rPr>
        <w:t>:</w:t>
      </w:r>
    </w:p>
    <w:p w14:paraId="20FDC57A" w14:textId="428DAB84" w:rsidR="00BB2E2C" w:rsidRPr="00413233" w:rsidRDefault="00DA76A2">
      <w:pPr>
        <w:rPr>
          <w:lang w:val="en-US"/>
        </w:rPr>
      </w:pPr>
      <w:r w:rsidRPr="00413233">
        <w:rPr>
          <w:lang w:val="en-US"/>
        </w:rPr>
        <w:t xml:space="preserve">You may group with another student, teams of 2 students are allowed. </w:t>
      </w:r>
      <w:r w:rsidR="00F42BCB" w:rsidRPr="00413233">
        <w:rPr>
          <w:lang w:val="en-US"/>
        </w:rPr>
        <w:t xml:space="preserve">I expect equal or similar contribution. </w:t>
      </w:r>
    </w:p>
    <w:p w14:paraId="77FE206F" w14:textId="57DE1A92" w:rsidR="00300441" w:rsidRPr="00413233" w:rsidRDefault="00DA76A2">
      <w:pPr>
        <w:rPr>
          <w:lang w:val="en-US"/>
        </w:rPr>
      </w:pPr>
      <w:r w:rsidRPr="00413233">
        <w:rPr>
          <w:lang w:val="en-US"/>
        </w:rPr>
        <w:t xml:space="preserve">Only your notebooks for your group will be submitted. </w:t>
      </w:r>
      <w:r w:rsidR="003C6517" w:rsidRPr="00413233">
        <w:rPr>
          <w:lang w:val="en-US"/>
        </w:rPr>
        <w:t>Add Student ID and your initials such as MT1223456789_Second</w:t>
      </w:r>
      <w:r w:rsidR="00155FA4" w:rsidRPr="00413233">
        <w:rPr>
          <w:lang w:val="en-US"/>
        </w:rPr>
        <w:t>StudentInitialsSecondStudentID.ipynb, put full names &amp; IDs in the top of the file</w:t>
      </w:r>
      <w:r w:rsidR="00F555AB" w:rsidRPr="00413233">
        <w:rPr>
          <w:lang w:val="en-US"/>
        </w:rPr>
        <w:t xml:space="preserve">. The file </w:t>
      </w:r>
      <w:r w:rsidR="001F7C5B" w:rsidRPr="00413233">
        <w:rPr>
          <w:lang w:val="en-US"/>
        </w:rPr>
        <w:t>and data are</w:t>
      </w:r>
      <w:r w:rsidR="00F555AB" w:rsidRPr="00413233">
        <w:rPr>
          <w:lang w:val="en-US"/>
        </w:rPr>
        <w:t xml:space="preserve"> available in course </w:t>
      </w:r>
      <w:proofErr w:type="spellStart"/>
      <w:r w:rsidR="00F555AB" w:rsidRPr="00413233">
        <w:rPr>
          <w:lang w:val="en-US"/>
        </w:rPr>
        <w:t>GDrive</w:t>
      </w:r>
      <w:proofErr w:type="spellEnd"/>
      <w:r w:rsidR="00F555AB" w:rsidRPr="00413233">
        <w:rPr>
          <w:lang w:val="en-US"/>
        </w:rPr>
        <w:t xml:space="preserve"> share.</w:t>
      </w:r>
    </w:p>
    <w:p w14:paraId="79E6D387" w14:textId="0B06553A" w:rsidR="00713694" w:rsidRPr="00413233" w:rsidRDefault="00DA76A2">
      <w:pPr>
        <w:rPr>
          <w:lang w:val="en-US"/>
        </w:rPr>
      </w:pPr>
      <w:r w:rsidRPr="00413233">
        <w:rPr>
          <w:lang w:val="en-US"/>
        </w:rPr>
        <w:t>Add code comments and discuss your findings in the notebook.</w:t>
      </w:r>
      <w:r w:rsidR="002C6150">
        <w:rPr>
          <w:lang w:val="en-US"/>
        </w:rPr>
        <w:t xml:space="preserve"> </w:t>
      </w:r>
      <w:r w:rsidR="00713694" w:rsidRPr="00413233">
        <w:rPr>
          <w:lang w:val="en-US"/>
        </w:rPr>
        <w:t xml:space="preserve">Markdowns and discussions should be in English. </w:t>
      </w:r>
    </w:p>
    <w:p w14:paraId="311C43A6" w14:textId="68BC0FAC" w:rsidR="00155FA4" w:rsidRPr="00413233" w:rsidRDefault="00155FA4">
      <w:pPr>
        <w:rPr>
          <w:lang w:val="en-US"/>
        </w:rPr>
      </w:pPr>
      <w:r w:rsidRPr="00413233">
        <w:rPr>
          <w:lang w:val="en-US"/>
        </w:rPr>
        <w:t xml:space="preserve">Elegant code, useful comments and </w:t>
      </w:r>
      <w:r w:rsidR="00F42BCB" w:rsidRPr="00413233">
        <w:rPr>
          <w:lang w:val="en-US"/>
        </w:rPr>
        <w:t xml:space="preserve">extra </w:t>
      </w:r>
      <w:r w:rsidRPr="00413233">
        <w:rPr>
          <w:lang w:val="en-US"/>
        </w:rPr>
        <w:t xml:space="preserve">efforts will be graded handsomely. </w:t>
      </w:r>
    </w:p>
    <w:p w14:paraId="75542F44" w14:textId="26A34289" w:rsidR="006A0624" w:rsidRPr="00413233" w:rsidRDefault="006A0624">
      <w:pPr>
        <w:rPr>
          <w:lang w:val="en-US"/>
        </w:rPr>
      </w:pPr>
      <w:r w:rsidRPr="00413233">
        <w:rPr>
          <w:lang w:val="en-US"/>
        </w:rPr>
        <w:t xml:space="preserve">You may ask your questions in lecture </w:t>
      </w:r>
      <w:r w:rsidR="00BB2E2C">
        <w:rPr>
          <w:lang w:val="en-US"/>
        </w:rPr>
        <w:t>7</w:t>
      </w:r>
      <w:r w:rsidRPr="00413233">
        <w:rPr>
          <w:lang w:val="en-US"/>
        </w:rPr>
        <w:t xml:space="preserve"> </w:t>
      </w:r>
      <w:r w:rsidR="00313C27" w:rsidRPr="00413233">
        <w:rPr>
          <w:lang w:val="en-US"/>
        </w:rPr>
        <w:t>on</w:t>
      </w:r>
      <w:r w:rsidRPr="00413233">
        <w:rPr>
          <w:lang w:val="en-US"/>
        </w:rPr>
        <w:t xml:space="preserve"> </w:t>
      </w:r>
      <w:r w:rsidR="00F42BCB" w:rsidRPr="00413233">
        <w:rPr>
          <w:lang w:val="en-US"/>
        </w:rPr>
        <w:t>11</w:t>
      </w:r>
      <w:r w:rsidRPr="00413233">
        <w:rPr>
          <w:vertAlign w:val="superscript"/>
          <w:lang w:val="en-US"/>
        </w:rPr>
        <w:t>th</w:t>
      </w:r>
      <w:r w:rsidRPr="00413233">
        <w:rPr>
          <w:lang w:val="en-US"/>
        </w:rPr>
        <w:t xml:space="preserve"> </w:t>
      </w:r>
      <w:r w:rsidR="00F42BCB" w:rsidRPr="00413233">
        <w:rPr>
          <w:lang w:val="en-US"/>
        </w:rPr>
        <w:t>November</w:t>
      </w:r>
      <w:r w:rsidRPr="00413233">
        <w:rPr>
          <w:lang w:val="en-US"/>
        </w:rPr>
        <w:t xml:space="preserve">. </w:t>
      </w:r>
    </w:p>
    <w:p w14:paraId="7EF51704" w14:textId="77777777" w:rsidR="00DA76A2" w:rsidRPr="00413233" w:rsidRDefault="00DA76A2">
      <w:pPr>
        <w:rPr>
          <w:lang w:val="en-US"/>
        </w:rPr>
      </w:pPr>
    </w:p>
    <w:p w14:paraId="0C99E381" w14:textId="59E026E9" w:rsidR="00300441" w:rsidRPr="00413233" w:rsidRDefault="00300441">
      <w:pPr>
        <w:rPr>
          <w:lang w:val="en-US"/>
        </w:rPr>
      </w:pPr>
      <w:r w:rsidRPr="00413233">
        <w:rPr>
          <w:lang w:val="en-US"/>
        </w:rPr>
        <w:t>Good Luck</w:t>
      </w:r>
    </w:p>
    <w:p w14:paraId="07419496" w14:textId="52B29E19" w:rsidR="00300441" w:rsidRPr="00413233" w:rsidRDefault="00300441">
      <w:pPr>
        <w:rPr>
          <w:lang w:val="en-US"/>
        </w:rPr>
      </w:pPr>
      <w:r w:rsidRPr="00413233">
        <w:rPr>
          <w:lang w:val="en-US"/>
        </w:rPr>
        <w:t>Dr. Mustafa Teke</w:t>
      </w:r>
    </w:p>
    <w:p w14:paraId="29680238" w14:textId="21FF5F22" w:rsidR="00F42BCB" w:rsidRPr="00413233" w:rsidRDefault="00F42BCB">
      <w:pPr>
        <w:rPr>
          <w:lang w:val="en-US"/>
        </w:rPr>
      </w:pPr>
    </w:p>
    <w:p w14:paraId="5CF1659B" w14:textId="77777777" w:rsidR="00F42BCB" w:rsidRPr="00413233" w:rsidRDefault="00F42BCB">
      <w:pPr>
        <w:rPr>
          <w:lang w:val="en-US"/>
        </w:rPr>
      </w:pPr>
      <w:r w:rsidRPr="00413233">
        <w:rPr>
          <w:lang w:val="en-US"/>
        </w:rPr>
        <w:br w:type="page"/>
      </w:r>
    </w:p>
    <w:p w14:paraId="61DE235C" w14:textId="6EA66005" w:rsidR="00F42BCB" w:rsidRPr="00413233" w:rsidRDefault="00F42BCB">
      <w:pPr>
        <w:rPr>
          <w:lang w:val="en-US"/>
        </w:rPr>
      </w:pPr>
      <w:r w:rsidRPr="00413233">
        <w:rPr>
          <w:lang w:val="en-US"/>
        </w:rPr>
        <w:lastRenderedPageBreak/>
        <w:t xml:space="preserve">Appendix Vegetation </w:t>
      </w:r>
      <w:r w:rsidR="00413233" w:rsidRPr="00413233">
        <w:rPr>
          <w:lang w:val="en-US"/>
        </w:rPr>
        <w:t>Indices</w:t>
      </w:r>
    </w:p>
    <w:p w14:paraId="7FBE985F" w14:textId="4DE87EC1" w:rsidR="00413233" w:rsidRPr="00413233" w:rsidRDefault="00413233">
      <w:pPr>
        <w:rPr>
          <w:lang w:val="en-US"/>
        </w:rPr>
      </w:pPr>
    </w:p>
    <w:tbl>
      <w:tblPr>
        <w:tblW w:w="0" w:type="auto"/>
        <w:jc w:val="center"/>
        <w:tblCellMar>
          <w:top w:w="14" w:type="dxa"/>
          <w:left w:w="0" w:type="dxa"/>
          <w:bottom w:w="14" w:type="dxa"/>
          <w:right w:w="0" w:type="dxa"/>
        </w:tblCellMar>
        <w:tblLook w:val="04A0" w:firstRow="1" w:lastRow="0" w:firstColumn="1" w:lastColumn="0" w:noHBand="0" w:noVBand="1"/>
      </w:tblPr>
      <w:tblGrid>
        <w:gridCol w:w="471"/>
        <w:gridCol w:w="2678"/>
        <w:gridCol w:w="2678"/>
        <w:gridCol w:w="2678"/>
      </w:tblGrid>
      <w:tr w:rsidR="00413233" w:rsidRPr="00413233" w14:paraId="40F75F9C" w14:textId="77777777" w:rsidTr="00413233">
        <w:trPr>
          <w:cantSplit/>
          <w:trHeight w:val="260"/>
          <w:jc w:val="center"/>
        </w:trPr>
        <w:tc>
          <w:tcPr>
            <w:tcW w:w="471" w:type="dxa"/>
            <w:textDirection w:val="btLr"/>
            <w:vAlign w:val="center"/>
          </w:tcPr>
          <w:p w14:paraId="7FEA98C6" w14:textId="77777777" w:rsidR="00413233" w:rsidRPr="00413233" w:rsidRDefault="00413233" w:rsidP="00C3072A">
            <w:pPr>
              <w:keepNext/>
              <w:keepLines/>
              <w:spacing w:after="0"/>
              <w:ind w:left="113" w:right="113"/>
              <w:jc w:val="center"/>
              <w:rPr>
                <w:lang w:val="en-US"/>
              </w:rPr>
            </w:pPr>
          </w:p>
        </w:tc>
        <w:tc>
          <w:tcPr>
            <w:tcW w:w="2678" w:type="dxa"/>
          </w:tcPr>
          <w:p w14:paraId="65F3E03C" w14:textId="77777777" w:rsidR="00413233" w:rsidRPr="00413233" w:rsidRDefault="00413233" w:rsidP="00C3072A">
            <w:pPr>
              <w:keepNext/>
              <w:keepLines/>
              <w:spacing w:after="0"/>
              <w:jc w:val="center"/>
              <w:rPr>
                <w:lang w:val="en-US"/>
              </w:rPr>
            </w:pPr>
            <w:r w:rsidRPr="00413233">
              <w:rPr>
                <w:lang w:val="en-US"/>
              </w:rPr>
              <w:t>NDVI</w:t>
            </w:r>
          </w:p>
        </w:tc>
        <w:tc>
          <w:tcPr>
            <w:tcW w:w="2678" w:type="dxa"/>
          </w:tcPr>
          <w:p w14:paraId="57EE44D2" w14:textId="77777777" w:rsidR="00413233" w:rsidRPr="00413233" w:rsidRDefault="00413233" w:rsidP="00C3072A">
            <w:pPr>
              <w:keepNext/>
              <w:keepLines/>
              <w:spacing w:after="0"/>
              <w:jc w:val="center"/>
              <w:rPr>
                <w:lang w:val="en-US"/>
              </w:rPr>
            </w:pPr>
            <w:r w:rsidRPr="00413233">
              <w:rPr>
                <w:lang w:val="en-US"/>
              </w:rPr>
              <w:t>EVI</w:t>
            </w:r>
          </w:p>
        </w:tc>
        <w:tc>
          <w:tcPr>
            <w:tcW w:w="2678" w:type="dxa"/>
          </w:tcPr>
          <w:p w14:paraId="6AD3231F" w14:textId="77777777" w:rsidR="00413233" w:rsidRPr="00413233" w:rsidRDefault="00413233" w:rsidP="00C3072A">
            <w:pPr>
              <w:keepNext/>
              <w:keepLines/>
              <w:spacing w:after="0"/>
              <w:jc w:val="center"/>
              <w:rPr>
                <w:lang w:val="en-US"/>
              </w:rPr>
            </w:pPr>
            <w:r w:rsidRPr="00413233">
              <w:rPr>
                <w:lang w:val="en-US"/>
              </w:rPr>
              <w:t>MSAVI</w:t>
            </w:r>
          </w:p>
        </w:tc>
      </w:tr>
      <w:tr w:rsidR="00413233" w:rsidRPr="00413233" w14:paraId="218DC49D" w14:textId="77777777" w:rsidTr="00413233">
        <w:trPr>
          <w:cantSplit/>
          <w:trHeight w:val="1134"/>
          <w:jc w:val="center"/>
        </w:trPr>
        <w:tc>
          <w:tcPr>
            <w:tcW w:w="471" w:type="dxa"/>
            <w:textDirection w:val="btLr"/>
            <w:vAlign w:val="center"/>
          </w:tcPr>
          <w:p w14:paraId="6D1BCD8B" w14:textId="77777777" w:rsidR="00413233" w:rsidRPr="00413233" w:rsidRDefault="00413233" w:rsidP="00C3072A">
            <w:pPr>
              <w:keepNext/>
              <w:keepLines/>
              <w:spacing w:after="0"/>
              <w:ind w:left="113" w:right="113"/>
              <w:jc w:val="center"/>
              <w:rPr>
                <w:lang w:val="en-US"/>
              </w:rPr>
            </w:pPr>
            <w:r w:rsidRPr="00413233">
              <w:rPr>
                <w:lang w:val="en-US"/>
              </w:rPr>
              <w:t>2013</w:t>
            </w:r>
          </w:p>
        </w:tc>
        <w:tc>
          <w:tcPr>
            <w:tcW w:w="2678" w:type="dxa"/>
          </w:tcPr>
          <w:p w14:paraId="5EA94096" w14:textId="77777777" w:rsidR="00413233" w:rsidRPr="00413233" w:rsidRDefault="00413233" w:rsidP="00C3072A">
            <w:pPr>
              <w:keepNext/>
              <w:keepLines/>
              <w:spacing w:after="0"/>
              <w:jc w:val="center"/>
              <w:rPr>
                <w:lang w:val="en-US"/>
              </w:rPr>
            </w:pPr>
            <w:r w:rsidRPr="00413233">
              <w:rPr>
                <w:noProof/>
                <w:lang w:val="en-US"/>
              </w:rPr>
              <w:drawing>
                <wp:inline distT="0" distB="0" distL="0" distR="0" wp14:anchorId="4813FB8D" wp14:editId="41A6195A">
                  <wp:extent cx="1700784" cy="1280160"/>
                  <wp:effectExtent l="0" t="0" r="0" b="0"/>
                  <wp:docPr id="68"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6"/>
                          <a:stretch>
                            <a:fillRect/>
                          </a:stretch>
                        </pic:blipFill>
                        <pic:spPr>
                          <a:xfrm>
                            <a:off x="0" y="0"/>
                            <a:ext cx="1700784" cy="1280160"/>
                          </a:xfrm>
                          <a:prstGeom prst="rect">
                            <a:avLst/>
                          </a:prstGeom>
                        </pic:spPr>
                      </pic:pic>
                    </a:graphicData>
                  </a:graphic>
                </wp:inline>
              </w:drawing>
            </w:r>
          </w:p>
        </w:tc>
        <w:tc>
          <w:tcPr>
            <w:tcW w:w="2678" w:type="dxa"/>
          </w:tcPr>
          <w:p w14:paraId="1E1F9455" w14:textId="77777777" w:rsidR="00413233" w:rsidRPr="00413233" w:rsidRDefault="00413233" w:rsidP="00C3072A">
            <w:pPr>
              <w:keepNext/>
              <w:keepLines/>
              <w:spacing w:after="0"/>
              <w:jc w:val="center"/>
              <w:rPr>
                <w:lang w:val="en-US"/>
              </w:rPr>
            </w:pPr>
            <w:r w:rsidRPr="00413233">
              <w:rPr>
                <w:noProof/>
                <w:lang w:val="en-US"/>
              </w:rPr>
              <w:drawing>
                <wp:inline distT="0" distB="0" distL="0" distR="0" wp14:anchorId="1C277654" wp14:editId="30F325D2">
                  <wp:extent cx="1700784" cy="1280160"/>
                  <wp:effectExtent l="0" t="0" r="0" b="0"/>
                  <wp:docPr id="7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a:stretch>
                            <a:fillRect/>
                          </a:stretch>
                        </pic:blipFill>
                        <pic:spPr>
                          <a:xfrm>
                            <a:off x="0" y="0"/>
                            <a:ext cx="1700784" cy="1280160"/>
                          </a:xfrm>
                          <a:prstGeom prst="rect">
                            <a:avLst/>
                          </a:prstGeom>
                        </pic:spPr>
                      </pic:pic>
                    </a:graphicData>
                  </a:graphic>
                </wp:inline>
              </w:drawing>
            </w:r>
          </w:p>
        </w:tc>
        <w:tc>
          <w:tcPr>
            <w:tcW w:w="2678" w:type="dxa"/>
          </w:tcPr>
          <w:p w14:paraId="3C8A528D" w14:textId="77777777" w:rsidR="00413233" w:rsidRPr="00413233" w:rsidRDefault="00413233" w:rsidP="00C3072A">
            <w:pPr>
              <w:keepNext/>
              <w:keepLines/>
              <w:spacing w:after="0"/>
              <w:jc w:val="center"/>
              <w:rPr>
                <w:lang w:val="en-US"/>
              </w:rPr>
            </w:pPr>
            <w:r w:rsidRPr="00413233">
              <w:rPr>
                <w:noProof/>
                <w:lang w:val="en-US"/>
              </w:rPr>
              <w:drawing>
                <wp:inline distT="0" distB="0" distL="0" distR="0" wp14:anchorId="7AFEB0B1" wp14:editId="17CD7A7A">
                  <wp:extent cx="1700784" cy="1280160"/>
                  <wp:effectExtent l="0" t="0" r="0" b="0"/>
                  <wp:docPr id="79"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a:stretch>
                            <a:fillRect/>
                          </a:stretch>
                        </pic:blipFill>
                        <pic:spPr>
                          <a:xfrm>
                            <a:off x="0" y="0"/>
                            <a:ext cx="1700784" cy="1280160"/>
                          </a:xfrm>
                          <a:prstGeom prst="rect">
                            <a:avLst/>
                          </a:prstGeom>
                        </pic:spPr>
                      </pic:pic>
                    </a:graphicData>
                  </a:graphic>
                </wp:inline>
              </w:drawing>
            </w:r>
          </w:p>
        </w:tc>
      </w:tr>
      <w:tr w:rsidR="00413233" w:rsidRPr="00413233" w14:paraId="58CD9361" w14:textId="77777777" w:rsidTr="00413233">
        <w:trPr>
          <w:cantSplit/>
          <w:trHeight w:val="1134"/>
          <w:jc w:val="center"/>
        </w:trPr>
        <w:tc>
          <w:tcPr>
            <w:tcW w:w="471" w:type="dxa"/>
            <w:textDirection w:val="btLr"/>
            <w:vAlign w:val="center"/>
          </w:tcPr>
          <w:p w14:paraId="56BC8942" w14:textId="77777777" w:rsidR="00413233" w:rsidRPr="00413233" w:rsidRDefault="00413233" w:rsidP="00C3072A">
            <w:pPr>
              <w:keepNext/>
              <w:keepLines/>
              <w:spacing w:after="0"/>
              <w:ind w:left="113" w:right="113"/>
              <w:jc w:val="center"/>
              <w:rPr>
                <w:lang w:val="en-US"/>
              </w:rPr>
            </w:pPr>
            <w:r w:rsidRPr="00413233">
              <w:rPr>
                <w:lang w:val="en-US"/>
              </w:rPr>
              <w:t>2014</w:t>
            </w:r>
          </w:p>
        </w:tc>
        <w:tc>
          <w:tcPr>
            <w:tcW w:w="2678" w:type="dxa"/>
          </w:tcPr>
          <w:p w14:paraId="19EA9B18" w14:textId="77777777" w:rsidR="00413233" w:rsidRPr="00413233" w:rsidRDefault="00413233" w:rsidP="00C3072A">
            <w:pPr>
              <w:keepNext/>
              <w:keepLines/>
              <w:spacing w:after="0"/>
              <w:jc w:val="center"/>
              <w:rPr>
                <w:lang w:val="en-US"/>
              </w:rPr>
            </w:pPr>
            <w:r w:rsidRPr="00413233">
              <w:rPr>
                <w:noProof/>
                <w:lang w:val="en-US"/>
              </w:rPr>
              <w:drawing>
                <wp:inline distT="0" distB="0" distL="0" distR="0" wp14:anchorId="40E05DAE" wp14:editId="7A76C15C">
                  <wp:extent cx="1700784" cy="1280160"/>
                  <wp:effectExtent l="0" t="0" r="0" b="0"/>
                  <wp:docPr id="80"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9"/>
                          <a:stretch>
                            <a:fillRect/>
                          </a:stretch>
                        </pic:blipFill>
                        <pic:spPr>
                          <a:xfrm>
                            <a:off x="0" y="0"/>
                            <a:ext cx="1700784" cy="1280160"/>
                          </a:xfrm>
                          <a:prstGeom prst="rect">
                            <a:avLst/>
                          </a:prstGeom>
                        </pic:spPr>
                      </pic:pic>
                    </a:graphicData>
                  </a:graphic>
                </wp:inline>
              </w:drawing>
            </w:r>
          </w:p>
        </w:tc>
        <w:tc>
          <w:tcPr>
            <w:tcW w:w="2678" w:type="dxa"/>
          </w:tcPr>
          <w:p w14:paraId="584CB3B2" w14:textId="77777777" w:rsidR="00413233" w:rsidRPr="00413233" w:rsidRDefault="00413233" w:rsidP="00C3072A">
            <w:pPr>
              <w:keepNext/>
              <w:keepLines/>
              <w:spacing w:after="0"/>
              <w:jc w:val="center"/>
              <w:rPr>
                <w:lang w:val="en-US"/>
              </w:rPr>
            </w:pPr>
            <w:r w:rsidRPr="00413233">
              <w:rPr>
                <w:noProof/>
                <w:lang w:val="en-US"/>
              </w:rPr>
              <w:drawing>
                <wp:inline distT="0" distB="0" distL="0" distR="0" wp14:anchorId="38E4EEDE" wp14:editId="41AC8BA5">
                  <wp:extent cx="1700784" cy="1280160"/>
                  <wp:effectExtent l="0" t="0" r="0" b="0"/>
                  <wp:docPr id="81"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0"/>
                          <a:stretch>
                            <a:fillRect/>
                          </a:stretch>
                        </pic:blipFill>
                        <pic:spPr>
                          <a:xfrm>
                            <a:off x="0" y="0"/>
                            <a:ext cx="1700784" cy="1280160"/>
                          </a:xfrm>
                          <a:prstGeom prst="rect">
                            <a:avLst/>
                          </a:prstGeom>
                        </pic:spPr>
                      </pic:pic>
                    </a:graphicData>
                  </a:graphic>
                </wp:inline>
              </w:drawing>
            </w:r>
          </w:p>
        </w:tc>
        <w:tc>
          <w:tcPr>
            <w:tcW w:w="2678" w:type="dxa"/>
          </w:tcPr>
          <w:p w14:paraId="1196948D" w14:textId="77777777" w:rsidR="00413233" w:rsidRPr="00413233" w:rsidRDefault="00413233" w:rsidP="00C3072A">
            <w:pPr>
              <w:keepNext/>
              <w:keepLines/>
              <w:spacing w:after="0"/>
              <w:jc w:val="center"/>
              <w:rPr>
                <w:lang w:val="en-US"/>
              </w:rPr>
            </w:pPr>
            <w:r w:rsidRPr="00413233">
              <w:rPr>
                <w:noProof/>
                <w:lang w:val="en-US"/>
              </w:rPr>
              <w:drawing>
                <wp:inline distT="0" distB="0" distL="0" distR="0" wp14:anchorId="13762058" wp14:editId="35C39CEC">
                  <wp:extent cx="1700784" cy="1280160"/>
                  <wp:effectExtent l="0" t="0" r="0" b="0"/>
                  <wp:docPr id="82"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1"/>
                          <a:stretch>
                            <a:fillRect/>
                          </a:stretch>
                        </pic:blipFill>
                        <pic:spPr>
                          <a:xfrm>
                            <a:off x="0" y="0"/>
                            <a:ext cx="1700784" cy="1280160"/>
                          </a:xfrm>
                          <a:prstGeom prst="rect">
                            <a:avLst/>
                          </a:prstGeom>
                        </pic:spPr>
                      </pic:pic>
                    </a:graphicData>
                  </a:graphic>
                </wp:inline>
              </w:drawing>
            </w:r>
          </w:p>
        </w:tc>
      </w:tr>
    </w:tbl>
    <w:p w14:paraId="3A3616C3" w14:textId="04A7CE72" w:rsidR="00413233" w:rsidRPr="00413233" w:rsidRDefault="00413233" w:rsidP="00413233">
      <w:pPr>
        <w:pStyle w:val="Caption"/>
        <w:jc w:val="center"/>
      </w:pPr>
      <w:bookmarkStart w:id="0" w:name="_Ref505537496"/>
      <w:bookmarkStart w:id="1" w:name="_Toc30430963"/>
      <w:r w:rsidRPr="00413233">
        <w:t xml:space="preserve">Figure </w:t>
      </w:r>
      <w:bookmarkEnd w:id="0"/>
      <w:r w:rsidRPr="00413233">
        <w:t>1: Depiction of corn and cotton phenologies by NDVI, EVI, and MSAVI vegetation indices.</w:t>
      </w:r>
      <w:bookmarkEnd w:id="1"/>
    </w:p>
    <w:p w14:paraId="34A7AE53" w14:textId="1FD787DC" w:rsidR="00413233" w:rsidRPr="00413233" w:rsidRDefault="00413233" w:rsidP="00413233">
      <w:pPr>
        <w:rPr>
          <w:lang w:val="en-US"/>
        </w:rPr>
      </w:pPr>
    </w:p>
    <w:p w14:paraId="1EE9FFD3" w14:textId="77777777" w:rsidR="00413233" w:rsidRPr="00413233" w:rsidRDefault="00413233" w:rsidP="00413233">
      <w:pPr>
        <w:pStyle w:val="Heading2"/>
        <w:numPr>
          <w:ilvl w:val="1"/>
          <w:numId w:val="3"/>
        </w:numPr>
        <w:tabs>
          <w:tab w:val="num" w:pos="360"/>
        </w:tabs>
        <w:ind w:left="567" w:hanging="567"/>
      </w:pPr>
      <w:bookmarkStart w:id="2" w:name="_Toc30430841"/>
      <w:r w:rsidRPr="00413233">
        <w:t>Phenology Feature Extraction</w:t>
      </w:r>
      <w:bookmarkEnd w:id="2"/>
    </w:p>
    <w:p w14:paraId="120810DB" w14:textId="77777777" w:rsidR="00413233" w:rsidRPr="00413233" w:rsidRDefault="00413233" w:rsidP="00413233">
      <w:pPr>
        <w:rPr>
          <w:lang w:val="en-US"/>
        </w:rPr>
      </w:pPr>
      <w:r w:rsidRPr="00413233">
        <w:rPr>
          <w:lang w:val="en-US"/>
        </w:rPr>
        <w:t>In this section, vegetation indices that are used to extract phenological features are presented. Their formulas are given in the form of band names. Vegetation indices have values in the range of</w:t>
      </w:r>
      <m:oMath>
        <m:r>
          <w:rPr>
            <w:rFonts w:ascii="Cambria Math" w:hAnsi="Cambria Math"/>
            <w:lang w:val="en-US"/>
          </w:rPr>
          <m:t xml:space="preserve"> [-1, 1]</m:t>
        </m:r>
      </m:oMath>
      <w:r w:rsidRPr="00413233">
        <w:rPr>
          <w:lang w:val="en-US"/>
        </w:rPr>
        <w:t xml:space="preserve">. </w:t>
      </w:r>
    </w:p>
    <w:p w14:paraId="5A7B54CF" w14:textId="77777777" w:rsidR="00413233" w:rsidRPr="00413233" w:rsidRDefault="00413233" w:rsidP="00413233">
      <w:pPr>
        <w:pStyle w:val="Heading3"/>
      </w:pPr>
      <w:bookmarkStart w:id="3" w:name="_Toc30430842"/>
      <w:bookmarkStart w:id="4" w:name="_Toc467363891"/>
      <w:r w:rsidRPr="00413233">
        <w:t>Normalized Difference Vegetation Index (NDVI)</w:t>
      </w:r>
      <w:bookmarkEnd w:id="3"/>
    </w:p>
    <w:p w14:paraId="48716C54" w14:textId="77777777" w:rsidR="00413233" w:rsidRPr="00413233" w:rsidRDefault="00413233" w:rsidP="00413233">
      <w:pPr>
        <w:rPr>
          <w:lang w:val="en-US"/>
        </w:rPr>
      </w:pPr>
      <w:r w:rsidRPr="00413233">
        <w:rPr>
          <w:lang w:val="en-US"/>
        </w:rPr>
        <w:t xml:space="preserve">NDVI is the most used vegetation index. Chlorophyll pigments in leaves absorb visible light while the cell structure of the leaf reflects the majority of the light in </w:t>
      </w:r>
      <w:r w:rsidRPr="00413233">
        <w:rPr>
          <w:noProof/>
          <w:lang w:val="en-US"/>
        </w:rPr>
        <w:t>near-infrared</w:t>
      </w:r>
      <w:r w:rsidRPr="00413233">
        <w:rPr>
          <w:lang w:val="en-US"/>
        </w:rPr>
        <w:t xml:space="preserve"> (NIR) wavelengths. NDVI is formulated as:</w:t>
      </w:r>
    </w:p>
    <w:tbl>
      <w:tblPr>
        <w:tblW w:w="0" w:type="auto"/>
        <w:tblLook w:val="04A0" w:firstRow="1" w:lastRow="0" w:firstColumn="1" w:lastColumn="0" w:noHBand="0" w:noVBand="1"/>
      </w:tblPr>
      <w:tblGrid>
        <w:gridCol w:w="7375"/>
        <w:gridCol w:w="835"/>
      </w:tblGrid>
      <w:tr w:rsidR="00413233" w:rsidRPr="00413233" w14:paraId="07F8D3F1" w14:textId="77777777" w:rsidTr="00C3072A">
        <w:tc>
          <w:tcPr>
            <w:tcW w:w="7375" w:type="dxa"/>
            <w:vAlign w:val="center"/>
          </w:tcPr>
          <w:p w14:paraId="4255B845" w14:textId="77777777" w:rsidR="00413233" w:rsidRPr="00413233" w:rsidRDefault="00413233" w:rsidP="00C3072A">
            <w:pPr>
              <w:jc w:val="center"/>
              <w:rPr>
                <w:bCs/>
                <w:i/>
                <w:iCs/>
                <w:lang w:val="en-US"/>
              </w:rPr>
            </w:pPr>
            <m:oMathPara>
              <m:oMathParaPr>
                <m:jc m:val="center"/>
              </m:oMathParaPr>
              <m:oMath>
                <m:r>
                  <w:rPr>
                    <w:rFonts w:ascii="Cambria Math" w:hAnsi="Cambria Math"/>
                    <w:lang w:val="en-US"/>
                  </w:rPr>
                  <m:t xml:space="preserve">NDVI= </m:t>
                </m:r>
                <m:f>
                  <m:fPr>
                    <m:ctrlPr>
                      <w:rPr>
                        <w:rFonts w:ascii="Cambria Math" w:hAnsi="Cambria Math"/>
                        <w:bCs/>
                        <w:i/>
                        <w:iCs/>
                        <w:lang w:val="en-US"/>
                      </w:rPr>
                    </m:ctrlPr>
                  </m:fPr>
                  <m:num>
                    <m:r>
                      <w:rPr>
                        <w:rFonts w:ascii="Cambria Math" w:hAnsi="Cambria Math"/>
                        <w:lang w:val="en-US"/>
                      </w:rPr>
                      <m:t>NIR-Red</m:t>
                    </m:r>
                  </m:num>
                  <m:den>
                    <m:r>
                      <w:rPr>
                        <w:rFonts w:ascii="Cambria Math" w:hAnsi="Cambria Math"/>
                        <w:lang w:val="en-US"/>
                      </w:rPr>
                      <m:t>NIR+Red</m:t>
                    </m:r>
                  </m:den>
                </m:f>
              </m:oMath>
            </m:oMathPara>
          </w:p>
        </w:tc>
        <w:tc>
          <w:tcPr>
            <w:tcW w:w="835" w:type="dxa"/>
            <w:vAlign w:val="center"/>
          </w:tcPr>
          <w:p w14:paraId="6D8AFC2A" w14:textId="34410CF5" w:rsidR="00413233" w:rsidRPr="00413233" w:rsidRDefault="00413233" w:rsidP="00C3072A">
            <w:pPr>
              <w:jc w:val="center"/>
              <w:rPr>
                <w:lang w:val="en-US"/>
              </w:rPr>
            </w:pPr>
            <w:r w:rsidRPr="00413233">
              <w:rPr>
                <w:lang w:val="en-US"/>
              </w:rPr>
              <w:t>(</w:t>
            </w:r>
            <w:r w:rsidRPr="00413233">
              <w:rPr>
                <w:lang w:val="en-US"/>
              </w:rPr>
              <w:fldChar w:fldCharType="begin"/>
            </w:r>
            <w:r w:rsidRPr="00413233">
              <w:rPr>
                <w:lang w:val="en-US"/>
              </w:rPr>
              <w:instrText xml:space="preserve"> SEQ Equation \* ARABIC </w:instrText>
            </w:r>
            <w:r w:rsidRPr="00413233">
              <w:rPr>
                <w:lang w:val="en-US"/>
              </w:rPr>
              <w:fldChar w:fldCharType="separate"/>
            </w:r>
            <w:r w:rsidR="00563EFA">
              <w:rPr>
                <w:noProof/>
                <w:lang w:val="en-US"/>
              </w:rPr>
              <w:t>1</w:t>
            </w:r>
            <w:r w:rsidRPr="00413233">
              <w:rPr>
                <w:lang w:val="en-US"/>
              </w:rPr>
              <w:fldChar w:fldCharType="end"/>
            </w:r>
            <w:r w:rsidRPr="00413233">
              <w:rPr>
                <w:lang w:val="en-US"/>
              </w:rPr>
              <w:t>)</w:t>
            </w:r>
          </w:p>
        </w:tc>
      </w:tr>
    </w:tbl>
    <w:p w14:paraId="6FE7819D" w14:textId="77777777" w:rsidR="00413233" w:rsidRPr="00413233" w:rsidRDefault="00413233" w:rsidP="00413233">
      <w:pPr>
        <w:rPr>
          <w:lang w:val="en-US"/>
        </w:rPr>
      </w:pPr>
    </w:p>
    <w:bookmarkEnd w:id="4"/>
    <w:p w14:paraId="1F6465AA" w14:textId="77777777" w:rsidR="00413233" w:rsidRPr="00413233" w:rsidRDefault="00413233" w:rsidP="00413233">
      <w:pPr>
        <w:rPr>
          <w:lang w:val="en-US"/>
        </w:rPr>
      </w:pPr>
      <w:r w:rsidRPr="00413233">
        <w:rPr>
          <w:lang w:val="en-US"/>
        </w:rPr>
        <w:t xml:space="preserve">Healthy </w:t>
      </w:r>
      <w:r w:rsidRPr="00413233">
        <w:rPr>
          <w:noProof/>
          <w:lang w:val="en-US"/>
        </w:rPr>
        <w:t>photosynthetically</w:t>
      </w:r>
      <w:r w:rsidRPr="00413233">
        <w:rPr>
          <w:lang w:val="en-US"/>
        </w:rPr>
        <w:t xml:space="preserve"> active vegetation generally has higher NDVI values. Vegetation </w:t>
      </w:r>
      <w:r w:rsidRPr="00413233">
        <w:rPr>
          <w:noProof/>
          <w:lang w:val="en-US"/>
        </w:rPr>
        <w:t>has</w:t>
      </w:r>
      <w:r w:rsidRPr="00413233">
        <w:rPr>
          <w:lang w:val="en-US"/>
        </w:rPr>
        <w:t xml:space="preserve"> NDVI values of greater than 0.3. </w:t>
      </w:r>
    </w:p>
    <w:p w14:paraId="699CE786" w14:textId="77777777" w:rsidR="00413233" w:rsidRPr="00413233" w:rsidRDefault="00413233" w:rsidP="00413233">
      <w:pPr>
        <w:pStyle w:val="Heading3"/>
      </w:pPr>
      <w:bookmarkStart w:id="5" w:name="_Toc30430843"/>
      <w:bookmarkStart w:id="6" w:name="_Toc467363892"/>
      <w:r w:rsidRPr="00413233">
        <w:t>Enhanced Vegetation Index (EVI)</w:t>
      </w:r>
      <w:bookmarkEnd w:id="5"/>
    </w:p>
    <w:bookmarkEnd w:id="6"/>
    <w:p w14:paraId="436AE56F" w14:textId="77777777" w:rsidR="00413233" w:rsidRPr="00413233" w:rsidRDefault="00413233" w:rsidP="00413233">
      <w:pPr>
        <w:rPr>
          <w:lang w:val="en-US"/>
        </w:rPr>
      </w:pPr>
      <w:r w:rsidRPr="00413233">
        <w:rPr>
          <w:lang w:val="en-US"/>
        </w:rPr>
        <w:t>EVI index is an optimized index for detecting vegetation biomass without affecting canopy (vegetation structure) background noise and atmospheric effects.</w:t>
      </w:r>
    </w:p>
    <w:p w14:paraId="76F0A06C" w14:textId="77777777" w:rsidR="00413233" w:rsidRPr="00413233" w:rsidRDefault="00413233" w:rsidP="00413233">
      <w:pPr>
        <w:rPr>
          <w:rFonts w:eastAsiaTheme="minorEastAsia"/>
          <w:lang w:val="en-US"/>
        </w:rPr>
      </w:pPr>
      <w:r w:rsidRPr="00413233">
        <w:rPr>
          <w:rFonts w:eastAsiaTheme="minorEastAsia"/>
          <w:lang w:val="en-US"/>
        </w:rPr>
        <w:lastRenderedPageBreak/>
        <w:t xml:space="preserve">The Enhanced Vegetation Index is an improved vegetation index that compensates canopy cover and atmospheric effects. C1 and C2 are atmospheric terms for red and blue bands, while L is the canopy background adjustment factor </w:t>
      </w:r>
      <w:r w:rsidRPr="00413233">
        <w:rPr>
          <w:rFonts w:eastAsiaTheme="minorEastAsia"/>
          <w:lang w:val="en-US"/>
        </w:rPr>
        <w:fldChar w:fldCharType="begin" w:fldLock="1"/>
      </w:r>
      <w:r w:rsidRPr="00413233">
        <w:rPr>
          <w:rFonts w:eastAsiaTheme="minorEastAsia"/>
          <w:lang w:val="en-US"/>
        </w:rPr>
        <w:instrText>ADDIN CSL_CITATION {"citationItems":[{"id":"ITEM-1","itemData":{"author":[{"dropping-particle":"","family":"Huete","given":"Alfredo","non-dropping-particle":"","parse-names":false,"suffix":""},{"dropping-particle":"","family":"Didan","given":"Kamel","non-dropping-particle":"","parse-names":false,"suffix":""},{"dropping-particle":"","family":"Miura","given":"Tomoaki","non-dropping-particle":"","parse-names":false,"suffix":""},{"dropping-particle":"","family":"Rodriguez","given":"E Patricia","non-dropping-particle":"","parse-names":false,"suffix":""},{"dropping-particle":"","family":"Gao","given":"Xiang","non-dropping-particle":"","parse-names":false,"suffix":""},{"dropping-particle":"","family":"Ferreira","given":"Laerte G","non-dropping-particle":"","parse-names":false,"suffix":""}],"container-title":"Remote sensing of environment","id":"ITEM-1","issue":"1","issued":{"date-parts":[["2002"]]},"page":"195-213","publisher":"Elsevier","title":"Overview of the radiometric and biophysical performance of the MODIS vegetation indices","type":"article-journal","volume":"83"},"uris":["http://www.mendeley.com/documents/?uuid=393fdc44-6063-4b48-bce5-3380549f3dcb"]}],"mendeley":{"formattedCitation":"(A. Huete et al., 2002)","plainTextFormattedCitation":"(A. Huete et al., 2002)","previouslyFormattedCitation":"(A. Huete et al., 2002)"},"properties":{"noteIndex":0},"schema":"https://github.com/citation-style-language/schema/raw/master/csl-citation.json"}</w:instrText>
      </w:r>
      <w:r w:rsidRPr="00413233">
        <w:rPr>
          <w:rFonts w:eastAsiaTheme="minorEastAsia"/>
          <w:lang w:val="en-US"/>
        </w:rPr>
        <w:fldChar w:fldCharType="separate"/>
      </w:r>
      <w:r w:rsidRPr="00413233">
        <w:rPr>
          <w:rFonts w:eastAsiaTheme="minorEastAsia"/>
          <w:noProof/>
          <w:lang w:val="en-US"/>
        </w:rPr>
        <w:t>(A. Huete et al., 2002)</w:t>
      </w:r>
      <w:r w:rsidRPr="00413233">
        <w:rPr>
          <w:rFonts w:eastAsiaTheme="minorEastAsia"/>
          <w:lang w:val="en-US"/>
        </w:rPr>
        <w:fldChar w:fldCharType="end"/>
      </w:r>
      <w:r w:rsidRPr="00413233">
        <w:rPr>
          <w:rFonts w:eastAsiaTheme="minorEastAsia"/>
          <w:lang w:val="en-US"/>
        </w:rPr>
        <w:t xml:space="preserve">. </w:t>
      </w:r>
    </w:p>
    <w:tbl>
      <w:tblPr>
        <w:tblW w:w="0" w:type="auto"/>
        <w:tblLook w:val="04A0" w:firstRow="1" w:lastRow="0" w:firstColumn="1" w:lastColumn="0" w:noHBand="0" w:noVBand="1"/>
      </w:tblPr>
      <w:tblGrid>
        <w:gridCol w:w="7375"/>
        <w:gridCol w:w="835"/>
      </w:tblGrid>
      <w:tr w:rsidR="00413233" w:rsidRPr="00413233" w14:paraId="311A2AF4" w14:textId="77777777" w:rsidTr="00C3072A">
        <w:tc>
          <w:tcPr>
            <w:tcW w:w="7375" w:type="dxa"/>
            <w:vAlign w:val="center"/>
          </w:tcPr>
          <w:p w14:paraId="08474BEB" w14:textId="77777777" w:rsidR="00413233" w:rsidRPr="00413233" w:rsidRDefault="00413233" w:rsidP="00C3072A">
            <w:pPr>
              <w:jc w:val="center"/>
              <w:rPr>
                <w:bCs/>
                <w:lang w:val="en-US"/>
              </w:rPr>
            </w:pPr>
            <m:oMathPara>
              <m:oMathParaPr>
                <m:jc m:val="center"/>
              </m:oMathParaPr>
              <m:oMath>
                <m:r>
                  <w:rPr>
                    <w:rFonts w:ascii="Cambria Math" w:hAnsi="Cambria Math"/>
                    <w:lang w:val="en-US"/>
                  </w:rPr>
                  <m:t>EVI</m:t>
                </m:r>
                <m:r>
                  <m:rPr>
                    <m:sty m:val="p"/>
                  </m:rPr>
                  <w:rPr>
                    <w:rFonts w:ascii="Cambria Math" w:hAnsi="Cambria Math"/>
                    <w:lang w:val="en-US"/>
                  </w:rPr>
                  <m:t>=</m:t>
                </m:r>
                <m:f>
                  <m:fPr>
                    <m:ctrlPr>
                      <w:rPr>
                        <w:rFonts w:ascii="Cambria Math" w:hAnsi="Cambria Math"/>
                        <w:bCs/>
                        <w:lang w:val="en-US"/>
                      </w:rPr>
                    </m:ctrlPr>
                  </m:fPr>
                  <m:num>
                    <m:r>
                      <w:rPr>
                        <w:rFonts w:ascii="Cambria Math" w:hAnsi="Cambria Math"/>
                        <w:lang w:val="en-US"/>
                      </w:rPr>
                      <m:t>NIR</m:t>
                    </m:r>
                    <m:r>
                      <m:rPr>
                        <m:sty m:val="p"/>
                      </m:rPr>
                      <w:rPr>
                        <w:rFonts w:ascii="Cambria Math" w:hAnsi="Cambria Math"/>
                        <w:lang w:val="en-US"/>
                      </w:rPr>
                      <m:t>-</m:t>
                    </m:r>
                    <m:r>
                      <w:rPr>
                        <w:rFonts w:ascii="Cambria Math" w:hAnsi="Cambria Math"/>
                        <w:lang w:val="en-US"/>
                      </w:rPr>
                      <m:t>Red</m:t>
                    </m:r>
                  </m:num>
                  <m:den>
                    <m:r>
                      <w:rPr>
                        <w:rFonts w:ascii="Cambria Math" w:hAnsi="Cambria Math"/>
                        <w:lang w:val="en-US"/>
                      </w:rPr>
                      <m:t>NIR</m:t>
                    </m:r>
                    <m:r>
                      <m:rPr>
                        <m:sty m:val="p"/>
                      </m:rPr>
                      <w:rPr>
                        <w:rFonts w:ascii="Cambria Math" w:hAnsi="Cambria Math"/>
                        <w:lang w:val="en-US"/>
                      </w:rPr>
                      <m:t>+</m:t>
                    </m:r>
                    <m:r>
                      <w:rPr>
                        <w:rFonts w:ascii="Cambria Math" w:hAnsi="Cambria Math"/>
                        <w:lang w:val="en-US"/>
                      </w:rPr>
                      <m:t>C</m:t>
                    </m:r>
                    <m:r>
                      <m:rPr>
                        <m:sty m:val="p"/>
                      </m:rPr>
                      <w:rPr>
                        <w:rFonts w:ascii="Cambria Math" w:hAnsi="Cambria Math"/>
                        <w:lang w:val="en-US"/>
                      </w:rPr>
                      <m:t>1×</m:t>
                    </m:r>
                    <m:r>
                      <w:rPr>
                        <w:rFonts w:ascii="Cambria Math" w:hAnsi="Cambria Math"/>
                        <w:lang w:val="en-US"/>
                      </w:rPr>
                      <m:t>Red</m:t>
                    </m:r>
                    <m:r>
                      <m:rPr>
                        <m:sty m:val="p"/>
                      </m:rPr>
                      <w:rPr>
                        <w:rFonts w:ascii="Cambria Math" w:hAnsi="Cambria Math"/>
                        <w:lang w:val="en-US"/>
                      </w:rPr>
                      <m:t>-</m:t>
                    </m:r>
                    <m:r>
                      <w:rPr>
                        <w:rFonts w:ascii="Cambria Math" w:hAnsi="Cambria Math"/>
                        <w:lang w:val="en-US"/>
                      </w:rPr>
                      <m:t>C</m:t>
                    </m:r>
                    <m:r>
                      <m:rPr>
                        <m:sty m:val="p"/>
                      </m:rPr>
                      <w:rPr>
                        <w:rFonts w:ascii="Cambria Math" w:hAnsi="Cambria Math"/>
                        <w:lang w:val="en-US"/>
                      </w:rPr>
                      <m:t>2×</m:t>
                    </m:r>
                    <m:r>
                      <w:rPr>
                        <w:rFonts w:ascii="Cambria Math" w:hAnsi="Cambria Math"/>
                        <w:lang w:val="en-US"/>
                      </w:rPr>
                      <m:t>Blue</m:t>
                    </m:r>
                    <m:r>
                      <m:rPr>
                        <m:sty m:val="p"/>
                      </m:rPr>
                      <w:rPr>
                        <w:rFonts w:ascii="Cambria Math" w:hAnsi="Cambria Math"/>
                        <w:lang w:val="en-US"/>
                      </w:rPr>
                      <m:t>+</m:t>
                    </m:r>
                    <m:r>
                      <w:rPr>
                        <w:rFonts w:ascii="Cambria Math" w:hAnsi="Cambria Math"/>
                        <w:lang w:val="en-US"/>
                      </w:rPr>
                      <m:t>L</m:t>
                    </m:r>
                  </m:den>
                </m:f>
              </m:oMath>
            </m:oMathPara>
          </w:p>
        </w:tc>
        <w:tc>
          <w:tcPr>
            <w:tcW w:w="835" w:type="dxa"/>
            <w:vAlign w:val="center"/>
          </w:tcPr>
          <w:p w14:paraId="32383370" w14:textId="76159871" w:rsidR="00413233" w:rsidRPr="00413233" w:rsidRDefault="00413233" w:rsidP="00C3072A">
            <w:pPr>
              <w:jc w:val="center"/>
              <w:rPr>
                <w:lang w:val="en-US"/>
              </w:rPr>
            </w:pPr>
            <w:r w:rsidRPr="00413233">
              <w:rPr>
                <w:lang w:val="en-US"/>
              </w:rPr>
              <w:t>(</w:t>
            </w:r>
            <w:r w:rsidRPr="00413233">
              <w:rPr>
                <w:lang w:val="en-US"/>
              </w:rPr>
              <w:fldChar w:fldCharType="begin"/>
            </w:r>
            <w:r w:rsidRPr="00413233">
              <w:rPr>
                <w:lang w:val="en-US"/>
              </w:rPr>
              <w:instrText xml:space="preserve"> SEQ Equation \* ARABIC </w:instrText>
            </w:r>
            <w:r w:rsidRPr="00413233">
              <w:rPr>
                <w:lang w:val="en-US"/>
              </w:rPr>
              <w:fldChar w:fldCharType="separate"/>
            </w:r>
            <w:r w:rsidR="00563EFA">
              <w:rPr>
                <w:noProof/>
                <w:lang w:val="en-US"/>
              </w:rPr>
              <w:t>2</w:t>
            </w:r>
            <w:r w:rsidRPr="00413233">
              <w:rPr>
                <w:lang w:val="en-US"/>
              </w:rPr>
              <w:fldChar w:fldCharType="end"/>
            </w:r>
            <w:r w:rsidRPr="00413233">
              <w:rPr>
                <w:lang w:val="en-US"/>
              </w:rPr>
              <w:t>)</w:t>
            </w:r>
          </w:p>
        </w:tc>
      </w:tr>
    </w:tbl>
    <w:p w14:paraId="53EE8F42" w14:textId="77777777" w:rsidR="00413233" w:rsidRPr="00413233" w:rsidRDefault="00413233" w:rsidP="00413233">
      <w:pPr>
        <w:rPr>
          <w:szCs w:val="36"/>
          <w:lang w:val="en-US"/>
        </w:rPr>
      </w:pPr>
      <w:r w:rsidRPr="00413233">
        <w:rPr>
          <w:lang w:val="en-US"/>
        </w:rPr>
        <w:t xml:space="preserve">L is canopy background adjustment; C1 and C2 are aerosol resistance coefficients. EVI reduces saturation, atmospheric noise, </w:t>
      </w:r>
      <w:r w:rsidRPr="00413233">
        <w:rPr>
          <w:noProof/>
          <w:lang w:val="en-US"/>
        </w:rPr>
        <w:t>and</w:t>
      </w:r>
      <w:r w:rsidRPr="00413233">
        <w:rPr>
          <w:lang w:val="en-US"/>
        </w:rPr>
        <w:t xml:space="preserve"> background noise.  </w:t>
      </w:r>
      <w:r w:rsidRPr="00413233">
        <w:rPr>
          <w:rFonts w:eastAsiaTheme="minorEastAsia"/>
          <w:lang w:val="en-US"/>
        </w:rPr>
        <w:t xml:space="preserve"> </w:t>
      </w:r>
      <w:r w:rsidRPr="00413233">
        <w:rPr>
          <w:rFonts w:eastAsiaTheme="minorEastAsia"/>
          <w:i/>
          <w:iCs/>
          <w:lang w:val="en-US"/>
        </w:rPr>
        <w:t>C1 = 7.5, C2 = 6</w:t>
      </w:r>
      <w:r w:rsidRPr="00413233">
        <w:rPr>
          <w:rFonts w:eastAsiaTheme="minorEastAsia"/>
          <w:lang w:val="en-US"/>
        </w:rPr>
        <w:t xml:space="preserve"> and L = 1 are used for Landsat 8</w:t>
      </w:r>
      <w:r w:rsidRPr="00413233">
        <w:rPr>
          <w:rFonts w:eastAsiaTheme="minorEastAsia"/>
          <w:lang w:val="en-US"/>
        </w:rPr>
        <w:fldChar w:fldCharType="begin" w:fldLock="1"/>
      </w:r>
      <w:r w:rsidRPr="00413233">
        <w:rPr>
          <w:rFonts w:eastAsiaTheme="minorEastAsia"/>
          <w:lang w:val="en-US"/>
        </w:rPr>
        <w:instrText>ADDIN CSL_CITATION {"citationItems":[{"id":"ITEM-1","itemData":{"id":"ITEM-1","issue":"March","issued":{"date-parts":[["2015"]]},"number-of-pages":"1-26","title":"Landsat 8 Surface Reflectance Product Guide v1.2","type":"report"},"uris":["http://www.mendeley.com/documents/?uuid=5546042b-bf2c-49cb-8257-016cb7a9d052"]}],"mendeley":{"formattedCitation":"(&lt;i&gt;Landsat 8 Surface Reflectance Product Guide v1.2&lt;/i&gt;, 2015)","plainTextFormattedCitation":"(Landsat 8 Surface Reflectance Product Guide v1.2, 2015)","previouslyFormattedCitation":"(&lt;i&gt;Landsat 8 Surface Reflectance Product Guide v1.2&lt;/i&gt;, 2015)"},"properties":{"noteIndex":0},"schema":"https://github.com/citation-style-language/schema/raw/master/csl-citation.json"}</w:instrText>
      </w:r>
      <w:r w:rsidRPr="00413233">
        <w:rPr>
          <w:rFonts w:eastAsiaTheme="minorEastAsia"/>
          <w:lang w:val="en-US"/>
        </w:rPr>
        <w:fldChar w:fldCharType="separate"/>
      </w:r>
      <w:r w:rsidRPr="00413233">
        <w:rPr>
          <w:rFonts w:eastAsiaTheme="minorEastAsia"/>
          <w:noProof/>
          <w:lang w:val="en-US"/>
        </w:rPr>
        <w:t>(</w:t>
      </w:r>
      <w:r w:rsidRPr="00413233">
        <w:rPr>
          <w:rFonts w:eastAsiaTheme="minorEastAsia"/>
          <w:i/>
          <w:noProof/>
          <w:lang w:val="en-US"/>
        </w:rPr>
        <w:t>Landsat 8 Surface Reflectance Product Guide v1.2</w:t>
      </w:r>
      <w:r w:rsidRPr="00413233">
        <w:rPr>
          <w:rFonts w:eastAsiaTheme="minorEastAsia"/>
          <w:noProof/>
          <w:lang w:val="en-US"/>
        </w:rPr>
        <w:t>, 2015)</w:t>
      </w:r>
      <w:r w:rsidRPr="00413233">
        <w:rPr>
          <w:rFonts w:eastAsiaTheme="minorEastAsia"/>
          <w:lang w:val="en-US"/>
        </w:rPr>
        <w:fldChar w:fldCharType="end"/>
      </w:r>
      <w:r w:rsidRPr="00413233">
        <w:rPr>
          <w:rFonts w:eastAsiaTheme="minorEastAsia"/>
          <w:lang w:val="en-US"/>
        </w:rPr>
        <w:t xml:space="preserve">. </w:t>
      </w:r>
      <w:r w:rsidRPr="00413233">
        <w:rPr>
          <w:lang w:val="en-US"/>
        </w:rPr>
        <w:t xml:space="preserve">While NDVI is chlorophyll sensitive, EVI is more sensitive to vegetation canopy changes. </w:t>
      </w:r>
    </w:p>
    <w:p w14:paraId="03380376" w14:textId="77777777" w:rsidR="00413233" w:rsidRPr="00413233" w:rsidRDefault="00413233" w:rsidP="00413233">
      <w:pPr>
        <w:pStyle w:val="Heading3"/>
      </w:pPr>
      <w:bookmarkStart w:id="7" w:name="_Toc30430846"/>
      <w:bookmarkStart w:id="8" w:name="_Toc467363894"/>
      <w:r w:rsidRPr="00413233">
        <w:t>Modified Soil Adjusted Vegetation Index (MSAVI)</w:t>
      </w:r>
      <w:bookmarkEnd w:id="7"/>
    </w:p>
    <w:p w14:paraId="16E964E4" w14:textId="77777777" w:rsidR="00413233" w:rsidRPr="00413233" w:rsidRDefault="00413233" w:rsidP="00413233">
      <w:pPr>
        <w:rPr>
          <w:lang w:val="en-US"/>
        </w:rPr>
      </w:pPr>
      <w:r w:rsidRPr="00413233">
        <w:rPr>
          <w:lang w:val="en-US"/>
        </w:rPr>
        <w:t>Modified Soil Adjusted Vegetation Index replaces L in SAVI with an inductive function</w:t>
      </w:r>
      <w:r w:rsidRPr="00413233">
        <w:rPr>
          <w:lang w:val="en-US"/>
        </w:rPr>
        <w:fldChar w:fldCharType="begin" w:fldLock="1"/>
      </w:r>
      <w:r w:rsidRPr="00413233">
        <w:rPr>
          <w:lang w:val="en-US"/>
        </w:rPr>
        <w:instrText xml:space="preserve">ADDIN CSL_CITATION {"citationItems":[{"id":"ITEM-1","itemData":{"DOI":"http://dx.doi.org/10.1016/0034-4257(94)90134-1","ISSN":"0034-4257","abstract":"There is currently a great deal of interest in the quantitative characterization of temporal and spatial vegetation patterns with remotely sensed data for the study of earth system science and global change. Spectral models and indices are being developed to improve vegetation sensitivity by accounting for atmosphere and soil effects. The soil-adjusted vegetation index (SAVI) was developed to minimize soil influences on canopy spectra by incorporating a soil adjustment factor L into the denominator of the normalized difference vegetation index (NDVI) equation. For optimal adjustment of the soil effect, however, the L factor should vary inversely with the amount of vegetation present. A modified {SAVI} (MSAVI) that replaces the constant L in the {SAVI} equation with a variable L function is presented in this article. The L function may be derived by induction or by using the product of the {NDVI} and weighted difference vegetation index (WDVI). Results based on ground and aircraft-measured cotton canopies are presented. The {MSAVI} is shown to increase the dynamic range of the vegetation signal while further minimizing the soil background influences, resulting in greater vegetation sensitivity as defined by a </w:instrText>
      </w:r>
      <w:r w:rsidRPr="00413233">
        <w:rPr>
          <w:rFonts w:ascii="Tahoma" w:hAnsi="Tahoma" w:cs="Tahoma"/>
          <w:lang w:val="en-US"/>
        </w:rPr>
        <w:instrText>�</w:instrText>
      </w:r>
      <w:r w:rsidRPr="00413233">
        <w:rPr>
          <w:lang w:val="en-US"/>
        </w:rPr>
        <w:instrText>vegetation signal</w:instrText>
      </w:r>
      <w:r w:rsidRPr="00413233">
        <w:rPr>
          <w:rFonts w:ascii="Tahoma" w:hAnsi="Tahoma" w:cs="Tahoma"/>
          <w:lang w:val="en-US"/>
        </w:rPr>
        <w:instrText>�</w:instrText>
      </w:r>
      <w:r w:rsidRPr="00413233">
        <w:rPr>
          <w:lang w:val="en-US"/>
        </w:rPr>
        <w:instrText xml:space="preserve"> to </w:instrText>
      </w:r>
      <w:r w:rsidRPr="00413233">
        <w:rPr>
          <w:rFonts w:ascii="Tahoma" w:hAnsi="Tahoma" w:cs="Tahoma"/>
          <w:lang w:val="en-US"/>
        </w:rPr>
        <w:instrText>�</w:instrText>
      </w:r>
      <w:r w:rsidRPr="00413233">
        <w:rPr>
          <w:lang w:val="en-US"/>
        </w:rPr>
        <w:instrText>soil noise</w:instrText>
      </w:r>
      <w:r w:rsidRPr="00413233">
        <w:rPr>
          <w:rFonts w:ascii="Tahoma" w:hAnsi="Tahoma" w:cs="Tahoma"/>
          <w:lang w:val="en-US"/>
        </w:rPr>
        <w:instrText>�</w:instrText>
      </w:r>
      <w:r w:rsidRPr="00413233">
        <w:rPr>
          <w:lang w:val="en-US"/>
        </w:rPr>
        <w:instrText xml:space="preserve"> ratio. ","author":[{"dropping-particle":"","family":"Qi","given":"J","non-dropping-particle":"","parse-names":false,"suffix":""},{"dropping-particle":"","family":"Chehbouni","given":"A","non-dropping-particle":"","parse-names":false,"suffix":""},{"dropping-particle":"","family":"Huete","given":"A R","non-dropping-particle":"","parse-names":false,"suffix":""},{"dropping-particle":"","family":"Kerr","given":"Y H","non-dropping-particle":"","parse-names":false,"suffix":""},{"dropping-particle":"","family":"Sorooshian","given":"S","non-dropping-particle":"","parse-names":false,"suffix":""}],"container-title":"Remote Sensing of Environment","id":"ITEM-1","issue":"2","issued":{"date-parts":[["1994"]]},"page":"119-126","title":"A modified soil adjusted vegetation index","type":"article-journal","volume":"48"},"uris":["http://www.mendeley.com/documents/?uuid=b1204530-580c-4532-a5ef-542c87a90e14"]}],"mendeley":{"formattedCitation":"(Qi et al., 1994)","plainTextFormattedCitation":"(Qi et al., 1994)","previouslyFormattedCitation":"(Qi et al., 1994)"},"properties":{"noteIndex":0},"schema":"https://github.com/citation-style-language/schema/raw/master/csl-citation.json"}</w:instrText>
      </w:r>
      <w:r w:rsidRPr="00413233">
        <w:rPr>
          <w:lang w:val="en-US"/>
        </w:rPr>
        <w:fldChar w:fldCharType="separate"/>
      </w:r>
      <w:r w:rsidRPr="00413233">
        <w:rPr>
          <w:noProof/>
          <w:lang w:val="en-US"/>
        </w:rPr>
        <w:t>(Qi et al., 1994)</w:t>
      </w:r>
      <w:r w:rsidRPr="00413233">
        <w:rPr>
          <w:lang w:val="en-US"/>
        </w:rPr>
        <w:fldChar w:fldCharType="end"/>
      </w:r>
      <w:r w:rsidRPr="00413233">
        <w:rPr>
          <w:rFonts w:eastAsiaTheme="minorEastAsia"/>
          <w:lang w:val="en-US"/>
        </w:rPr>
        <w:t xml:space="preserve">. Instead of computing the soil line experimentally, MSAVI computes L value from NIR and Red bands. Soil adjusted vegetation indices aim to improve the insensitivity of NDVI to canopy cover changes with the addition of soil line parameters. In this text, MSAVI refers to the </w:t>
      </w:r>
      <w:r w:rsidRPr="00413233">
        <w:rPr>
          <w:rFonts w:eastAsiaTheme="minorEastAsia"/>
          <w:noProof/>
          <w:lang w:val="en-US"/>
        </w:rPr>
        <w:t>second</w:t>
      </w:r>
      <w:r w:rsidRPr="00413233">
        <w:rPr>
          <w:rFonts w:eastAsiaTheme="minorEastAsia"/>
          <w:lang w:val="en-US"/>
        </w:rPr>
        <w:t xml:space="preserve"> version of MSAVI: MSAVI2. </w:t>
      </w:r>
    </w:p>
    <w:tbl>
      <w:tblPr>
        <w:tblW w:w="0" w:type="auto"/>
        <w:tblLook w:val="04A0" w:firstRow="1" w:lastRow="0" w:firstColumn="1" w:lastColumn="0" w:noHBand="0" w:noVBand="1"/>
      </w:tblPr>
      <w:tblGrid>
        <w:gridCol w:w="7375"/>
        <w:gridCol w:w="835"/>
      </w:tblGrid>
      <w:tr w:rsidR="00413233" w:rsidRPr="00413233" w14:paraId="52224B43" w14:textId="77777777" w:rsidTr="00C3072A">
        <w:tc>
          <w:tcPr>
            <w:tcW w:w="7375" w:type="dxa"/>
            <w:vAlign w:val="center"/>
          </w:tcPr>
          <w:p w14:paraId="12D039F4" w14:textId="77777777" w:rsidR="00413233" w:rsidRPr="00413233" w:rsidRDefault="00413233" w:rsidP="00C3072A">
            <w:pPr>
              <w:jc w:val="center"/>
              <w:rPr>
                <w:bCs/>
                <w:lang w:val="en-US"/>
              </w:rPr>
            </w:pPr>
            <m:oMathPara>
              <m:oMathParaPr>
                <m:jc m:val="center"/>
              </m:oMathParaPr>
              <m:oMath>
                <m:r>
                  <w:rPr>
                    <w:rFonts w:ascii="Cambria Math" w:hAnsi="Cambria Math"/>
                    <w:lang w:val="en-US"/>
                  </w:rPr>
                  <m:t>MSAVI=</m:t>
                </m:r>
                <m:f>
                  <m:fPr>
                    <m:ctrlPr>
                      <w:rPr>
                        <w:rFonts w:ascii="Cambria Math" w:hAnsi="Cambria Math"/>
                        <w:bCs/>
                        <w:i/>
                        <w:lang w:val="en-US"/>
                      </w:rPr>
                    </m:ctrlPr>
                  </m:fPr>
                  <m:num>
                    <m:d>
                      <m:dPr>
                        <m:ctrlPr>
                          <w:rPr>
                            <w:rFonts w:ascii="Cambria Math" w:hAnsi="Cambria Math"/>
                            <w:bCs/>
                            <w:i/>
                            <w:lang w:val="en-US"/>
                          </w:rPr>
                        </m:ctrlPr>
                      </m:dPr>
                      <m:e>
                        <m:r>
                          <w:rPr>
                            <w:rFonts w:ascii="Cambria Math" w:hAnsi="Cambria Math"/>
                            <w:lang w:val="en-US"/>
                          </w:rPr>
                          <m:t xml:space="preserve">2 </m:t>
                        </m:r>
                        <m:r>
                          <m:rPr>
                            <m:sty m:val="p"/>
                          </m:rPr>
                          <w:rPr>
                            <w:rFonts w:ascii="Cambria Math" w:hAnsi="Cambria Math" w:cs="Helvetica"/>
                            <w:color w:val="333333"/>
                            <w:shd w:val="clear" w:color="auto" w:fill="FFFFFF"/>
                            <w:lang w:val="en-US"/>
                          </w:rPr>
                          <m:t>×</m:t>
                        </m:r>
                        <m:r>
                          <w:rPr>
                            <w:rFonts w:ascii="Cambria Math" w:hAnsi="Cambria Math"/>
                            <w:lang w:val="en-US"/>
                          </w:rPr>
                          <m:t xml:space="preserve"> NIR  + 1 – </m:t>
                        </m:r>
                        <m:rad>
                          <m:radPr>
                            <m:degHide m:val="1"/>
                            <m:ctrlPr>
                              <w:rPr>
                                <w:rFonts w:ascii="Cambria Math" w:eastAsia="Times New Roman" w:hAnsi="Cambria Math"/>
                                <w:bCs/>
                                <w:i/>
                                <w:lang w:val="en-US" w:eastAsia="tr-TR"/>
                              </w:rPr>
                            </m:ctrlPr>
                          </m:radPr>
                          <m:deg/>
                          <m:e>
                            <m:sSup>
                              <m:sSupPr>
                                <m:ctrlPr>
                                  <w:rPr>
                                    <w:rFonts w:ascii="Cambria Math" w:eastAsia="Times New Roman" w:hAnsi="Cambria Math"/>
                                    <w:bCs/>
                                    <w:i/>
                                    <w:lang w:val="en-US" w:eastAsia="tr-TR"/>
                                  </w:rPr>
                                </m:ctrlPr>
                              </m:sSupPr>
                              <m:e>
                                <m:d>
                                  <m:dPr>
                                    <m:ctrlPr>
                                      <w:rPr>
                                        <w:rFonts w:ascii="Cambria Math" w:hAnsi="Cambria Math"/>
                                        <w:bCs/>
                                        <w:i/>
                                        <w:lang w:val="en-US"/>
                                      </w:rPr>
                                    </m:ctrlPr>
                                  </m:dPr>
                                  <m:e>
                                    <m:r>
                                      <w:rPr>
                                        <w:rFonts w:ascii="Cambria Math" w:hAnsi="Cambria Math"/>
                                        <w:lang w:val="en-US"/>
                                      </w:rPr>
                                      <m:t xml:space="preserve">2 </m:t>
                                    </m:r>
                                    <m:r>
                                      <m:rPr>
                                        <m:sty m:val="p"/>
                                      </m:rPr>
                                      <w:rPr>
                                        <w:rFonts w:ascii="Cambria Math" w:hAnsi="Cambria Math" w:cs="Helvetica"/>
                                        <w:color w:val="333333"/>
                                        <w:shd w:val="clear" w:color="auto" w:fill="FFFFFF"/>
                                        <w:lang w:val="en-US"/>
                                      </w:rPr>
                                      <m:t>×</m:t>
                                    </m:r>
                                    <m:r>
                                      <w:rPr>
                                        <w:rFonts w:ascii="Cambria Math" w:hAnsi="Cambria Math"/>
                                        <w:lang w:val="en-US"/>
                                      </w:rPr>
                                      <m:t xml:space="preserve"> NIR + 1</m:t>
                                    </m:r>
                                  </m:e>
                                </m:d>
                              </m:e>
                              <m:sup>
                                <m:r>
                                  <w:rPr>
                                    <w:rFonts w:ascii="Cambria Math" w:hAnsi="Cambria Math"/>
                                    <w:lang w:val="en-US"/>
                                  </w:rPr>
                                  <m:t>2</m:t>
                                </m:r>
                              </m:sup>
                            </m:sSup>
                            <m:r>
                              <w:rPr>
                                <w:rFonts w:ascii="Cambria Math" w:hAnsi="Cambria Math"/>
                                <w:lang w:val="en-US"/>
                              </w:rPr>
                              <m:t xml:space="preserve"> – 8 </m:t>
                            </m:r>
                            <m:r>
                              <m:rPr>
                                <m:sty m:val="p"/>
                              </m:rPr>
                              <w:rPr>
                                <w:rFonts w:ascii="Cambria Math" w:hAnsi="Cambria Math" w:cs="Helvetica"/>
                                <w:color w:val="333333"/>
                                <w:shd w:val="clear" w:color="auto" w:fill="FFFFFF"/>
                                <w:lang w:val="en-US"/>
                              </w:rPr>
                              <m:t>×</m:t>
                            </m:r>
                            <m:r>
                              <w:rPr>
                                <w:rFonts w:ascii="Cambria Math" w:hAnsi="Cambria Math"/>
                                <w:lang w:val="en-US"/>
                              </w:rPr>
                              <m:t xml:space="preserve"> </m:t>
                            </m:r>
                            <m:d>
                              <m:dPr>
                                <m:ctrlPr>
                                  <w:rPr>
                                    <w:rFonts w:ascii="Cambria Math" w:hAnsi="Cambria Math"/>
                                    <w:bCs/>
                                    <w:i/>
                                    <w:lang w:val="en-US"/>
                                  </w:rPr>
                                </m:ctrlPr>
                              </m:dPr>
                              <m:e>
                                <m:r>
                                  <w:rPr>
                                    <w:rFonts w:ascii="Cambria Math" w:hAnsi="Cambria Math"/>
                                    <w:lang w:val="en-US"/>
                                  </w:rPr>
                                  <m:t>NIR - Red</m:t>
                                </m:r>
                              </m:e>
                            </m:d>
                          </m:e>
                        </m:rad>
                        <m:r>
                          <w:rPr>
                            <w:rFonts w:ascii="Cambria Math" w:hAnsi="Cambria Math"/>
                            <w:lang w:val="en-US"/>
                          </w:rPr>
                          <m:t xml:space="preserve"> </m:t>
                        </m:r>
                      </m:e>
                    </m:d>
                  </m:num>
                  <m:den>
                    <m:r>
                      <w:rPr>
                        <w:rFonts w:ascii="Cambria Math" w:hAnsi="Cambria Math"/>
                        <w:lang w:val="en-US"/>
                      </w:rPr>
                      <m:t>2</m:t>
                    </m:r>
                  </m:den>
                </m:f>
              </m:oMath>
            </m:oMathPara>
          </w:p>
        </w:tc>
        <w:tc>
          <w:tcPr>
            <w:tcW w:w="835" w:type="dxa"/>
            <w:vAlign w:val="center"/>
          </w:tcPr>
          <w:p w14:paraId="594BF5D1" w14:textId="055031EA" w:rsidR="00413233" w:rsidRPr="00413233" w:rsidRDefault="00413233" w:rsidP="00C3072A">
            <w:pPr>
              <w:pStyle w:val="Caption"/>
              <w:keepNext/>
              <w:jc w:val="center"/>
            </w:pPr>
            <w:bookmarkStart w:id="9" w:name="_Ref505537379"/>
            <w:r w:rsidRPr="00413233">
              <w:t>(</w:t>
            </w:r>
            <w:fldSimple w:instr=" SEQ Equation \* ARABIC ">
              <w:r w:rsidR="00563EFA">
                <w:rPr>
                  <w:noProof/>
                </w:rPr>
                <w:t>3</w:t>
              </w:r>
            </w:fldSimple>
            <w:r w:rsidRPr="00413233">
              <w:t>)</w:t>
            </w:r>
            <w:bookmarkEnd w:id="9"/>
          </w:p>
        </w:tc>
      </w:tr>
      <w:bookmarkEnd w:id="8"/>
    </w:tbl>
    <w:p w14:paraId="2A83D75E" w14:textId="77777777" w:rsidR="00413233" w:rsidRPr="00413233" w:rsidRDefault="00413233" w:rsidP="00413233">
      <w:pPr>
        <w:rPr>
          <w:lang w:val="en-US"/>
        </w:rPr>
      </w:pPr>
    </w:p>
    <w:p w14:paraId="6B5390E5" w14:textId="77777777" w:rsidR="00413233" w:rsidRPr="00413233" w:rsidRDefault="00413233">
      <w:pPr>
        <w:rPr>
          <w:lang w:val="en-US"/>
        </w:rPr>
      </w:pPr>
    </w:p>
    <w:sectPr w:rsidR="00413233" w:rsidRPr="0041323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570A"/>
    <w:multiLevelType w:val="hybridMultilevel"/>
    <w:tmpl w:val="1E4EF1D8"/>
    <w:lvl w:ilvl="0" w:tplc="0F0E056A">
      <w:start w:val="1"/>
      <w:numFmt w:val="decimal"/>
      <w:pStyle w:val="Heading2"/>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AB6E33"/>
    <w:multiLevelType w:val="hybridMultilevel"/>
    <w:tmpl w:val="B91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573CF"/>
    <w:multiLevelType w:val="multilevel"/>
    <w:tmpl w:val="BCF20EC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i w:val="0"/>
      </w:rPr>
    </w:lvl>
    <w:lvl w:ilvl="2">
      <w:start w:val="1"/>
      <w:numFmt w:val="decimal"/>
      <w:pStyle w:val="Heading3"/>
      <w:lvlText w:val="%1.%2.%3."/>
      <w:lvlJc w:val="left"/>
      <w:pPr>
        <w:ind w:left="1224" w:hanging="504"/>
      </w:pPr>
      <w:rPr>
        <w:rFonts w:hint="default"/>
        <w:b w:val="0"/>
        <w:i/>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93221126">
    <w:abstractNumId w:val="1"/>
  </w:num>
  <w:num w:numId="2" w16cid:durableId="1182863604">
    <w:abstractNumId w:val="0"/>
  </w:num>
  <w:num w:numId="3" w16cid:durableId="396829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NzMxMTM1Nra0MDNT0lEKTi0uzszPAykwrwUAH9DrwiwAAAA="/>
  </w:docVars>
  <w:rsids>
    <w:rsidRoot w:val="00173294"/>
    <w:rsid w:val="000528A6"/>
    <w:rsid w:val="001440ED"/>
    <w:rsid w:val="00155FA4"/>
    <w:rsid w:val="00157B53"/>
    <w:rsid w:val="00173294"/>
    <w:rsid w:val="001F7C5B"/>
    <w:rsid w:val="002C6150"/>
    <w:rsid w:val="00300441"/>
    <w:rsid w:val="00313C27"/>
    <w:rsid w:val="003C6517"/>
    <w:rsid w:val="00413233"/>
    <w:rsid w:val="004477C5"/>
    <w:rsid w:val="004C28FB"/>
    <w:rsid w:val="00556A30"/>
    <w:rsid w:val="00563EFA"/>
    <w:rsid w:val="005C6308"/>
    <w:rsid w:val="006A0624"/>
    <w:rsid w:val="00713694"/>
    <w:rsid w:val="00BB2E2C"/>
    <w:rsid w:val="00C33FBE"/>
    <w:rsid w:val="00DA76A2"/>
    <w:rsid w:val="00E06A24"/>
    <w:rsid w:val="00E535E0"/>
    <w:rsid w:val="00EB3426"/>
    <w:rsid w:val="00EC2D6B"/>
    <w:rsid w:val="00F42BCB"/>
    <w:rsid w:val="00F555AB"/>
    <w:rsid w:val="00F916F7"/>
    <w:rsid w:val="00F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39B9"/>
  <w15:chartTrackingRefBased/>
  <w15:docId w15:val="{952587A9-D382-4D9F-B473-BB1B260B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F91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413233"/>
    <w:pPr>
      <w:keepNext/>
      <w:keepLines/>
      <w:numPr>
        <w:numId w:val="2"/>
      </w:numPr>
      <w:spacing w:before="480" w:after="240" w:line="240" w:lineRule="auto"/>
      <w:outlineLvl w:val="1"/>
    </w:pPr>
    <w:rPr>
      <w:rFonts w:ascii="Times New Roman" w:eastAsia="SimSun" w:hAnsi="Times New Roman" w:cs="Times New Roman"/>
      <w:b/>
      <w:iCs/>
      <w:noProof/>
      <w:sz w:val="24"/>
      <w:szCs w:val="20"/>
      <w:lang w:val="en-US"/>
    </w:rPr>
  </w:style>
  <w:style w:type="paragraph" w:styleId="Heading3">
    <w:name w:val="heading 3"/>
    <w:basedOn w:val="ListParagraph"/>
    <w:next w:val="Normal"/>
    <w:link w:val="Heading3Char"/>
    <w:uiPriority w:val="9"/>
    <w:qFormat/>
    <w:rsid w:val="00413233"/>
    <w:pPr>
      <w:numPr>
        <w:ilvl w:val="2"/>
        <w:numId w:val="3"/>
      </w:numPr>
      <w:spacing w:before="120" w:after="120" w:line="240" w:lineRule="exact"/>
      <w:ind w:left="0" w:firstLine="0"/>
      <w:contextualSpacing w:val="0"/>
      <w:jc w:val="both"/>
      <w:outlineLvl w:val="2"/>
    </w:pPr>
    <w:rPr>
      <w:rFonts w:ascii="Times New Roman" w:eastAsia="SimSun" w:hAnsi="Times New Roman" w:cs="Times New Roman"/>
      <w:i/>
      <w:iCs/>
      <w:noProof/>
      <w:sz w:val="24"/>
      <w:szCs w:val="20"/>
      <w:lang w:val="en-US"/>
    </w:rPr>
  </w:style>
  <w:style w:type="paragraph" w:styleId="Heading4">
    <w:name w:val="heading 4"/>
    <w:basedOn w:val="Normal"/>
    <w:next w:val="Normal"/>
    <w:link w:val="Heading4Char"/>
    <w:uiPriority w:val="9"/>
    <w:semiHidden/>
    <w:unhideWhenUsed/>
    <w:qFormat/>
    <w:rsid w:val="004132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next w:val="Normal"/>
    <w:link w:val="Heading5Char"/>
    <w:uiPriority w:val="9"/>
    <w:qFormat/>
    <w:rsid w:val="00413233"/>
    <w:pPr>
      <w:keepNext w:val="0"/>
      <w:keepLines w:val="0"/>
      <w:numPr>
        <w:ilvl w:val="4"/>
        <w:numId w:val="3"/>
      </w:numPr>
      <w:tabs>
        <w:tab w:val="left" w:pos="720"/>
      </w:tabs>
      <w:spacing w:after="40" w:line="240" w:lineRule="auto"/>
      <w:jc w:val="both"/>
      <w:outlineLvl w:val="4"/>
    </w:pPr>
    <w:rPr>
      <w:rFonts w:ascii="Times New Roman" w:eastAsia="SimSun" w:hAnsi="Times New Roman" w:cs="Times New Roman"/>
      <w:noProof/>
      <w:color w:val="auto"/>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5E0"/>
    <w:rPr>
      <w:color w:val="0563C1" w:themeColor="hyperlink"/>
      <w:u w:val="single"/>
    </w:rPr>
  </w:style>
  <w:style w:type="character" w:styleId="UnresolvedMention">
    <w:name w:val="Unresolved Mention"/>
    <w:basedOn w:val="DefaultParagraphFont"/>
    <w:uiPriority w:val="99"/>
    <w:semiHidden/>
    <w:unhideWhenUsed/>
    <w:rsid w:val="00E535E0"/>
    <w:rPr>
      <w:color w:val="605E5C"/>
      <w:shd w:val="clear" w:color="auto" w:fill="E1DFDD"/>
    </w:rPr>
  </w:style>
  <w:style w:type="paragraph" w:styleId="ListParagraph">
    <w:name w:val="List Paragraph"/>
    <w:basedOn w:val="Normal"/>
    <w:uiPriority w:val="34"/>
    <w:qFormat/>
    <w:rsid w:val="003C6517"/>
    <w:pPr>
      <w:ind w:left="720"/>
      <w:contextualSpacing/>
    </w:pPr>
  </w:style>
  <w:style w:type="paragraph" w:styleId="Caption">
    <w:name w:val="caption"/>
    <w:basedOn w:val="Normal"/>
    <w:next w:val="Normal"/>
    <w:uiPriority w:val="35"/>
    <w:unhideWhenUsed/>
    <w:qFormat/>
    <w:rsid w:val="00413233"/>
    <w:pPr>
      <w:spacing w:after="200" w:line="240" w:lineRule="auto"/>
      <w:jc w:val="both"/>
    </w:pPr>
    <w:rPr>
      <w:rFonts w:ascii="Times New Roman" w:eastAsia="SimSun" w:hAnsi="Times New Roman" w:cs="Times New Roman"/>
      <w:iCs/>
      <w:sz w:val="20"/>
      <w:szCs w:val="18"/>
      <w:lang w:val="en-US"/>
    </w:rPr>
  </w:style>
  <w:style w:type="character" w:customStyle="1" w:styleId="Heading2Char">
    <w:name w:val="Heading 2 Char"/>
    <w:basedOn w:val="DefaultParagraphFont"/>
    <w:link w:val="Heading2"/>
    <w:uiPriority w:val="9"/>
    <w:rsid w:val="00413233"/>
    <w:rPr>
      <w:rFonts w:ascii="Times New Roman" w:eastAsia="SimSun" w:hAnsi="Times New Roman" w:cs="Times New Roman"/>
      <w:b/>
      <w:iCs/>
      <w:noProof/>
      <w:sz w:val="24"/>
      <w:szCs w:val="20"/>
    </w:rPr>
  </w:style>
  <w:style w:type="character" w:customStyle="1" w:styleId="Heading3Char">
    <w:name w:val="Heading 3 Char"/>
    <w:basedOn w:val="DefaultParagraphFont"/>
    <w:link w:val="Heading3"/>
    <w:uiPriority w:val="9"/>
    <w:rsid w:val="00413233"/>
    <w:rPr>
      <w:rFonts w:ascii="Times New Roman" w:eastAsia="SimSun" w:hAnsi="Times New Roman" w:cs="Times New Roman"/>
      <w:i/>
      <w:iCs/>
      <w:noProof/>
      <w:sz w:val="24"/>
      <w:szCs w:val="20"/>
    </w:rPr>
  </w:style>
  <w:style w:type="character" w:customStyle="1" w:styleId="Heading5Char">
    <w:name w:val="Heading 5 Char"/>
    <w:basedOn w:val="DefaultParagraphFont"/>
    <w:link w:val="Heading5"/>
    <w:uiPriority w:val="9"/>
    <w:rsid w:val="00413233"/>
    <w:rPr>
      <w:rFonts w:ascii="Times New Roman" w:eastAsia="SimSun" w:hAnsi="Times New Roman" w:cs="Times New Roman"/>
      <w:i/>
      <w:iCs/>
      <w:noProof/>
      <w:sz w:val="24"/>
      <w:szCs w:val="20"/>
    </w:rPr>
  </w:style>
  <w:style w:type="character" w:customStyle="1" w:styleId="Heading4Char">
    <w:name w:val="Heading 4 Char"/>
    <w:basedOn w:val="DefaultParagraphFont"/>
    <w:link w:val="Heading4"/>
    <w:uiPriority w:val="9"/>
    <w:semiHidden/>
    <w:rsid w:val="00413233"/>
    <w:rPr>
      <w:rFonts w:asciiTheme="majorHAnsi" w:eastAsiaTheme="majorEastAsia" w:hAnsiTheme="majorHAnsi" w:cstheme="majorBidi"/>
      <w:i/>
      <w:iCs/>
      <w:color w:val="2F5496" w:themeColor="accent1" w:themeShade="BF"/>
      <w:lang w:val="tr-TR"/>
    </w:rPr>
  </w:style>
  <w:style w:type="character" w:customStyle="1" w:styleId="Heading1Char">
    <w:name w:val="Heading 1 Char"/>
    <w:basedOn w:val="DefaultParagraphFont"/>
    <w:link w:val="Heading1"/>
    <w:uiPriority w:val="9"/>
    <w:rsid w:val="00F916F7"/>
    <w:rPr>
      <w:rFonts w:asciiTheme="majorHAnsi" w:eastAsiaTheme="majorEastAsia" w:hAnsiTheme="majorHAnsi" w:cstheme="majorBidi"/>
      <w:color w:val="2F5496" w:themeColor="accent1" w:themeShade="BF"/>
      <w:sz w:val="32"/>
      <w:szCs w:val="3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4631">
      <w:bodyDiv w:val="1"/>
      <w:marLeft w:val="0"/>
      <w:marRight w:val="0"/>
      <w:marTop w:val="0"/>
      <w:marBottom w:val="0"/>
      <w:divBdr>
        <w:top w:val="none" w:sz="0" w:space="0" w:color="auto"/>
        <w:left w:val="none" w:sz="0" w:space="0" w:color="auto"/>
        <w:bottom w:val="none" w:sz="0" w:space="0" w:color="auto"/>
        <w:right w:val="none" w:sz="0" w:space="0" w:color="auto"/>
      </w:divBdr>
      <w:divsChild>
        <w:div w:id="1348828733">
          <w:marLeft w:val="0"/>
          <w:marRight w:val="0"/>
          <w:marTop w:val="0"/>
          <w:marBottom w:val="0"/>
          <w:divBdr>
            <w:top w:val="none" w:sz="0" w:space="0" w:color="auto"/>
            <w:left w:val="none" w:sz="0" w:space="0" w:color="auto"/>
            <w:bottom w:val="none" w:sz="0" w:space="0" w:color="auto"/>
            <w:right w:val="none" w:sz="0" w:space="0" w:color="auto"/>
          </w:divBdr>
          <w:divsChild>
            <w:div w:id="16424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06">
      <w:bodyDiv w:val="1"/>
      <w:marLeft w:val="0"/>
      <w:marRight w:val="0"/>
      <w:marTop w:val="0"/>
      <w:marBottom w:val="0"/>
      <w:divBdr>
        <w:top w:val="none" w:sz="0" w:space="0" w:color="auto"/>
        <w:left w:val="none" w:sz="0" w:space="0" w:color="auto"/>
        <w:bottom w:val="none" w:sz="0" w:space="0" w:color="auto"/>
        <w:right w:val="none" w:sz="0" w:space="0" w:color="auto"/>
      </w:divBdr>
      <w:divsChild>
        <w:div w:id="2080210479">
          <w:marLeft w:val="0"/>
          <w:marRight w:val="0"/>
          <w:marTop w:val="0"/>
          <w:marBottom w:val="0"/>
          <w:divBdr>
            <w:top w:val="none" w:sz="0" w:space="0" w:color="auto"/>
            <w:left w:val="none" w:sz="0" w:space="0" w:color="auto"/>
            <w:bottom w:val="none" w:sz="0" w:space="0" w:color="auto"/>
            <w:right w:val="none" w:sz="0" w:space="0" w:color="auto"/>
          </w:divBdr>
          <w:divsChild>
            <w:div w:id="1425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679">
      <w:bodyDiv w:val="1"/>
      <w:marLeft w:val="0"/>
      <w:marRight w:val="0"/>
      <w:marTop w:val="0"/>
      <w:marBottom w:val="0"/>
      <w:divBdr>
        <w:top w:val="none" w:sz="0" w:space="0" w:color="auto"/>
        <w:left w:val="none" w:sz="0" w:space="0" w:color="auto"/>
        <w:bottom w:val="none" w:sz="0" w:space="0" w:color="auto"/>
        <w:right w:val="none" w:sz="0" w:space="0" w:color="auto"/>
      </w:divBdr>
      <w:divsChild>
        <w:div w:id="1092317693">
          <w:marLeft w:val="0"/>
          <w:marRight w:val="0"/>
          <w:marTop w:val="0"/>
          <w:marBottom w:val="0"/>
          <w:divBdr>
            <w:top w:val="none" w:sz="0" w:space="0" w:color="auto"/>
            <w:left w:val="none" w:sz="0" w:space="0" w:color="auto"/>
            <w:bottom w:val="none" w:sz="0" w:space="0" w:color="auto"/>
            <w:right w:val="none" w:sz="0" w:space="0" w:color="auto"/>
          </w:divBdr>
          <w:divsChild>
            <w:div w:id="5677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099">
      <w:bodyDiv w:val="1"/>
      <w:marLeft w:val="0"/>
      <w:marRight w:val="0"/>
      <w:marTop w:val="0"/>
      <w:marBottom w:val="0"/>
      <w:divBdr>
        <w:top w:val="none" w:sz="0" w:space="0" w:color="auto"/>
        <w:left w:val="none" w:sz="0" w:space="0" w:color="auto"/>
        <w:bottom w:val="none" w:sz="0" w:space="0" w:color="auto"/>
        <w:right w:val="none" w:sz="0" w:space="0" w:color="auto"/>
      </w:divBdr>
      <w:divsChild>
        <w:div w:id="1315597090">
          <w:marLeft w:val="0"/>
          <w:marRight w:val="0"/>
          <w:marTop w:val="0"/>
          <w:marBottom w:val="0"/>
          <w:divBdr>
            <w:top w:val="none" w:sz="0" w:space="0" w:color="auto"/>
            <w:left w:val="none" w:sz="0" w:space="0" w:color="auto"/>
            <w:bottom w:val="none" w:sz="0" w:space="0" w:color="auto"/>
            <w:right w:val="none" w:sz="0" w:space="0" w:color="auto"/>
          </w:divBdr>
          <w:divsChild>
            <w:div w:id="12559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sChild>
        <w:div w:id="122818874">
          <w:marLeft w:val="0"/>
          <w:marRight w:val="0"/>
          <w:marTop w:val="0"/>
          <w:marBottom w:val="0"/>
          <w:divBdr>
            <w:top w:val="none" w:sz="0" w:space="0" w:color="auto"/>
            <w:left w:val="none" w:sz="0" w:space="0" w:color="auto"/>
            <w:bottom w:val="none" w:sz="0" w:space="0" w:color="auto"/>
            <w:right w:val="none" w:sz="0" w:space="0" w:color="auto"/>
          </w:divBdr>
          <w:divsChild>
            <w:div w:id="1477642731">
              <w:marLeft w:val="0"/>
              <w:marRight w:val="0"/>
              <w:marTop w:val="0"/>
              <w:marBottom w:val="0"/>
              <w:divBdr>
                <w:top w:val="none" w:sz="0" w:space="0" w:color="auto"/>
                <w:left w:val="none" w:sz="0" w:space="0" w:color="auto"/>
                <w:bottom w:val="none" w:sz="0" w:space="0" w:color="auto"/>
                <w:right w:val="none" w:sz="0" w:space="0" w:color="auto"/>
              </w:divBdr>
            </w:div>
            <w:div w:id="269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LandsatProductGuide</b:Tag>
    <b:SourceType>Report</b:SourceType>
    <b:Guid>{74FA1C97-2E22-4D83-A868-B80331FC13EA}</b:Guid>
    <b:Author>
      <b:Author>
        <b:Corporate>U.S. Geological Survey</b:Corporate>
      </b:Author>
    </b:Author>
    <b:Title>Landsat Surface Reflectance-Derived Spectral Indices</b:Title>
    <b:Year>2017</b:Year>
    <b:LCID>en-US</b:LCID>
    <b:YearAccessed>2018</b:YearAccessed>
    <b:MonthAccessed>January</b:MonthAccessed>
    <b:DayAccessed>30</b:DayAccessed>
    <b:URL>https://landsat.usgs.gov/sites/default/files/documents/si_product_guide.pdf</b:URL>
    <b:RefOrder>1</b:RefOrder>
  </b:Source>
</b:Sources>
</file>

<file path=customXml/itemProps1.xml><?xml version="1.0" encoding="utf-8"?>
<ds:datastoreItem xmlns:ds="http://schemas.openxmlformats.org/officeDocument/2006/customXml" ds:itemID="{42C23D7C-D98E-48B5-9CD8-7C85937E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Teke</dc:creator>
  <cp:keywords/>
  <dc:description/>
  <cp:lastModifiedBy>Mustafa Teke</cp:lastModifiedBy>
  <cp:revision>11</cp:revision>
  <cp:lastPrinted>2022-11-06T13:01:00Z</cp:lastPrinted>
  <dcterms:created xsi:type="dcterms:W3CDTF">2022-11-06T12:33:00Z</dcterms:created>
  <dcterms:modified xsi:type="dcterms:W3CDTF">2022-11-06T19:35:00Z</dcterms:modified>
</cp:coreProperties>
</file>