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IN THE COAST MOUNTAINS OF BRITISH COLUMBIA</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most notably 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 </w:t>
      </w:r>
      <w:del w:id="0" w:author="Unknown Author" w:date="2020-01-15T16:19:08Z">
        <w:r>
          <w:rPr/>
          <w:delText>undiscovered</w:delText>
        </w:r>
      </w:del>
      <w:ins w:id="1" w:author="Unknown Author" w:date="2020-01-15T16:19:08Z">
        <w:r>
          <w:rPr/>
          <w:t>unnamed</w:t>
        </w:r>
      </w:ins>
      <w:r>
        <w:rPr/>
        <w:t xml:space="preserve"> </w:t>
      </w:r>
      <w:r>
        <w:rPr/>
        <w:commentReference w:id="0"/>
      </w:r>
      <w:r>
        <w:rPr/>
        <w:commentReference w:id="1"/>
      </w:r>
      <w:r>
        <w:rPr/>
        <w:t>species of snow algae. These three cross-referenced datasets reveal that alpine snow algae blooms are more diverse than previously thought with different species dominating at different elevations</w:t>
      </w:r>
      <w:ins w:id="2"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 shows that </w:t>
      </w:r>
      <w:r>
        <w:rPr>
          <w:i/>
          <w:iCs/>
        </w:rPr>
        <w:t>Chlainomonas</w:t>
      </w:r>
      <w:r>
        <w:rPr/>
        <w:t xml:space="preserve"> is closely related to </w:t>
      </w:r>
      <w:r>
        <w:rPr>
          <w:i/>
        </w:rPr>
        <w:t>Chloromonas</w:t>
      </w:r>
      <w:r>
        <w:rPr/>
        <w:t>. While Chlorophyceae predominate in 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r>
        <w:rPr/>
        <w:t xml:space="preserve">Based on how little is known about the regional variation in species composition of snow algae blooms, we set out to answer the following questions: what species of snow algae are found in our region? What patterns of co-occurrence exist between species? Which species are the most abundant? Are there distinct bloom types dominated by different species? We compared snow algae species composition of 33 samples from the Coast Range of British Columbia using light microscopy and 18S and </w:t>
      </w:r>
      <w:r>
        <w:rPr>
          <w:i/>
        </w:rPr>
        <w:t>rbcL</w:t>
      </w:r>
      <w:r>
        <w:rPr/>
        <w:t xml:space="preserve"> metabarcoding. </w:t>
      </w:r>
      <w:r>
        <w:rPr>
          <w:i/>
        </w:rPr>
        <w:t>rbcL (</w:t>
      </w:r>
      <w:r>
        <w:rPr/>
        <w:t>coding for Rubisco large subunit) targeted photosynthetic species with higher taxonomic resolution than 18S, revealing previously unknown diversity. By using three cross-referenced metrics, we were able to account for some of the biases inherent in morphology-based identification and PCR-based metabarcoding. We found snow algae bloom species composition was highly variable from site to site, and blooms were dominated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We immediately fixed microscopy aliquots in 2% gluteraldehyde, and stored at 4 °C for up to 72 hours. We quantified morphospecies relative abundance in 122 samples by identifying 100 cells on a haemocytometer under 400x light microscopy.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before incubation in CTAB lysis buffer [27]. We extracted DNA in small batches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(detailed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using all available snow algae sequences on GenBank (scripts and databases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cf. nivaloides</w:t>
      </w:r>
      <w:r>
        <w:rPr/>
        <w:t xml:space="preserve">. Cells resembling </w:t>
      </w:r>
      <w:r>
        <w:rPr>
          <w:i/>
        </w:rPr>
        <w:t>Chlainomonas rubra</w:t>
      </w:r>
      <w:r>
        <w:rPr/>
        <w:t xml:space="preserve"> were common in sites at all elevations, often as the dominant cell type.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w:t>
      </w:r>
    </w:p>
    <w:p>
      <w:pPr>
        <w:pStyle w:val="TextBody"/>
        <w:rPr/>
      </w:pPr>
      <w:r>
        <w:rPr/>
        <w:t xml:space="preserve">Both 18S and </w:t>
      </w:r>
      <w:r>
        <w:rPr>
          <w:i/>
        </w:rPr>
        <w:t>rbcL</w:t>
      </w:r>
      <w:r>
        <w:rPr/>
        <w:t xml:space="preserve"> amplicon libraries were dominated by reads assigned to Chlorophyta (Figure 2). The 18S SILVA taxonomy contained 50 ASVs assigned to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NMDS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Most snow algae blooms above treeline were red, but we did collect two green snow samples from above treeline (N1.5, G1.4). These were dominated by reads assigned to </w:t>
      </w:r>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bookmarkStart w:id="12" w:name="__DdeLink__5371_3818294036"/>
      <w:r>
        <w:rPr/>
        <w:t>Snow algae blooms are a widespread and globally important phenomenon, yet until now the distribution of distinct blooms within a region has not been well documented. We present multiple data sets demonstrating elevational patterns in alpine snow algae bloom species composition.</w:t>
      </w:r>
      <w:bookmarkEnd w:id="12"/>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w:t>
      </w:r>
      <w:del w:id="3" w:author="Unknown Author" w:date="2020-01-15T16:22:15Z">
        <w:r>
          <w:rPr/>
          <w:delText xml:space="preserve">as </w:delText>
        </w:r>
      </w:del>
      <w:r>
        <w:rPr/>
        <w:t xml:space="preserve">yet unnamed species. Although </w:t>
      </w:r>
      <w:r>
        <w:rPr>
          <w:i/>
          <w:iCs/>
        </w:rPr>
        <w:t xml:space="preserve">Chlainomonas </w:t>
      </w:r>
      <w:r>
        <w:rPr/>
        <w:t>was previously only reported from red snow overlying lakes [23] we found it was widespread and abundant in a variety of alpine habitats.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We did not find any evidence that </w:t>
      </w:r>
      <w:r>
        <w:rPr>
          <w:i/>
        </w:rPr>
        <w:t>Chlainomonas</w:t>
      </w:r>
      <w:r>
        <w:rPr/>
        <w:t xml:space="preserve"> was restricted to waterlogged snow overlying lakes, as has been previously suggested [21,23]. Only one </w:t>
      </w:r>
      <w:r>
        <w:rPr>
          <w:i/>
        </w:rPr>
        <w:t>Chlainomonas</w:t>
      </w:r>
      <w:r>
        <w:rPr/>
        <w:t xml:space="preserve">-dominant sample was located in waterlogged snow at the edge of a melt pool (sample S8.11); the other </w:t>
      </w:r>
      <w:r>
        <w:rPr>
          <w:i/>
        </w:rPr>
        <w:t>Chlainomonas</w:t>
      </w:r>
      <w:ins w:id="4" w:author="Unknown Author" w:date="2020-01-15T13:50:00Z">
        <w:r>
          <w:rPr>
            <w:i/>
          </w:rPr>
          <w:t>-</w:t>
        </w:r>
      </w:ins>
      <w:r>
        <w:rPr/>
        <w:t xml:space="preserve">dominant sample sites were not notably wetter than the surrounding snow nor located over frozen lakes. </w:t>
      </w:r>
      <w:r>
        <w:rPr>
          <w:i/>
          <w:iCs/>
        </w:rPr>
        <w:t xml:space="preserve">Chlainomonas </w:t>
      </w:r>
      <w:r>
        <w:rPr/>
        <w:t xml:space="preserve">was conspicuously absent in our 18S dataset, supporting the idea that </w:t>
      </w:r>
      <w:r>
        <w:rPr>
          <w:i/>
          <w:iCs/>
        </w:rPr>
        <w:t>Chlainomonas</w:t>
      </w:r>
      <w:r>
        <w:rPr/>
        <w:t xml:space="preserve"> may have been missed in previous 18S metabarcoding studies. However, </w:t>
      </w:r>
      <w:r>
        <w:rPr>
          <w:i/>
          <w:iCs/>
        </w:rPr>
        <w:t>rbcL could have overestimated abundance of this genus</w:t>
      </w:r>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two OTUs related to this genus did not match any known species, and could represent unnamed species (Figure 2 “D” and “F”). However, the majority of </w:t>
      </w:r>
      <w:r>
        <w:rPr>
          <w:i/>
        </w:rPr>
        <w:t xml:space="preserve">Chloromonas </w:t>
      </w:r>
      <w:r>
        <w:rPr/>
        <w:t xml:space="preserve">ASVs did not form distinct clusters, perhaps due to overlapping intraspecific </w:t>
      </w:r>
      <w:r>
        <w:rPr>
          <w:i/>
          <w:iCs/>
        </w:rPr>
        <w:t>rbcL</w:t>
      </w:r>
      <w:r>
        <w:rPr/>
        <w:t xml:space="preserve"> variation between species. Given the genetic distance between OTU “E” and other </w:t>
      </w:r>
      <w:r>
        <w:rPr>
          <w:i/>
          <w:iCs/>
        </w:rPr>
        <w:t>rbcL</w:t>
      </w:r>
      <w:r>
        <w:rPr/>
        <w:t xml:space="preserve"> ASVs, we would expect to see a corresponding OTU in 18S, but we did not. </w:t>
      </w:r>
      <w:r>
        <w:rPr>
          <w:i/>
        </w:rPr>
        <w:t>rbcL</w:t>
      </w:r>
      <w:r>
        <w:rPr/>
        <w:t xml:space="preserve"> diversity is likely higher within </w:t>
      </w:r>
      <w:r>
        <w:rPr>
          <w:i/>
        </w:rPr>
        <w:t>Chloromonas</w:t>
      </w:r>
      <w:r>
        <w:rPr/>
        <w:t xml:space="preserve"> than other genera because,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that codes for binding Rubisco together [39]. While this means that </w:t>
      </w:r>
      <w:r>
        <w:rPr>
          <w:i/>
        </w:rPr>
        <w:t>rbcL</w:t>
      </w:r>
      <w:r>
        <w:rPr/>
        <w:t xml:space="preserve"> is a poor indicator of phylogeny within this genus [39], it nonetheless is highly differentiated and therefore an effective barcode [40].</w:t>
      </w:r>
    </w:p>
    <w:p>
      <w:pPr>
        <w:pStyle w:val="TextBody"/>
        <w:rPr/>
      </w:pPr>
      <w:r>
        <w:rPr/>
        <w:t xml:space="preserve">Variation in bloom composition could be due to a wide range of habitat features. Day length, snow moisture, nutrient availability, or shade could all plausibly influence community composition. </w:t>
      </w:r>
      <w:r>
        <w:rPr>
          <w:i/>
        </w:rPr>
        <w:t>Sanguina</w:t>
      </w:r>
      <w:r>
        <w:rPr/>
        <w:t xml:space="preserve"> and </w:t>
      </w:r>
      <w:r>
        <w:rPr>
          <w:i/>
        </w:rPr>
        <w:t>Chloromonas</w:t>
      </w:r>
      <w:r>
        <w:rPr/>
        <w:t xml:space="preserve"> “C” were only found in late summer samples from  high alpine sites above 1500 m (Figure 3). Differences in canopy cover fail to explain this pattern, as many low elevation sites also received full sunlight but did not contain these OTUs.  Liquid water and garden fertilizer can stimulate snow algae growth [7], but whether different nutrients select for different species is unknown. Day length could explain some of the seasonal variation we observed: at higher elevations, the timing of melting snow coincides with longer days around the solstice, while snowmelt occurs earlier at lower elevations.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also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rFonts w:ascii="Times New Roman" w:hAnsi="Times New Roman"/>
          <w:sz w:val="24"/>
          <w:szCs w:val="24"/>
        </w:rPr>
      </w:pPr>
      <w:ins w:id="5" w:author="Unknown Author" w:date="2020-01-15T17:05:04Z">
        <w:r>
          <w:rPr>
            <w:rFonts w:ascii="Times New Roman" w:hAnsi="Times New Roman"/>
            <w:b w:val="false"/>
            <w:i w:val="false"/>
            <w:caps w:val="false"/>
            <w:smallCaps w:val="false"/>
            <w:color w:val="000000"/>
            <w:spacing w:val="0"/>
            <w:sz w:val="24"/>
            <w:szCs w:val="24"/>
          </w:rPr>
          <w:t xml:space="preserve">In conclusion, snow algae blooms on the same mountain can contain distinct species assemblages, with different species occurring at different elevations. Blooms were dominated by three genera, </w:t>
        </w:r>
      </w:ins>
      <w:ins w:id="6" w:author="Unknown Author" w:date="2020-01-15T17:05:04Z">
        <w:r>
          <w:rPr>
            <w:rFonts w:ascii="Times New Roman" w:hAnsi="Times New Roman"/>
            <w:b w:val="false"/>
            <w:i/>
            <w:iCs/>
            <w:caps w:val="false"/>
            <w:smallCaps w:val="false"/>
            <w:color w:val="000000"/>
            <w:spacing w:val="0"/>
            <w:sz w:val="24"/>
            <w:szCs w:val="24"/>
          </w:rPr>
          <w:t>Chloromonas</w:t>
        </w:r>
      </w:ins>
      <w:ins w:id="7" w:author="Unknown Author" w:date="2020-01-15T17:05:04Z">
        <w:r>
          <w:rPr>
            <w:rFonts w:ascii="Times New Roman" w:hAnsi="Times New Roman"/>
            <w:b w:val="false"/>
            <w:i w:val="false"/>
            <w:caps w:val="false"/>
            <w:smallCaps w:val="false"/>
            <w:color w:val="000000"/>
            <w:spacing w:val="0"/>
            <w:sz w:val="24"/>
            <w:szCs w:val="24"/>
          </w:rPr>
          <w:t xml:space="preserve">, </w:t>
        </w:r>
      </w:ins>
      <w:ins w:id="8" w:author="Unknown Author" w:date="2020-01-15T17:05:04Z">
        <w:r>
          <w:rPr>
            <w:rFonts w:ascii="Times New Roman" w:hAnsi="Times New Roman"/>
            <w:b w:val="false"/>
            <w:i/>
            <w:iCs/>
            <w:caps w:val="false"/>
            <w:smallCaps w:val="false"/>
            <w:color w:val="000000"/>
            <w:spacing w:val="0"/>
            <w:sz w:val="24"/>
            <w:szCs w:val="24"/>
          </w:rPr>
          <w:t>Chlainomonas</w:t>
        </w:r>
      </w:ins>
      <w:ins w:id="9" w:author="Unknown Author" w:date="2020-01-15T17:05:04Z">
        <w:r>
          <w:rPr>
            <w:rFonts w:ascii="Times New Roman" w:hAnsi="Times New Roman"/>
            <w:b w:val="false"/>
            <w:i w:val="false"/>
            <w:caps w:val="false"/>
            <w:smallCaps w:val="false"/>
            <w:color w:val="000000"/>
            <w:spacing w:val="0"/>
            <w:sz w:val="24"/>
            <w:szCs w:val="24"/>
          </w:rPr>
          <w:t xml:space="preserve">, and </w:t>
        </w:r>
      </w:ins>
      <w:ins w:id="10" w:author="Unknown Author" w:date="2020-01-15T17:05:04Z">
        <w:r>
          <w:rPr>
            <w:rFonts w:ascii="Times New Roman" w:hAnsi="Times New Roman"/>
            <w:b w:val="false"/>
            <w:i/>
            <w:iCs/>
            <w:caps w:val="false"/>
            <w:smallCaps w:val="false"/>
            <w:color w:val="000000"/>
            <w:spacing w:val="0"/>
            <w:sz w:val="24"/>
            <w:szCs w:val="24"/>
          </w:rPr>
          <w:t>Sanguina</w:t>
        </w:r>
      </w:ins>
      <w:ins w:id="11" w:author="Unknown Author" w:date="2020-01-15T17:05:04Z">
        <w:r>
          <w:rPr>
            <w:rFonts w:ascii="Times New Roman" w:hAnsi="Times New Roman"/>
            <w:b w:val="false"/>
            <w:i w:val="false"/>
            <w:caps w:val="false"/>
            <w:smallCaps w:val="false"/>
            <w:color w:val="000000"/>
            <w:spacing w:val="0"/>
            <w:sz w:val="24"/>
            <w:szCs w:val="24"/>
          </w:rPr>
          <w:t xml:space="preserve">. We report substantially more species-level diversity than previous studies based on morphology or 18S sequence. </w:t>
        </w:r>
      </w:ins>
      <w:ins w:id="12" w:author="Unknown Author" w:date="2020-01-15T17:05:04Z">
        <w:r>
          <w:rPr>
            <w:rFonts w:ascii="Times New Roman" w:hAnsi="Times New Roman"/>
            <w:b w:val="false"/>
            <w:i w:val="false"/>
            <w:caps w:val="false"/>
            <w:smallCaps w:val="false"/>
            <w:color w:val="000000"/>
            <w:spacing w:val="0"/>
            <w:sz w:val="24"/>
            <w:szCs w:val="24"/>
          </w:rPr>
          <w:t>I</w:t>
        </w:r>
      </w:ins>
      <w:ins w:id="13" w:author="Unknown Author" w:date="2020-01-15T17:05:04Z">
        <w:r>
          <w:rPr>
            <w:rFonts w:ascii="Times New Roman" w:hAnsi="Times New Roman"/>
            <w:b w:val="false"/>
            <w:i w:val="false"/>
            <w:caps w:val="false"/>
            <w:smallCaps w:val="false"/>
            <w:color w:val="000000"/>
            <w:spacing w:val="0"/>
            <w:sz w:val="24"/>
            <w:szCs w:val="24"/>
          </w:rPr>
          <w:t>n planktonic systems where microalgae are the primary producers that interactions with other organisms, notably bacteria and zooplankton, can influence the timing, extent and composition of blooms. It will be interesting to see which other organisms are important in the development snow algae microbiomes.</w:t>
        </w:r>
      </w:ins>
      <w:del w:id="14" w:author="Unknown Author" w:date="2020-01-15T17:05:03Z">
        <w:r>
          <w:rPr>
            <w:rFonts w:ascii="Times New Roman" w:hAnsi="Times New Roman"/>
            <w:sz w:val="24"/>
            <w:szCs w:val="24"/>
          </w:rPr>
          <w:delText xml:space="preserve">In conclusion, </w:delText>
        </w:r>
      </w:del>
      <w:del w:id="15" w:author="Unknown Author" w:date="2020-01-15T17:03:14Z">
        <w:r>
          <w:rPr>
            <w:rFonts w:ascii="Times New Roman" w:hAnsi="Times New Roman"/>
            <w:sz w:val="24"/>
            <w:szCs w:val="24"/>
          </w:rPr>
          <w:delText>******</w:delText>
        </w:r>
      </w:del>
      <w:del w:id="16" w:author="Unknown Author" w:date="2020-01-15T17:03:12Z">
        <w:r>
          <w:rPr>
            <w:rFonts w:ascii="Times New Roman" w:hAnsi="Times New Roman"/>
            <w:sz w:val="24"/>
            <w:szCs w:val="24"/>
          </w:rPr>
          <w:commentReference w:id="2"/>
        </w:r>
      </w:del>
      <w:del w:id="17" w:author="Unknown Author" w:date="2020-01-15T17:03:12Z">
        <w:r>
          <w:rPr>
            <w:rFonts w:ascii="Times New Roman" w:hAnsi="Times New Roman"/>
            <w:sz w:val="24"/>
            <w:szCs w:val="24"/>
          </w:rPr>
          <w:delText>*</w:delText>
        </w:r>
      </w:del>
      <w:del w:id="18" w:author="Unknown Author" w:date="2020-01-15T17:05:03Z">
        <w:r>
          <w:rPr>
            <w:rFonts w:ascii="Times New Roman" w:hAnsi="Times New Roman"/>
            <w:sz w:val="24"/>
            <w:szCs w:val="24"/>
          </w:rPr>
          <w:commentReference w:id="3"/>
        </w:r>
      </w:del>
      <w:del w:id="19" w:author="Unknown Author" w:date="2020-01-15T17:05:03Z">
        <w:r>
          <w:rPr>
            <w:rFonts w:ascii="Times New Roman" w:hAnsi="Times New Roman"/>
            <w:sz w:val="24"/>
            <w:szCs w:val="24"/>
          </w:rPr>
          <w:delText>.</w:delText>
          <w:rPrChange w:id="0" w:author="Unknown Author" w:date="2020-01-15T17:05:31Z"/>
        </w:r>
      </w:del>
    </w:p>
    <w:p>
      <w:pPr>
        <w:pStyle w:val="TextBody"/>
        <w:ind w:hanging="0"/>
        <w:rPr>
          <w:rFonts w:ascii="Times New Roman" w:hAnsi="Times New Roman"/>
          <w:sz w:val="24"/>
          <w:szCs w:val="24"/>
        </w:rPr>
      </w:pPr>
      <w:r>
        <w:rPr>
          <w:rFonts w:ascii="Times New Roman" w:hAnsi="Times New Roman"/>
          <w:sz w:val="24"/>
          <w:szCs w:val="24"/>
          <w:rPrChange w:id="0" w:author="Unknown Author" w:date="2020-01-15T17:05:31Z"/>
        </w:rPr>
      </w:r>
    </w:p>
    <w:p>
      <w:pPr>
        <w:pStyle w:val="TextBody"/>
        <w:ind w:hanging="0"/>
        <w:rPr>
          <w:rFonts w:ascii="Times New Roman" w:hAnsi="Times New Roman"/>
        </w:rPr>
      </w:pPr>
      <w:r>
        <w:rPr>
          <w:rFonts w:ascii="Times New Roman" w:hAnsi="Times New Roman"/>
        </w:rPr>
      </w:r>
    </w:p>
    <w:p>
      <w:pPr>
        <w:pStyle w:val="TextBody"/>
        <w:rPr/>
      </w:pPr>
      <w:r>
        <w:rPr/>
      </w:r>
    </w:p>
    <w:p>
      <w:pPr>
        <w:pStyle w:val="Heading1"/>
        <w:suppressLineNumbers/>
        <w:rPr/>
      </w:pPr>
      <w:bookmarkStart w:id="13" w:name="data-availability"/>
      <w:r>
        <w:rPr/>
        <w:t>Data availability</w:t>
      </w:r>
      <w:bookmarkEnd w:id="13"/>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4" w:name="acknowledgments"/>
      <w:r>
        <w:rPr/>
        <w:t>Acknowledgments</w:t>
      </w:r>
      <w:bookmarkEnd w:id="14"/>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5" w:name="author-contributions"/>
      <w:r>
        <w:rPr/>
        <w:t>Author contributions</w:t>
      </w:r>
      <w:bookmarkEnd w:id="15"/>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6" w:name="conflict-of-interest"/>
      <w:r>
        <w:rPr/>
        <w:t>Conflict of interest</w:t>
      </w:r>
      <w:bookmarkEnd w:id="16"/>
    </w:p>
    <w:p>
      <w:pPr>
        <w:pStyle w:val="FirstParagraph"/>
        <w:rPr/>
      </w:pPr>
      <w:r>
        <w:rPr/>
        <w:t>The authors declare this research was conducted in the absence of any conflict of interest.</w:t>
      </w:r>
    </w:p>
    <w:p>
      <w:pPr>
        <w:pStyle w:val="Heading5"/>
        <w:rPr/>
      </w:pPr>
      <w:bookmarkStart w:id="17" w:name="pagebreak-2"/>
      <w:r>
        <w:rPr/>
        <w:t>pagebreak</w:t>
      </w:r>
      <w:bookmarkEnd w:id="17"/>
    </w:p>
    <w:p>
      <w:pPr>
        <w:pStyle w:val="Heading1"/>
        <w:suppressLineNumbers/>
        <w:rPr/>
      </w:pPr>
      <w:bookmarkStart w:id="18" w:name="references"/>
      <w:r>
        <w:rPr/>
        <w:t>References</w:t>
      </w:r>
      <w:bookmarkEnd w:id="18"/>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9" w:name="ref-segawa_bipolar_2018"/>
      <w:bookmarkEnd w:id="19"/>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0" w:name="ref-duval_snow_1999"/>
      <w:bookmarkEnd w:id="20"/>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1" w:name="ref-marchant_snow_1982"/>
      <w:bookmarkEnd w:id="21"/>
    </w:p>
    <w:p>
      <w:pPr>
        <w:pStyle w:val="TextBody"/>
        <w:ind w:left="42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2" w:name="ref-yoshimura_community_1997"/>
      <w:bookmarkEnd w:id="22"/>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3" w:name="ref-vimercati_nieves_2019"/>
      <w:bookmarkEnd w:id="23"/>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4" w:name="ref-gradinger_snow_1996"/>
      <w:bookmarkEnd w:id="24"/>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5" w:name="ref-ganey_role_2017"/>
      <w:bookmarkEnd w:id="25"/>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6" w:name="ref-lutz_biogeography_2016"/>
      <w:bookmarkEnd w:id="26"/>
    </w:p>
    <w:p>
      <w:pPr>
        <w:pStyle w:val="TextBody"/>
        <w:ind w:left="420" w:hanging="420"/>
        <w:rPr/>
      </w:pPr>
      <w:r>
        <w:rPr/>
        <w:t xml:space="preserve">9. Plinius Secundus Maior C. Naturalis Historiae. 1906. Teubner, Lipsiae. </w:t>
      </w:r>
      <w:bookmarkStart w:id="27" w:name="ref-mayhoff_naturalis_1906"/>
      <w:bookmarkEnd w:id="27"/>
    </w:p>
    <w:p>
      <w:pPr>
        <w:pStyle w:val="TextBody"/>
        <w:ind w:left="420" w:hanging="420"/>
        <w:rPr/>
      </w:pPr>
      <w:r>
        <w:rPr/>
        <w:t xml:space="preserve">10. Darwin C 1809-1882. The Voyage of the Beagle. 1959. London : Dent; New York : Dutton, [1959] [©1959]. </w:t>
      </w:r>
      <w:bookmarkStart w:id="28" w:name="ref-darwin_voyage_1959"/>
      <w:bookmarkEnd w:id="28"/>
    </w:p>
    <w:p>
      <w:pPr>
        <w:pStyle w:val="TextBody"/>
        <w:ind w:left="42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9" w:name="ref-matsuzaki_taxonomic_2019"/>
      <w:bookmarkEnd w:id="29"/>
    </w:p>
    <w:p>
      <w:pPr>
        <w:pStyle w:val="TextBody"/>
        <w:ind w:left="420" w:hanging="420"/>
        <w:rPr/>
      </w:pPr>
      <w:r>
        <w:rPr/>
        <w:t>12. Matsuzaki R, Kawai-Toyooka H, Hara Y, Nozaki H. Revisiting the taxonomic significance of aplanozygote morphologies of two cosmopol</w:t>
      </w:r>
      <w:r>
        <w:rPr/>
        <w:commentReference w:id="4"/>
      </w:r>
      <w:r>
        <w:rPr/>
        <w:t xml:space="preserve">itan snow species of the genus Chloromonas (Volvocales, Chlorophyceae). </w:t>
      </w:r>
      <w:r>
        <w:rPr>
          <w:i/>
        </w:rPr>
        <w:t>Phycologia</w:t>
      </w:r>
      <w:r>
        <w:rPr/>
        <w:t xml:space="preserve"> 2015; </w:t>
      </w:r>
      <w:r>
        <w:rPr>
          <w:b/>
        </w:rPr>
        <w:t>54</w:t>
      </w:r>
      <w:r>
        <w:rPr/>
        <w:t>: 49</w:t>
      </w:r>
      <w:bookmarkStart w:id="30" w:name="ref-matsuzaki_revisiting_2015"/>
      <w:bookmarkEnd w:id="30"/>
      <w:r>
        <w:rPr/>
        <w:t xml:space="preserve">1–502. </w:t>
      </w:r>
    </w:p>
    <w:p>
      <w:pPr>
        <w:pStyle w:val="TextBody"/>
        <w:ind w:left="42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1" w:name="ref-shah_astaxanthin-producing_2016"/>
      <w:bookmarkEnd w:id="31"/>
    </w:p>
    <w:p>
      <w:pPr>
        <w:pStyle w:val="TextBody"/>
        <w:ind w:left="42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2" w:name="ref-muller_persistent_2001"/>
      <w:bookmarkEnd w:id="32"/>
    </w:p>
    <w:p>
      <w:pPr>
        <w:pStyle w:val="TextBody"/>
        <w:ind w:left="42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3" w:name="ref-terashima_microbial_2017"/>
      <w:bookmarkEnd w:id="33"/>
    </w:p>
    <w:p>
      <w:pPr>
        <w:pStyle w:val="TextBody"/>
        <w:ind w:left="42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4" w:name="ref-lutz_integrated_2015"/>
      <w:bookmarkEnd w:id="34"/>
    </w:p>
    <w:p>
      <w:pPr>
        <w:pStyle w:val="TextBody"/>
        <w:ind w:left="42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5" w:name="ref-prochazkova_sanguina_2019"/>
      <w:bookmarkEnd w:id="35"/>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6" w:name="ref-remias_ecology_2018"/>
      <w:bookmarkEnd w:id="36"/>
    </w:p>
    <w:p>
      <w:pPr>
        <w:pStyle w:val="TextBody"/>
        <w:ind w:left="42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7" w:name="ref-remias_insights_2013"/>
      <w:bookmarkEnd w:id="37"/>
    </w:p>
    <w:p>
      <w:pPr>
        <w:pStyle w:val="TextBody"/>
        <w:ind w:left="42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8" w:name="ref-prochazkova_chloromonas_2018"/>
      <w:bookmarkEnd w:id="38"/>
    </w:p>
    <w:p>
      <w:pPr>
        <w:pStyle w:val="TextBody"/>
        <w:ind w:left="42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9" w:name="ref-novis_two_2008"/>
      <w:bookmarkEnd w:id="39"/>
    </w:p>
    <w:p>
      <w:pPr>
        <w:pStyle w:val="TextBody"/>
        <w:ind w:left="42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40" w:name="ref-remias_ecophysiology_2016"/>
      <w:bookmarkEnd w:id="40"/>
    </w:p>
    <w:p>
      <w:pPr>
        <w:pStyle w:val="TextBody"/>
        <w:ind w:left="42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1" w:name="ref-prochazkova_ecophysiological_2018"/>
      <w:bookmarkEnd w:id="41"/>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2" w:name="ref-soto_microbial_2020"/>
      <w:bookmarkEnd w:id="42"/>
    </w:p>
    <w:p>
      <w:pPr>
        <w:pStyle w:val="TextBody"/>
        <w:ind w:left="42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3" w:name="ref-remias_two_2019"/>
      <w:bookmarkEnd w:id="43"/>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4" w:name="ref-hamilton_primary_2017"/>
      <w:bookmarkEnd w:id="44"/>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5" w:name="ref-noauthor_ctab_2009"/>
      <w:bookmarkEnd w:id="45"/>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6" w:name="ref-cubero_dna_1999"/>
      <w:bookmarkEnd w:id="46"/>
    </w:p>
    <w:p>
      <w:pPr>
        <w:pStyle w:val="TextBody"/>
        <w:ind w:left="42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7" w:name="ref-wang_optimal_2014"/>
      <w:bookmarkEnd w:id="47"/>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8" w:name="ref-meyer_illumina_2010"/>
      <w:bookmarkEnd w:id="48"/>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9" w:name="ref-martin_cutadapt_2011"/>
      <w:bookmarkEnd w:id="49"/>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0" w:name="ref-callahan_dada2_2016"/>
      <w:bookmarkEnd w:id="50"/>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1" w:name="ref-murali_idtaxa_2018"/>
      <w:bookmarkEnd w:id="51"/>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2" w:name="ref-quast_silva_2013"/>
      <w:bookmarkEnd w:id="52"/>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3" w:name="ref-maaten_visualizing_2008"/>
      <w:bookmarkEnd w:id="53"/>
    </w:p>
    <w:p>
      <w:pPr>
        <w:pStyle w:val="TextBody"/>
        <w:ind w:left="42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4" w:name="ref-hahsler_dbscan_2019"/>
      <w:bookmarkEnd w:id="54"/>
    </w:p>
    <w:p>
      <w:pPr>
        <w:pStyle w:val="TextBody"/>
        <w:ind w:left="42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5" w:name="ref-nguyen_iq-tree%252525252525252525253"/>
      <w:bookmarkEnd w:id="55"/>
    </w:p>
    <w:p>
      <w:pPr>
        <w:pStyle w:val="TextBody"/>
        <w:ind w:left="42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6" w:name="ref-lozupone_unifrac_2005"/>
      <w:bookmarkEnd w:id="56"/>
      <w:r>
        <w:rPr/>
        <w:tab/>
      </w:r>
    </w:p>
    <w:p>
      <w:pPr>
        <w:pStyle w:val="TextBody"/>
        <w:ind w:left="42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7" w:name="ref-nozaki_differences_2002"/>
      <w:bookmarkEnd w:id="57"/>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8" w:name="ref-hall_assessment_2010"/>
      <w:bookmarkEnd w:id="58"/>
    </w:p>
    <w:p>
      <w:pPr>
        <w:pStyle w:val="TextBody"/>
        <w:ind w:left="42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9" w:name="ref-stibal_growth_2005"/>
      <w:bookmarkEnd w:id="59"/>
    </w:p>
    <w:p>
      <w:pPr>
        <w:pStyle w:val="TextBody"/>
        <w:ind w:left="42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0" w:name="ref-tesson_airborne_2016"/>
      <w:bookmarkEnd w:id="60"/>
    </w:p>
    <w:p>
      <w:pPr>
        <w:pStyle w:val="TextBody"/>
        <w:ind w:left="42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1" w:name="refs"/>
      <w:bookmarkStart w:id="62" w:name="ref-bidigare_evidence_1993"/>
      <w:bookmarkEnd w:id="61"/>
      <w:bookmarkEnd w:id="62"/>
    </w:p>
    <w:p>
      <w:pPr>
        <w:pStyle w:val="Heading5"/>
        <w:rPr/>
      </w:pPr>
      <w:bookmarkStart w:id="63" w:name="pagebreak-3"/>
      <w:r>
        <w:rPr/>
        <w:t>pagebreak</w:t>
      </w:r>
      <w:bookmarkEnd w:id="63"/>
    </w:p>
    <w:p>
      <w:pPr>
        <w:pStyle w:val="Heading1"/>
        <w:suppressLineNumbers/>
        <w:rPr/>
      </w:pPr>
      <w:bookmarkStart w:id="64" w:name="figure-legends"/>
      <w:r>
        <w:rPr/>
        <w:t>Figure legends</w:t>
      </w:r>
      <w:bookmarkEnd w:id="64"/>
    </w:p>
    <w:p>
      <w:pPr>
        <w:pStyle w:val="FirstParagraph"/>
        <w:rPr/>
      </w:pPr>
      <w:r>
        <w:rPr>
          <w:b/>
        </w:rPr>
        <w:t>Figure 1.</w:t>
      </w:r>
      <w:r>
        <w:rPr/>
        <w:t xml:space="preserve"> Representative photographs of snow algae. </w:t>
      </w:r>
      <w:r>
        <w:rPr>
          <w:b/>
          <w:bCs/>
        </w:rPr>
        <w:t>A.</w:t>
      </w:r>
      <w:r>
        <w:rPr/>
        <w:t xml:space="preserve"> Red snow bloom above treeline at sample site G1.1 (see Supplementary Table S1 for coordinates). </w:t>
      </w:r>
      <w:r>
        <w:rPr>
          <w:b/>
          <w:bCs/>
        </w:rPr>
        <w:t xml:space="preserve">B. </w:t>
      </w:r>
      <w:ins w:id="21" w:author="Unknown Author" w:date="2020-01-15T11:36:00Z">
        <w:r>
          <w:rPr/>
          <w:t>P</w:t>
        </w:r>
      </w:ins>
      <w:r>
        <w:rPr/>
        <w:t>hoto</w:t>
      </w:r>
      <w:ins w:id="22" w:author="Unknown Author" w:date="2020-01-15T11:36:00Z">
        <w:r>
          <w:rPr/>
          <w:t>micro</w:t>
        </w:r>
      </w:ins>
      <w:r>
        <w:rPr/>
        <w:t>graph</w:t>
      </w:r>
      <w:r>
        <w:rPr/>
        <w:commentReference w:id="5"/>
      </w:r>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m, all microphotos</w:t>
      </w:r>
      <w:r>
        <w:rPr/>
        <w:commentReference w:id="6"/>
      </w:r>
      <w:r>
        <w:rPr/>
        <w:t xml:space="preserve"> taken using 63x objectives with DIC. </w:t>
      </w:r>
      <w:r>
        <w:rPr>
          <w:b/>
          <w:bCs/>
        </w:rPr>
        <w:t xml:space="preserve">C. </w:t>
      </w:r>
      <w:r>
        <w:rPr/>
        <w:t xml:space="preserve">Snow runnels in a forest clearing containing snow algae (inset). </w:t>
      </w:r>
      <w:r>
        <w:rPr>
          <w:b/>
          <w:bCs/>
        </w:rPr>
        <w:t xml:space="preserve">D. </w:t>
      </w:r>
      <w:del w:id="23" w:author="Unknown Author" w:date="2020-01-15T11:37:00Z">
        <w:r>
          <w:rPr>
            <w:b/>
            <w:bCs/>
          </w:rPr>
          <w:delText>hotograph</w:delText>
        </w:r>
      </w:del>
      <w:del w:id="24" w:author="Unknown Author" w:date="2020-01-15T11:36:00Z">
        <w:r>
          <w:rPr>
            <w:b/>
            <w:bCs/>
          </w:rPr>
          <w:delText>Microp</w:delText>
        </w:r>
      </w:del>
      <w:ins w:id="25" w:author="Unknown Author" w:date="2020-01-15T11:37:00Z">
        <w:r>
          <w:rPr/>
          <w:t>Photomicrograph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26" w:author="Unknown Author" w:date="2020-01-15T11:37:00Z">
        <w:r>
          <w:rPr/>
          <w:delText>Microphotograph</w:delText>
        </w:r>
      </w:del>
      <w:ins w:id="27" w:author="Unknown Author" w:date="2020-01-15T11:37:00Z">
        <w:r>
          <w:rPr/>
          <w:t>Photomicrograph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5T10:08:00Z" w:initials="MOU">
    <w:p>
      <w:r>
        <w:rPr>
          <w:rFonts w:ascii="Liberation Serif" w:hAnsi="Liberation Serif" w:eastAsia="DejaVu Sans"/>
          <w:lang w:val="en-US" w:eastAsia="en-US" w:bidi="en-US"/>
        </w:rPr>
        <w:t>This isn’t the right word. I suggested “previously unidentified” – why don’t you like that? It is more accurate and more precise.</w:t>
      </w:r>
    </w:p>
  </w:comment>
  <w:comment w:id="1" w:author="Unknown Author" w:date="2020-01-15T16:19:12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Microsoft Office User (2020-01-15, 10:08): "..."</w:t>
      </w:r>
    </w:p>
    <w:p>
      <w:r>
        <w:rPr>
          <w:rFonts w:ascii="Liberation Serif" w:hAnsi="Liberation Serif" w:eastAsia="DejaVu Sans"/>
          <w:sz w:val="20"/>
          <w:lang w:val="en-US" w:eastAsia="en-US" w:bidi="ar-SA"/>
        </w:rPr>
        <w:t>What I am trying to say is we have undiscovered/unnamed/”novel” species. Identify connotates something else “an unidentified bird” “unidentified flying object” “unidentified person”</w:t>
      </w:r>
    </w:p>
  </w:comment>
  <w:comment w:id="2" w:author="Microsoft Office User" w:date="2020-01-15T16:14:00Z" w:initials="MOU">
    <w:p>
      <w:r>
        <w:rPr>
          <w:rFonts w:ascii="Liberation Serif" w:hAnsi="Liberation Serif" w:eastAsia="DejaVu Sans"/>
          <w:lang w:val="en-US" w:eastAsia="en-US" w:bidi="en-US"/>
        </w:rPr>
        <w:t xml:space="preserve">This is where you need to insert a couple of sentences about planktonic algae and their intimate relationships with other species. Just a couple of examples. Otherwise, your “interesting” in the next sentence is just flapping in the wind. </w:t>
      </w:r>
    </w:p>
  </w:comment>
  <w:comment w:id="3" w:author="Microsoft Office User" w:date="2020-01-15T11:09:00Z" w:initials="MOU">
    <w:p>
      <w:r>
        <w:rPr>
          <w:rFonts w:ascii="Liberation Serif" w:hAnsi="Liberation Serif" w:eastAsia="DejaVu Sans"/>
          <w:lang w:val="en-US" w:eastAsia="en-US" w:bidi="en-US"/>
        </w:rPr>
        <w:t>This final paragraph needs considerable strengthening.</w:t>
      </w:r>
    </w:p>
  </w:comment>
  <w:comment w:id="4"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5"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6"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5" w:name="MendeleyTempCursorBookmark"/>
    <w:bookmarkEnd w:id="65"/>
    <w:r>
      <w:rPr>
        <w:rFonts w:ascii="Times New Roman" w:hAnsi="Times New Roman"/>
        <w:sz w:val="20"/>
        <w:szCs w:val="20"/>
      </w:rPr>
      <w:t>Variation in snow algae blooms</w:t>
    </w:r>
  </w:p>
</w:hdr>
</file>

<file path=word/settings.xml><?xml version="1.0" encoding="utf-8"?>
<w:settings xmlns:w="http://schemas.openxmlformats.org/wordprocessingml/2006/main">
  <w:zoom w:percent="9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customStyle="1">
    <w:name w:val="Comment Subject Char"/>
    <w:basedOn w:val="CommentTextChar"/>
    <w:qFormat/>
    <w:rPr>
      <w:b/>
      <w:bCs/>
      <w:szCs w:val="20"/>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name w:val="ListLabel 23"/>
    <w:qFormat/>
    <w:rPr/>
  </w:style>
  <w:style w:type="character" w:styleId="ListLabel24">
    <w:name w:val="ListLabel 24"/>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overflowPunct w:val="fals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overflowPunct w:val="false"/>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LibreOffice/6.0.7.3$Linux_X86_64 LibreOffice_project/00m0$Build-3</Application>
  <Pages>24</Pages>
  <Words>4732</Words>
  <Characters>26912</Characters>
  <CharactersWithSpaces>31559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2020-01-15T23:58:00Z</dcterms:created>
  <dc:creator>Casey B. Engstrom1, Kurt M. Yakimovich1, and Lynne M. Quarmby1</dc:creator>
  <dc:description/>
  <dc:language>en-CA</dc:language>
  <cp:lastModifiedBy/>
  <dcterms:modified xsi:type="dcterms:W3CDTF">2020-01-15T17:07:23Z</dcterms:modified>
  <cp:revision>6</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