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C2" w:rsidRDefault="004F42CA" w:rsidP="004F42CA">
      <w:pPr>
        <w:ind w:right="360"/>
        <w:jc w:val="center"/>
        <w:rPr>
          <w:rFonts w:ascii="宋体" w:hAnsi="宋体"/>
          <w:color w:val="000000"/>
          <w:sz w:val="18"/>
          <w:szCs w:val="18"/>
        </w:rPr>
      </w:pPr>
      <w:bookmarkStart w:id="0" w:name="_GoBack"/>
      <w:bookmarkEnd w:id="0"/>
      <w:r>
        <w:rPr>
          <w:rFonts w:ascii="宋体" w:hAnsi="宋体" w:hint="eastAsia"/>
          <w:color w:val="000000"/>
          <w:sz w:val="18"/>
          <w:szCs w:val="18"/>
        </w:rPr>
        <w:t xml:space="preserve">                                                                  车辆自编号：</w:t>
      </w:r>
      <w:r w:rsidR="001F7F9F">
        <w:rPr>
          <w:rFonts w:ascii="宋体" w:hAnsi="宋体" w:hint="eastAsia"/>
          <w:color w:val="000000"/>
          <w:sz w:val="18"/>
          <w:szCs w:val="18"/>
        </w:rPr>
        <w:t xml:space="preserve"> </w:t>
      </w:r>
      <w:r w:rsidR="0089032B" w:rsidRPr="0089032B">
        <w:rPr>
          <w:rFonts w:ascii="宋体" w:hAnsi="宋体"/>
          <w:color w:val="000000"/>
          <w:sz w:val="18"/>
          <w:szCs w:val="18"/>
        </w:rPr>
        <w:t>${carCode}</w:t>
      </w:r>
      <w:r w:rsidR="001F7F9F">
        <w:rPr>
          <w:rFonts w:ascii="宋体" w:hAnsi="宋体" w:hint="eastAsia"/>
          <w:color w:val="000000"/>
          <w:sz w:val="18"/>
          <w:szCs w:val="18"/>
        </w:rPr>
        <w:t xml:space="preserve">      </w:t>
      </w:r>
    </w:p>
    <w:p w:rsidR="004F42CA" w:rsidRPr="004F42CA" w:rsidRDefault="004F42CA" w:rsidP="004F42CA">
      <w:pPr>
        <w:ind w:right="360"/>
        <w:jc w:val="center"/>
        <w:rPr>
          <w:rFonts w:ascii="宋体" w:hAnsi="宋体"/>
          <w:color w:val="000000"/>
          <w:sz w:val="18"/>
          <w:szCs w:val="18"/>
        </w:rPr>
      </w:pPr>
    </w:p>
    <w:p w:rsidR="0036497F" w:rsidRDefault="006D6ADD" w:rsidP="0036497F">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p w:rsidR="0036497F" w:rsidRPr="0036497F" w:rsidRDefault="0036497F" w:rsidP="0036497F"/>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2693"/>
        <w:gridCol w:w="2127"/>
        <w:gridCol w:w="357"/>
      </w:tblGrid>
      <w:tr w:rsidR="00781105" w:rsidTr="004110EE">
        <w:tc>
          <w:tcPr>
            <w:tcW w:w="4219" w:type="dxa"/>
          </w:tcPr>
          <w:p w:rsidR="0036497F" w:rsidRDefault="0036497F" w:rsidP="006D6ADD">
            <w:pPr>
              <w:spacing w:line="480" w:lineRule="exact"/>
              <w:rPr>
                <w:b/>
                <w:color w:val="000000"/>
                <w:sz w:val="24"/>
              </w:rPr>
            </w:pPr>
          </w:p>
        </w:tc>
        <w:tc>
          <w:tcPr>
            <w:tcW w:w="2693" w:type="dxa"/>
            <w:vAlign w:val="bottom"/>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合同编号：</w:t>
            </w:r>
          </w:p>
        </w:tc>
        <w:tc>
          <w:tcPr>
            <w:tcW w:w="2127" w:type="dxa"/>
            <w:tcBorders>
              <w:bottom w:val="single" w:sz="4" w:space="0" w:color="auto"/>
            </w:tcBorders>
            <w:vAlign w:val="bottom"/>
          </w:tcPr>
          <w:p w:rsidR="0036497F" w:rsidRPr="00F7477D" w:rsidRDefault="0088689D" w:rsidP="006D6ADD">
            <w:pPr>
              <w:spacing w:line="480" w:lineRule="exact"/>
              <w:rPr>
                <w:rFonts w:ascii="仿宋" w:eastAsia="仿宋" w:hAnsi="仿宋"/>
                <w:color w:val="000000"/>
                <w:sz w:val="24"/>
              </w:rPr>
            </w:pPr>
            <w:r w:rsidRPr="0088689D">
              <w:rPr>
                <w:rFonts w:ascii="仿宋" w:eastAsia="仿宋" w:hAnsi="仿宋"/>
                <w:color w:val="000000"/>
                <w:sz w:val="24"/>
              </w:rPr>
              <w:t>${code}</w:t>
            </w:r>
          </w:p>
        </w:tc>
        <w:tc>
          <w:tcPr>
            <w:tcW w:w="357" w:type="dxa"/>
          </w:tcPr>
          <w:p w:rsidR="0036497F" w:rsidRDefault="0036497F" w:rsidP="006D6ADD">
            <w:pPr>
              <w:spacing w:line="480" w:lineRule="exact"/>
              <w:rPr>
                <w:b/>
                <w:color w:val="000000"/>
                <w:sz w:val="24"/>
              </w:rPr>
            </w:pPr>
          </w:p>
        </w:tc>
      </w:tr>
      <w:tr w:rsidR="0036497F" w:rsidTr="004110EE">
        <w:tc>
          <w:tcPr>
            <w:tcW w:w="4219" w:type="dxa"/>
          </w:tcPr>
          <w:p w:rsidR="0036497F" w:rsidRDefault="0036497F" w:rsidP="006D6ADD">
            <w:pPr>
              <w:spacing w:line="480" w:lineRule="exact"/>
              <w:rPr>
                <w:b/>
                <w:color w:val="000000"/>
                <w:sz w:val="24"/>
              </w:rPr>
            </w:pPr>
          </w:p>
        </w:tc>
        <w:tc>
          <w:tcPr>
            <w:tcW w:w="2693"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签订地点：</w:t>
            </w:r>
          </w:p>
        </w:tc>
        <w:tc>
          <w:tcPr>
            <w:tcW w:w="2127" w:type="dxa"/>
            <w:tcBorders>
              <w:top w:val="single" w:sz="4" w:space="0" w:color="auto"/>
              <w:bottom w:val="single" w:sz="4" w:space="0" w:color="auto"/>
            </w:tcBorders>
          </w:tcPr>
          <w:p w:rsidR="0036497F" w:rsidRPr="00F7477D" w:rsidRDefault="00F7477D" w:rsidP="006D6ADD">
            <w:pPr>
              <w:spacing w:line="480" w:lineRule="exact"/>
              <w:rPr>
                <w:color w:val="000000"/>
                <w:sz w:val="24"/>
              </w:rPr>
            </w:pPr>
            <w:r w:rsidRPr="00F7477D">
              <w:rPr>
                <w:rFonts w:ascii="仿宋_GB2312" w:eastAsia="仿宋_GB2312" w:hint="eastAsia"/>
                <w:color w:val="000000"/>
                <w:sz w:val="24"/>
              </w:rPr>
              <w:t>公司</w:t>
            </w:r>
          </w:p>
        </w:tc>
        <w:tc>
          <w:tcPr>
            <w:tcW w:w="357" w:type="dxa"/>
          </w:tcPr>
          <w:p w:rsidR="0036497F" w:rsidRDefault="0036497F" w:rsidP="006D6ADD">
            <w:pPr>
              <w:spacing w:line="480" w:lineRule="exact"/>
              <w:rPr>
                <w:b/>
                <w:color w:val="000000"/>
                <w:sz w:val="24"/>
              </w:rPr>
            </w:pPr>
          </w:p>
        </w:tc>
      </w:tr>
      <w:tr w:rsidR="0036497F" w:rsidTr="004110EE">
        <w:tc>
          <w:tcPr>
            <w:tcW w:w="4219" w:type="dxa"/>
          </w:tcPr>
          <w:p w:rsidR="0036497F" w:rsidRDefault="0036497F" w:rsidP="006D6ADD">
            <w:pPr>
              <w:spacing w:line="480" w:lineRule="exact"/>
              <w:rPr>
                <w:b/>
                <w:color w:val="000000"/>
                <w:sz w:val="24"/>
              </w:rPr>
            </w:pPr>
          </w:p>
        </w:tc>
        <w:tc>
          <w:tcPr>
            <w:tcW w:w="2693"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签订时间：</w:t>
            </w:r>
          </w:p>
        </w:tc>
        <w:tc>
          <w:tcPr>
            <w:tcW w:w="2127" w:type="dxa"/>
            <w:tcBorders>
              <w:top w:val="single" w:sz="4" w:space="0" w:color="auto"/>
              <w:bottom w:val="single" w:sz="4" w:space="0" w:color="auto"/>
            </w:tcBorders>
          </w:tcPr>
          <w:p w:rsidR="0036497F" w:rsidRPr="00F7477D" w:rsidRDefault="0088689D" w:rsidP="00F7477D">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357" w:type="dxa"/>
          </w:tcPr>
          <w:p w:rsidR="0036497F" w:rsidRDefault="0036497F" w:rsidP="006D6ADD">
            <w:pPr>
              <w:spacing w:line="480" w:lineRule="exact"/>
              <w:rPr>
                <w:b/>
                <w:color w:val="000000"/>
                <w:sz w:val="24"/>
              </w:rPr>
            </w:pPr>
          </w:p>
        </w:tc>
      </w:tr>
    </w:tbl>
    <w:p w:rsidR="006D6ADD" w:rsidRDefault="006D6ADD" w:rsidP="00781105">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73"/>
        <w:gridCol w:w="7445"/>
      </w:tblGrid>
      <w:tr w:rsidR="00C12B45" w:rsidTr="000A060D">
        <w:tc>
          <w:tcPr>
            <w:tcW w:w="1871" w:type="dxa"/>
            <w:gridSpan w:val="2"/>
            <w:tcMar>
              <w:left w:w="28" w:type="dxa"/>
              <w:right w:w="28" w:type="dxa"/>
            </w:tcMar>
          </w:tcPr>
          <w:p w:rsidR="00C12B45" w:rsidRDefault="00C12B45" w:rsidP="000A060D">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bottom w:val="single" w:sz="4" w:space="0" w:color="auto"/>
            </w:tcBorders>
          </w:tcPr>
          <w:p w:rsidR="00C12B45" w:rsidRDefault="00C12B45" w:rsidP="000A06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C12B45" w:rsidTr="000A060D">
        <w:tc>
          <w:tcPr>
            <w:tcW w:w="1098" w:type="dxa"/>
          </w:tcPr>
          <w:p w:rsidR="00C12B45" w:rsidRDefault="00C12B45"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18" w:type="dxa"/>
            <w:gridSpan w:val="2"/>
            <w:tcBorders>
              <w:bottom w:val="single" w:sz="4" w:space="0" w:color="auto"/>
            </w:tcBorders>
          </w:tcPr>
          <w:p w:rsidR="00C12B45" w:rsidRPr="00FE5EBE" w:rsidRDefault="00C12B45"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C12B45" w:rsidTr="000A060D">
        <w:tc>
          <w:tcPr>
            <w:tcW w:w="1098" w:type="dxa"/>
          </w:tcPr>
          <w:p w:rsidR="00C12B45" w:rsidRDefault="00C12B45"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18" w:type="dxa"/>
            <w:gridSpan w:val="2"/>
            <w:tcBorders>
              <w:top w:val="single" w:sz="4" w:space="0" w:color="auto"/>
              <w:bottom w:val="single" w:sz="4" w:space="0" w:color="auto"/>
            </w:tcBorders>
          </w:tcPr>
          <w:p w:rsidR="00C12B45" w:rsidRPr="00FE5EBE" w:rsidRDefault="00C12B45"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6A7B98" w:rsidTr="009A6334">
        <w:tc>
          <w:tcPr>
            <w:tcW w:w="1906" w:type="dxa"/>
            <w:gridSpan w:val="2"/>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D55CE6" w:rsidRDefault="003649F2" w:rsidP="00E03AA3">
            <w:pPr>
              <w:spacing w:line="480" w:lineRule="exact"/>
              <w:jc w:val="center"/>
              <w:rPr>
                <w:rFonts w:ascii="仿宋_GB2312" w:eastAsia="仿宋_GB2312"/>
                <w:color w:val="000000"/>
                <w:sz w:val="24"/>
              </w:rPr>
            </w:pPr>
            <w:r w:rsidRPr="003649F2">
              <w:rPr>
                <w:rFonts w:ascii="仿宋_GB2312" w:eastAsia="仿宋_GB2312"/>
                <w:color w:val="000000"/>
                <w:sz w:val="24"/>
              </w:rPr>
              <w:t>${carMan}</w:t>
            </w:r>
          </w:p>
        </w:tc>
        <w:tc>
          <w:tcPr>
            <w:tcW w:w="1276" w:type="dxa"/>
          </w:tcPr>
          <w:p w:rsidR="00D55CE6" w:rsidRDefault="00D55CE6" w:rsidP="006D6ADD">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D55CE6" w:rsidRPr="00D55CE6"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${FWZGZ}</w:t>
            </w:r>
          </w:p>
        </w:tc>
      </w:tr>
      <w:tr w:rsidR="006A7B98" w:rsidTr="009A6334">
        <w:tc>
          <w:tcPr>
            <w:tcW w:w="1162" w:type="dxa"/>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D55CE6" w:rsidRPr="006A7B98" w:rsidRDefault="006A7B98" w:rsidP="00E03AA3">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D55CE6" w:rsidRPr="006A7B98" w:rsidRDefault="006A7B98" w:rsidP="00E03AA3">
            <w:pPr>
              <w:spacing w:line="480" w:lineRule="exact"/>
              <w:jc w:val="center"/>
              <w:rPr>
                <w:rFonts w:ascii="仿宋_GB2312" w:eastAsia="仿宋_GB2312"/>
                <w:color w:val="000000"/>
                <w:sz w:val="24"/>
              </w:rPr>
            </w:pPr>
            <w:r w:rsidRPr="006A7B98">
              <w:rPr>
                <w:rFonts w:ascii="仿宋_GB2312" w:eastAsia="仿宋_GB2312"/>
                <w:color w:val="000000"/>
                <w:sz w:val="24"/>
              </w:rPr>
              <w:t>${phone}</w:t>
            </w:r>
          </w:p>
        </w:tc>
      </w:tr>
      <w:tr w:rsidR="006A7B98" w:rsidTr="009A6334">
        <w:tc>
          <w:tcPr>
            <w:tcW w:w="1162" w:type="dxa"/>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D55CE6" w:rsidRPr="006A7B98" w:rsidRDefault="006A7B98" w:rsidP="0059660D">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D55CE6" w:rsidRDefault="00D55CE6" w:rsidP="006D6ADD">
            <w:pPr>
              <w:spacing w:line="480" w:lineRule="exact"/>
              <w:rPr>
                <w:rFonts w:ascii="仿宋_GB2312" w:eastAsia="仿宋_GB2312"/>
                <w:color w:val="000000"/>
                <w:sz w:val="24"/>
              </w:rPr>
            </w:pPr>
          </w:p>
        </w:tc>
      </w:tr>
      <w:tr w:rsidR="006A7B98" w:rsidTr="009A6334">
        <w:tc>
          <w:tcPr>
            <w:tcW w:w="1906" w:type="dxa"/>
            <w:gridSpan w:val="2"/>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D55CE6" w:rsidRPr="006A7B98"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${carMan2}</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D55CE6" w:rsidRPr="006A7B98" w:rsidRDefault="005D54C1" w:rsidP="006A7B98">
            <w:pPr>
              <w:spacing w:line="480" w:lineRule="exact"/>
              <w:jc w:val="center"/>
              <w:rPr>
                <w:rFonts w:ascii="仿宋_GB2312" w:eastAsia="仿宋_GB2312"/>
                <w:color w:val="000000"/>
                <w:sz w:val="24"/>
              </w:rPr>
            </w:pPr>
            <w:r w:rsidRPr="005D54C1">
              <w:rPr>
                <w:rFonts w:ascii="仿宋_GB2312" w:eastAsia="仿宋_GB2312"/>
                <w:color w:val="000000"/>
                <w:sz w:val="24"/>
              </w:rPr>
              <w:t>${FWZGZ2}</w:t>
            </w:r>
          </w:p>
        </w:tc>
      </w:tr>
      <w:tr w:rsidR="006A7B98" w:rsidTr="009A6334">
        <w:tc>
          <w:tcPr>
            <w:tcW w:w="1162" w:type="dxa"/>
          </w:tcPr>
          <w:p w:rsidR="00D55CE6" w:rsidRDefault="006A7B98"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D55CE6" w:rsidRPr="006A7B98"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${cert4Indentity2}</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D55CE6" w:rsidRPr="006A7B98"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${phone2}</w:t>
            </w:r>
          </w:p>
        </w:tc>
      </w:tr>
      <w:tr w:rsidR="006A7B98" w:rsidTr="009A6334">
        <w:tc>
          <w:tcPr>
            <w:tcW w:w="1162" w:type="dxa"/>
          </w:tcPr>
          <w:p w:rsidR="00D55CE6" w:rsidRDefault="006A7B98"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D55CE6" w:rsidRPr="006A7B98" w:rsidRDefault="005D54C1" w:rsidP="00E03AA3">
            <w:pPr>
              <w:spacing w:line="480" w:lineRule="exact"/>
              <w:rPr>
                <w:rFonts w:ascii="仿宋_GB2312" w:eastAsia="仿宋_GB2312"/>
                <w:color w:val="000000"/>
                <w:sz w:val="24"/>
              </w:rPr>
            </w:pPr>
            <w:r w:rsidRPr="005D54C1">
              <w:rPr>
                <w:rFonts w:ascii="仿宋_GB2312" w:eastAsia="仿宋_GB2312"/>
                <w:color w:val="000000"/>
                <w:sz w:val="24"/>
              </w:rPr>
              <w:t>${address2}</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D55CE6" w:rsidRDefault="00D55CE6" w:rsidP="006D6ADD">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lastRenderedPageBreak/>
              <w:t>名    称：</w:t>
            </w:r>
          </w:p>
        </w:tc>
        <w:tc>
          <w:tcPr>
            <w:tcW w:w="3768" w:type="dxa"/>
            <w:gridSpan w:val="3"/>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DF4868" w:rsidTr="00913D3C">
        <w:tc>
          <w:tcPr>
            <w:tcW w:w="1871" w:type="dxa"/>
            <w:gridSpan w:val="2"/>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DF4868" w:rsidTr="00913D3C">
        <w:tc>
          <w:tcPr>
            <w:tcW w:w="2296" w:type="dxa"/>
            <w:gridSpan w:val="3"/>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447762">
        <w:rPr>
          <w:rFonts w:ascii="仿宋_GB2312" w:eastAsia="仿宋_GB2312" w:hint="eastAsia"/>
          <w:color w:val="000000"/>
          <w:sz w:val="24"/>
          <w:u w:val="single"/>
        </w:rPr>
        <w:t xml:space="preserve"> </w:t>
      </w:r>
      <w:r w:rsidR="00447762" w:rsidRPr="00447762">
        <w:rPr>
          <w:rFonts w:ascii="仿宋_GB2312" w:eastAsia="仿宋_GB2312" w:hint="eastAsia"/>
          <w:color w:val="000000"/>
          <w:sz w:val="24"/>
          <w:u w:val="single"/>
        </w:rPr>
        <w:t>／</w:t>
      </w:r>
      <w:r w:rsidRPr="00447762">
        <w:rPr>
          <w:rFonts w:ascii="仿宋_GB2312" w:eastAsia="仿宋_GB2312" w:hint="eastAsia"/>
          <w:color w:val="000000"/>
          <w:sz w:val="24"/>
          <w:u w:val="single"/>
        </w:rPr>
        <w:t xml:space="preserve"> </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w:t>
      </w:r>
      <w:r w:rsidR="00845A01" w:rsidRPr="00E73481">
        <w:rPr>
          <w:rFonts w:ascii="仿宋_GB2312" w:eastAsia="仿宋_GB2312" w:hint="eastAsia"/>
          <w:color w:val="000000"/>
          <w:sz w:val="24"/>
        </w:rPr>
        <w:lastRenderedPageBreak/>
        <w:t>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A5097F" w:rsidRPr="00A5097F">
        <w:rPr>
          <w:rFonts w:ascii="仿宋_GB2312" w:eastAsia="仿宋_GB2312"/>
          <w:color w:val="000000"/>
          <w:sz w:val="24"/>
          <w:u w:val="single"/>
        </w:rPr>
        <w:t>${htbzj}</w:t>
      </w:r>
      <w:r w:rsidRPr="00E73481">
        <w:rPr>
          <w:rFonts w:ascii="仿宋_GB2312" w:eastAsia="仿宋_GB2312" w:hint="eastAsia"/>
          <w:color w:val="000000"/>
          <w:sz w:val="24"/>
        </w:rPr>
        <w:t>元。如乙方或</w:t>
      </w:r>
      <w:r w:rsidRPr="00E73481">
        <w:rPr>
          <w:rFonts w:ascii="仿宋_GB2312" w:eastAsia="仿宋_GB2312" w:hint="eastAsia"/>
          <w:color w:val="000000"/>
          <w:sz w:val="24"/>
        </w:rPr>
        <w:lastRenderedPageBreak/>
        <w:t>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B52EE7"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lastRenderedPageBreak/>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w:t>
      </w:r>
      <w:r w:rsidRPr="00E73481">
        <w:rPr>
          <w:rFonts w:ascii="仿宋_GB2312" w:eastAsia="仿宋_GB2312" w:hint="eastAsia"/>
          <w:color w:val="000000"/>
          <w:sz w:val="24"/>
        </w:rPr>
        <w:lastRenderedPageBreak/>
        <w:t>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DB6620" w:rsidTr="00DB6620">
        <w:tc>
          <w:tcPr>
            <w:tcW w:w="1384" w:type="dxa"/>
            <w:hideMark/>
          </w:tcPr>
          <w:p w:rsidR="00DB6620" w:rsidRDefault="00DB6620">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686" w:type="dxa"/>
            <w:gridSpan w:val="2"/>
            <w:tcBorders>
              <w:top w:val="nil"/>
              <w:left w:val="nil"/>
              <w:bottom w:val="single" w:sz="4" w:space="0" w:color="auto"/>
              <w:right w:val="nil"/>
            </w:tcBorders>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425" w:type="dxa"/>
          </w:tcPr>
          <w:p w:rsidR="00DB6620" w:rsidRDefault="00DB6620">
            <w:pPr>
              <w:spacing w:line="480" w:lineRule="exact"/>
              <w:rPr>
                <w:rFonts w:ascii="仿宋_GB2312" w:eastAsia="仿宋_GB2312"/>
                <w:color w:val="000000"/>
                <w:sz w:val="24"/>
              </w:rPr>
            </w:pPr>
          </w:p>
        </w:tc>
        <w:tc>
          <w:tcPr>
            <w:tcW w:w="850" w:type="dxa"/>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r>
      <w:tr w:rsidR="00DB6620" w:rsidTr="00DB6620">
        <w:tc>
          <w:tcPr>
            <w:tcW w:w="1384" w:type="dxa"/>
          </w:tcPr>
          <w:p w:rsidR="00DB6620" w:rsidRDefault="00DB6620">
            <w:pPr>
              <w:spacing w:line="480" w:lineRule="exact"/>
              <w:rPr>
                <w:rFonts w:ascii="仿宋_GB2312" w:eastAsia="仿宋_GB2312"/>
                <w:color w:val="000000"/>
                <w:sz w:val="24"/>
              </w:rPr>
            </w:pPr>
          </w:p>
        </w:tc>
        <w:tc>
          <w:tcPr>
            <w:tcW w:w="3686" w:type="dxa"/>
            <w:gridSpan w:val="2"/>
            <w:tcBorders>
              <w:top w:val="single" w:sz="4" w:space="0" w:color="auto"/>
              <w:left w:val="nil"/>
              <w:bottom w:val="nil"/>
              <w:right w:val="nil"/>
            </w:tcBorders>
          </w:tcPr>
          <w:p w:rsidR="00DB6620" w:rsidRDefault="00DB6620">
            <w:pPr>
              <w:spacing w:line="480" w:lineRule="exact"/>
              <w:rPr>
                <w:rFonts w:ascii="仿宋_GB2312" w:eastAsia="仿宋_GB2312"/>
                <w:color w:val="000000"/>
                <w:sz w:val="24"/>
              </w:rPr>
            </w:pPr>
          </w:p>
        </w:tc>
        <w:tc>
          <w:tcPr>
            <w:tcW w:w="425" w:type="dxa"/>
          </w:tcPr>
          <w:p w:rsidR="00DB6620" w:rsidRDefault="00DB6620">
            <w:pPr>
              <w:spacing w:line="480" w:lineRule="exact"/>
              <w:rPr>
                <w:rFonts w:ascii="仿宋_GB2312" w:eastAsia="仿宋_GB2312"/>
                <w:color w:val="000000"/>
                <w:sz w:val="24"/>
              </w:rPr>
            </w:pPr>
          </w:p>
        </w:tc>
        <w:tc>
          <w:tcPr>
            <w:tcW w:w="850" w:type="dxa"/>
          </w:tcPr>
          <w:p w:rsidR="00DB6620" w:rsidRDefault="00DB6620">
            <w:pPr>
              <w:spacing w:line="480" w:lineRule="exact"/>
              <w:rPr>
                <w:rFonts w:ascii="仿宋_GB2312" w:eastAsia="仿宋_GB2312"/>
                <w:color w:val="000000"/>
                <w:sz w:val="24"/>
              </w:rPr>
            </w:pPr>
          </w:p>
        </w:tc>
        <w:tc>
          <w:tcPr>
            <w:tcW w:w="2694" w:type="dxa"/>
            <w:tcBorders>
              <w:top w:val="single" w:sz="4" w:space="0" w:color="auto"/>
              <w:left w:val="nil"/>
              <w:bottom w:val="nil"/>
              <w:right w:val="nil"/>
            </w:tcBorders>
          </w:tcPr>
          <w:p w:rsidR="00DB6620" w:rsidRDefault="00DB6620">
            <w:pPr>
              <w:spacing w:line="480" w:lineRule="exact"/>
              <w:rPr>
                <w:rFonts w:ascii="仿宋_GB2312" w:eastAsia="仿宋_GB2312"/>
                <w:color w:val="000000"/>
                <w:sz w:val="24"/>
              </w:rPr>
            </w:pPr>
          </w:p>
        </w:tc>
      </w:tr>
      <w:tr w:rsidR="00DB6620" w:rsidTr="00DB6620">
        <w:tc>
          <w:tcPr>
            <w:tcW w:w="2660" w:type="dxa"/>
            <w:gridSpan w:val="2"/>
            <w:hideMark/>
          </w:tcPr>
          <w:p w:rsidR="00DB6620" w:rsidRDefault="00DB6620">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410"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c>
          <w:tcPr>
            <w:tcW w:w="425" w:type="dxa"/>
          </w:tcPr>
          <w:p w:rsidR="00DB6620" w:rsidRDefault="00DB6620">
            <w:pPr>
              <w:spacing w:line="480" w:lineRule="exact"/>
              <w:rPr>
                <w:rFonts w:ascii="仿宋_GB2312" w:eastAsia="仿宋_GB2312"/>
                <w:color w:val="000000"/>
                <w:sz w:val="24"/>
              </w:rPr>
            </w:pPr>
          </w:p>
        </w:tc>
        <w:tc>
          <w:tcPr>
            <w:tcW w:w="850" w:type="dxa"/>
            <w:hideMark/>
          </w:tcPr>
          <w:p w:rsidR="00DB6620" w:rsidRDefault="00DB662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DB6620" w:rsidRDefault="00DB6620">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lastRenderedPageBreak/>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9"/>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E3B" w:rsidRDefault="00E02E3B">
      <w:r>
        <w:separator/>
      </w:r>
    </w:p>
  </w:endnote>
  <w:endnote w:type="continuationSeparator" w:id="0">
    <w:p w:rsidR="00E02E3B" w:rsidRDefault="00E0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110E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110EE">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E3B" w:rsidRDefault="00E02E3B">
      <w:r>
        <w:separator/>
      </w:r>
    </w:p>
  </w:footnote>
  <w:footnote w:type="continuationSeparator" w:id="0">
    <w:p w:rsidR="00E02E3B" w:rsidRDefault="00E02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7282"/>
    <w:rsid w:val="0000746E"/>
    <w:rsid w:val="0000767F"/>
    <w:rsid w:val="00014D71"/>
    <w:rsid w:val="00016915"/>
    <w:rsid w:val="0001697E"/>
    <w:rsid w:val="00025117"/>
    <w:rsid w:val="000264CC"/>
    <w:rsid w:val="000303BF"/>
    <w:rsid w:val="00031427"/>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B4"/>
    <w:rsid w:val="000B101A"/>
    <w:rsid w:val="000B6200"/>
    <w:rsid w:val="000B7C4C"/>
    <w:rsid w:val="000D4627"/>
    <w:rsid w:val="000D5BD3"/>
    <w:rsid w:val="000D6853"/>
    <w:rsid w:val="000D78A2"/>
    <w:rsid w:val="000E1C62"/>
    <w:rsid w:val="000E3106"/>
    <w:rsid w:val="000E5079"/>
    <w:rsid w:val="000E7179"/>
    <w:rsid w:val="000F2FAF"/>
    <w:rsid w:val="000F6356"/>
    <w:rsid w:val="000F73BD"/>
    <w:rsid w:val="0010336B"/>
    <w:rsid w:val="00107B02"/>
    <w:rsid w:val="00107BBD"/>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EC5"/>
    <w:rsid w:val="001E29CC"/>
    <w:rsid w:val="001E2B65"/>
    <w:rsid w:val="001E6ABD"/>
    <w:rsid w:val="001F0124"/>
    <w:rsid w:val="001F1BD4"/>
    <w:rsid w:val="001F2811"/>
    <w:rsid w:val="001F2AF5"/>
    <w:rsid w:val="001F636F"/>
    <w:rsid w:val="001F7F9F"/>
    <w:rsid w:val="002001BF"/>
    <w:rsid w:val="00202E96"/>
    <w:rsid w:val="00205458"/>
    <w:rsid w:val="00211264"/>
    <w:rsid w:val="002121A1"/>
    <w:rsid w:val="002224AB"/>
    <w:rsid w:val="00222B30"/>
    <w:rsid w:val="00223F01"/>
    <w:rsid w:val="0022518D"/>
    <w:rsid w:val="002337B7"/>
    <w:rsid w:val="00233929"/>
    <w:rsid w:val="00234C18"/>
    <w:rsid w:val="00246950"/>
    <w:rsid w:val="00247732"/>
    <w:rsid w:val="002479A0"/>
    <w:rsid w:val="00247DAD"/>
    <w:rsid w:val="002521D8"/>
    <w:rsid w:val="0025614D"/>
    <w:rsid w:val="002564FF"/>
    <w:rsid w:val="00260044"/>
    <w:rsid w:val="00260B9A"/>
    <w:rsid w:val="00265C15"/>
    <w:rsid w:val="0027572B"/>
    <w:rsid w:val="00283133"/>
    <w:rsid w:val="0029086C"/>
    <w:rsid w:val="0029148E"/>
    <w:rsid w:val="00291669"/>
    <w:rsid w:val="002950EA"/>
    <w:rsid w:val="0029718A"/>
    <w:rsid w:val="002A1154"/>
    <w:rsid w:val="002A1476"/>
    <w:rsid w:val="002A3C31"/>
    <w:rsid w:val="002A49F5"/>
    <w:rsid w:val="002A67C3"/>
    <w:rsid w:val="002B0ADE"/>
    <w:rsid w:val="002B408F"/>
    <w:rsid w:val="002C07EB"/>
    <w:rsid w:val="002C4BFF"/>
    <w:rsid w:val="002C569B"/>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6497F"/>
    <w:rsid w:val="003649F2"/>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6CBD"/>
    <w:rsid w:val="003B1B17"/>
    <w:rsid w:val="003B3FEF"/>
    <w:rsid w:val="003B4593"/>
    <w:rsid w:val="003B6718"/>
    <w:rsid w:val="003C2FBD"/>
    <w:rsid w:val="003C6A56"/>
    <w:rsid w:val="003C6F5A"/>
    <w:rsid w:val="003D262F"/>
    <w:rsid w:val="003E124C"/>
    <w:rsid w:val="003E451F"/>
    <w:rsid w:val="003E496F"/>
    <w:rsid w:val="003E5199"/>
    <w:rsid w:val="003E66CF"/>
    <w:rsid w:val="003F1303"/>
    <w:rsid w:val="003F22FA"/>
    <w:rsid w:val="003F41B7"/>
    <w:rsid w:val="00402FC3"/>
    <w:rsid w:val="00407A8D"/>
    <w:rsid w:val="004110EE"/>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4B7D"/>
    <w:rsid w:val="00525D5F"/>
    <w:rsid w:val="00525DA5"/>
    <w:rsid w:val="0052646B"/>
    <w:rsid w:val="00526B1A"/>
    <w:rsid w:val="005325A7"/>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9660D"/>
    <w:rsid w:val="005A0EEF"/>
    <w:rsid w:val="005A7B39"/>
    <w:rsid w:val="005B1C27"/>
    <w:rsid w:val="005B36E2"/>
    <w:rsid w:val="005B6C7C"/>
    <w:rsid w:val="005B7A93"/>
    <w:rsid w:val="005C133D"/>
    <w:rsid w:val="005C1FA8"/>
    <w:rsid w:val="005C2B7C"/>
    <w:rsid w:val="005C41CA"/>
    <w:rsid w:val="005C7A09"/>
    <w:rsid w:val="005D106A"/>
    <w:rsid w:val="005D1F3F"/>
    <w:rsid w:val="005D54C1"/>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C20"/>
    <w:rsid w:val="00634A01"/>
    <w:rsid w:val="00636897"/>
    <w:rsid w:val="00650BFD"/>
    <w:rsid w:val="00652AE6"/>
    <w:rsid w:val="00670BA8"/>
    <w:rsid w:val="006740B2"/>
    <w:rsid w:val="0067593D"/>
    <w:rsid w:val="006801E2"/>
    <w:rsid w:val="00682383"/>
    <w:rsid w:val="00695F47"/>
    <w:rsid w:val="006A20F2"/>
    <w:rsid w:val="006A26A1"/>
    <w:rsid w:val="006A3A47"/>
    <w:rsid w:val="006A47A2"/>
    <w:rsid w:val="006A6880"/>
    <w:rsid w:val="006A7B98"/>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14CB2"/>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A29A9"/>
    <w:rsid w:val="007A2CF3"/>
    <w:rsid w:val="007A6C7A"/>
    <w:rsid w:val="007C1181"/>
    <w:rsid w:val="007C12F8"/>
    <w:rsid w:val="007C1DB0"/>
    <w:rsid w:val="007D2242"/>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6542"/>
    <w:rsid w:val="00822E9D"/>
    <w:rsid w:val="008347E7"/>
    <w:rsid w:val="00845A01"/>
    <w:rsid w:val="0085128A"/>
    <w:rsid w:val="00851363"/>
    <w:rsid w:val="0085181E"/>
    <w:rsid w:val="00852882"/>
    <w:rsid w:val="00853541"/>
    <w:rsid w:val="008577B7"/>
    <w:rsid w:val="0086441F"/>
    <w:rsid w:val="008722D5"/>
    <w:rsid w:val="00875EA8"/>
    <w:rsid w:val="00881E7A"/>
    <w:rsid w:val="00883351"/>
    <w:rsid w:val="0088490D"/>
    <w:rsid w:val="0088689D"/>
    <w:rsid w:val="008875BC"/>
    <w:rsid w:val="008875EB"/>
    <w:rsid w:val="0089032B"/>
    <w:rsid w:val="008917CE"/>
    <w:rsid w:val="00891EE3"/>
    <w:rsid w:val="00896381"/>
    <w:rsid w:val="0089718B"/>
    <w:rsid w:val="00897CA0"/>
    <w:rsid w:val="008A1FF6"/>
    <w:rsid w:val="008B0BAE"/>
    <w:rsid w:val="008B112A"/>
    <w:rsid w:val="008B3BF3"/>
    <w:rsid w:val="008B5D2E"/>
    <w:rsid w:val="008C4AAF"/>
    <w:rsid w:val="008C5F78"/>
    <w:rsid w:val="008C6F97"/>
    <w:rsid w:val="008D0196"/>
    <w:rsid w:val="008D0C8C"/>
    <w:rsid w:val="008D4612"/>
    <w:rsid w:val="008D7F38"/>
    <w:rsid w:val="008E0352"/>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E2A"/>
    <w:rsid w:val="00983780"/>
    <w:rsid w:val="00987677"/>
    <w:rsid w:val="009A114A"/>
    <w:rsid w:val="009A5C52"/>
    <w:rsid w:val="009A6334"/>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7163B"/>
    <w:rsid w:val="00A73FEB"/>
    <w:rsid w:val="00A76D3F"/>
    <w:rsid w:val="00A828FC"/>
    <w:rsid w:val="00A82E6A"/>
    <w:rsid w:val="00A865E5"/>
    <w:rsid w:val="00A868CD"/>
    <w:rsid w:val="00A87865"/>
    <w:rsid w:val="00A91E27"/>
    <w:rsid w:val="00A939EC"/>
    <w:rsid w:val="00A9511E"/>
    <w:rsid w:val="00AA08A9"/>
    <w:rsid w:val="00AA3F7A"/>
    <w:rsid w:val="00AA59BD"/>
    <w:rsid w:val="00AA6EAD"/>
    <w:rsid w:val="00AC12C7"/>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7500"/>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E065E"/>
    <w:rsid w:val="00BE1798"/>
    <w:rsid w:val="00BE566C"/>
    <w:rsid w:val="00BE7624"/>
    <w:rsid w:val="00BF044A"/>
    <w:rsid w:val="00BF1C54"/>
    <w:rsid w:val="00BF6F61"/>
    <w:rsid w:val="00C00C8F"/>
    <w:rsid w:val="00C05E7D"/>
    <w:rsid w:val="00C10ECA"/>
    <w:rsid w:val="00C12B45"/>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2581"/>
    <w:rsid w:val="00C87C79"/>
    <w:rsid w:val="00CA7726"/>
    <w:rsid w:val="00CB3AA0"/>
    <w:rsid w:val="00CB64E3"/>
    <w:rsid w:val="00CB6DFA"/>
    <w:rsid w:val="00CC0884"/>
    <w:rsid w:val="00CC4921"/>
    <w:rsid w:val="00CC60E3"/>
    <w:rsid w:val="00CD0885"/>
    <w:rsid w:val="00CD3F8E"/>
    <w:rsid w:val="00CD70A0"/>
    <w:rsid w:val="00CE11C9"/>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5E0F"/>
    <w:rsid w:val="00DB6620"/>
    <w:rsid w:val="00DB7EFB"/>
    <w:rsid w:val="00DC6745"/>
    <w:rsid w:val="00DE6F43"/>
    <w:rsid w:val="00DF2159"/>
    <w:rsid w:val="00DF32AB"/>
    <w:rsid w:val="00DF45C2"/>
    <w:rsid w:val="00DF4868"/>
    <w:rsid w:val="00DF5412"/>
    <w:rsid w:val="00DF7BBF"/>
    <w:rsid w:val="00E00864"/>
    <w:rsid w:val="00E01739"/>
    <w:rsid w:val="00E01FA1"/>
    <w:rsid w:val="00E02E3B"/>
    <w:rsid w:val="00E03AA3"/>
    <w:rsid w:val="00E0539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E0AE2"/>
    <w:rsid w:val="00EE0AFE"/>
    <w:rsid w:val="00EE27FC"/>
    <w:rsid w:val="00EE3537"/>
    <w:rsid w:val="00EE4719"/>
    <w:rsid w:val="00EE5654"/>
    <w:rsid w:val="00EE6E6E"/>
    <w:rsid w:val="00EF4C59"/>
    <w:rsid w:val="00EF6A24"/>
    <w:rsid w:val="00F01089"/>
    <w:rsid w:val="00F02A2A"/>
    <w:rsid w:val="00F11E90"/>
    <w:rsid w:val="00F14029"/>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47C0"/>
    <w:rsid w:val="00F66878"/>
    <w:rsid w:val="00F702D2"/>
    <w:rsid w:val="00F70730"/>
    <w:rsid w:val="00F7477D"/>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2582D-85C3-4870-A0D0-EF50D6FA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1376</Words>
  <Characters>7846</Characters>
  <Application>Microsoft Office Word</Application>
  <DocSecurity>0</DocSecurity>
  <Lines>65</Lines>
  <Paragraphs>18</Paragraphs>
  <ScaleCrop>false</ScaleCrop>
  <Company>WwW.YlmF.CoM</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102</cp:revision>
  <cp:lastPrinted>2012-03-30T03:34:00Z</cp:lastPrinted>
  <dcterms:created xsi:type="dcterms:W3CDTF">2012-05-17T05:49:00Z</dcterms:created>
  <dcterms:modified xsi:type="dcterms:W3CDTF">2012-05-22T03:00:00Z</dcterms:modified>
</cp:coreProperties>
</file>