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756" w:rsidRDefault="00ED7DAF" w:rsidP="00ED7DAF">
      <w:pPr>
        <w:pStyle w:val="EQ"/>
        <w:numPr>
          <w:ilvl w:val="0"/>
          <w:numId w:val="1"/>
        </w:numPr>
        <w:rPr>
          <w:rFonts w:eastAsiaTheme="minorEastAsia" w:hint="eastAsia"/>
          <w:lang w:eastAsia="zh-CN"/>
        </w:rPr>
      </w:pPr>
      <w:r>
        <w:rPr>
          <w:rFonts w:hint="eastAsia"/>
          <w:lang w:eastAsia="zh-CN"/>
        </w:rPr>
        <w:t>搜索空间</w:t>
      </w:r>
    </w:p>
    <w:p w:rsidR="002660EC" w:rsidRPr="00EE2756" w:rsidRDefault="001443C0" w:rsidP="00EE2756">
      <w:pPr>
        <w:pStyle w:val="EQ"/>
        <w:rPr>
          <w:rFonts w:eastAsiaTheme="minorEastAsia" w:hint="eastAsia"/>
          <w:lang w:eastAsia="zh-CN"/>
        </w:rPr>
      </w:pPr>
      <w:r w:rsidRPr="00415E5C">
        <w:rPr>
          <w:position w:val="-18"/>
        </w:rPr>
        <w:object w:dxaOrig="28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3pt;height:22pt">
            <v:imagedata r:id="rId8" o:title=""/>
          </v:shape>
        </w:object>
      </w:r>
      <w:r w:rsidRPr="00EE2756">
        <w:rPr>
          <w:rFonts w:eastAsiaTheme="minorEastAsia" w:hint="eastAsia"/>
          <w:lang w:eastAsia="zh-CN"/>
        </w:rPr>
        <w:t xml:space="preserve">  </w:t>
      </w:r>
    </w:p>
    <w:p w:rsidR="001443C0" w:rsidRPr="00415E5C" w:rsidRDefault="001443C0" w:rsidP="001443C0">
      <w:r>
        <w:rPr>
          <w:rFonts w:hint="eastAsia"/>
          <w:lang w:val="en-GB"/>
        </w:rPr>
        <w:t>搜索空间，</w:t>
      </w:r>
      <w:r>
        <w:rPr>
          <w:rFonts w:hint="eastAsia"/>
          <w:lang w:val="en-GB"/>
        </w:rPr>
        <w:t>L</w:t>
      </w:r>
      <w:r>
        <w:rPr>
          <w:rFonts w:hint="eastAsia"/>
          <w:lang w:val="en-GB"/>
        </w:rPr>
        <w:t>为聚合等级，</w:t>
      </w:r>
      <w:proofErr w:type="spellStart"/>
      <w:r>
        <w:rPr>
          <w:rFonts w:hint="eastAsia"/>
          <w:lang w:val="en-GB"/>
        </w:rPr>
        <w:t>Yk</w:t>
      </w:r>
      <w:proofErr w:type="spellEnd"/>
      <w:r>
        <w:rPr>
          <w:rFonts w:hint="eastAsia"/>
          <w:lang w:val="en-GB"/>
        </w:rPr>
        <w:t>由</w:t>
      </w:r>
      <w:r>
        <w:rPr>
          <w:rFonts w:hint="eastAsia"/>
          <w:lang w:val="en-GB"/>
        </w:rPr>
        <w:t>hash</w:t>
      </w:r>
      <w:r>
        <w:rPr>
          <w:rFonts w:hint="eastAsia"/>
          <w:lang w:val="en-GB"/>
        </w:rPr>
        <w:t>函数计算，</w:t>
      </w:r>
      <w:r>
        <w:rPr>
          <w:rFonts w:hint="eastAsia"/>
          <w:lang w:val="en-GB"/>
        </w:rPr>
        <w:t>m</w:t>
      </w:r>
      <w:proofErr w:type="gramStart"/>
      <w:r>
        <w:rPr>
          <w:lang w:val="en-GB"/>
        </w:rPr>
        <w:t>’</w:t>
      </w:r>
      <w:proofErr w:type="gramEnd"/>
      <w:r>
        <w:rPr>
          <w:rFonts w:hint="eastAsia"/>
          <w:lang w:val="en-GB"/>
        </w:rPr>
        <w:t xml:space="preserve"> =m,-</w:t>
      </w:r>
      <w:r w:rsidRPr="001443C0">
        <w:t xml:space="preserve"> </w:t>
      </w:r>
      <w:r w:rsidRPr="00415E5C">
        <w:t>where</w:t>
      </w:r>
      <w:r w:rsidRPr="00415E5C">
        <w:rPr>
          <w:rFonts w:hint="eastAsia"/>
        </w:rPr>
        <w:t xml:space="preserve"> </w:t>
      </w:r>
      <w:r w:rsidRPr="00415E5C">
        <w:rPr>
          <w:position w:val="-8"/>
        </w:rPr>
        <w:object w:dxaOrig="1520" w:dyaOrig="320">
          <v:shape id="_x0000_i1026" type="#_x0000_t75" style="width:76pt;height:16pt">
            <v:imagedata r:id="rId9" o:title=""/>
          </v:shape>
        </w:object>
      </w:r>
      <w:r w:rsidRPr="00415E5C">
        <w:rPr>
          <w:rFonts w:hint="eastAsia"/>
        </w:rPr>
        <w:t xml:space="preserve">. </w:t>
      </w:r>
      <w:r w:rsidRPr="00415E5C">
        <w:rPr>
          <w:position w:val="-4"/>
        </w:rPr>
        <w:object w:dxaOrig="480" w:dyaOrig="279">
          <v:shape id="_x0000_i1027" type="#_x0000_t75" style="width:24pt;height:14pt">
            <v:imagedata r:id="rId10" o:title=""/>
          </v:shape>
        </w:object>
      </w:r>
      <w:r w:rsidRPr="00415E5C">
        <w:t xml:space="preserve"> </w:t>
      </w:r>
      <w:proofErr w:type="gramStart"/>
      <w:r w:rsidRPr="00415E5C">
        <w:t>is</w:t>
      </w:r>
      <w:proofErr w:type="gramEnd"/>
      <w:r w:rsidRPr="00415E5C">
        <w:t xml:space="preserve"> the number of PDCCH</w:t>
      </w:r>
      <w:r w:rsidRPr="00415E5C">
        <w:rPr>
          <w:rFonts w:hint="eastAsia"/>
        </w:rPr>
        <w:t xml:space="preserve"> candidate</w:t>
      </w:r>
      <w:r w:rsidRPr="00415E5C">
        <w:t>s</w:t>
      </w:r>
      <w:r w:rsidRPr="00415E5C" w:rsidDel="0005338E">
        <w:t xml:space="preserve"> </w:t>
      </w:r>
      <w:r w:rsidRPr="00415E5C">
        <w:t>to monitor in the given search space.</w:t>
      </w:r>
      <w:r w:rsidR="001B1B2B">
        <w:rPr>
          <w:rFonts w:hint="eastAsia"/>
        </w:rPr>
        <w:t>，</w:t>
      </w:r>
      <w:r w:rsidR="001B1B2B">
        <w:rPr>
          <w:rFonts w:hint="eastAsia"/>
        </w:rPr>
        <w:t>i</w:t>
      </w:r>
      <w:r w:rsidR="001B1B2B">
        <w:rPr>
          <w:rFonts w:hint="eastAsia"/>
        </w:rPr>
        <w:t>为</w:t>
      </w:r>
      <w:r w:rsidR="001B1B2B">
        <w:rPr>
          <w:rFonts w:hint="eastAsia"/>
        </w:rPr>
        <w:t>0-L-1</w:t>
      </w:r>
    </w:p>
    <w:p w:rsidR="00061F03" w:rsidRPr="00415E5C" w:rsidRDefault="00061F03" w:rsidP="00061F03">
      <w:pPr>
        <w:pStyle w:val="TH"/>
      </w:pPr>
      <w:r w:rsidRPr="00415E5C">
        <w:t>Table 9.1.1-1: PDCCH candidates monitored by a UE.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7"/>
        <w:gridCol w:w="2087"/>
        <w:gridCol w:w="2193"/>
        <w:gridCol w:w="1857"/>
      </w:tblGrid>
      <w:tr w:rsidR="00061F03" w:rsidRPr="00415E5C" w:rsidTr="00873260">
        <w:trPr>
          <w:cantSplit/>
          <w:jc w:val="center"/>
        </w:trPr>
        <w:tc>
          <w:tcPr>
            <w:tcW w:w="537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061F03" w:rsidRPr="00415E5C" w:rsidRDefault="00061F03" w:rsidP="00873260">
            <w:pPr>
              <w:pStyle w:val="TAH"/>
            </w:pPr>
            <w:r w:rsidRPr="00415E5C">
              <w:t xml:space="preserve">Search space </w:t>
            </w:r>
            <w:r w:rsidRPr="00415E5C">
              <w:rPr>
                <w:position w:val="-12"/>
              </w:rPr>
              <w:object w:dxaOrig="400" w:dyaOrig="360">
                <v:shape id="_x0000_i1028" type="#_x0000_t75" style="width:20pt;height:18pt">
                  <v:imagedata r:id="rId11" o:title=""/>
                </v:shape>
              </w:object>
            </w:r>
          </w:p>
        </w:tc>
        <w:tc>
          <w:tcPr>
            <w:tcW w:w="1857" w:type="dxa"/>
            <w:vMerge w:val="restart"/>
            <w:shd w:val="clear" w:color="auto" w:fill="E0E0E0"/>
          </w:tcPr>
          <w:p w:rsidR="00061F03" w:rsidRPr="00415E5C" w:rsidRDefault="00061F03" w:rsidP="00873260">
            <w:pPr>
              <w:pStyle w:val="TAH"/>
            </w:pPr>
            <w:r w:rsidRPr="00415E5C">
              <w:t xml:space="preserve">Number of PDCCH candidates </w:t>
            </w:r>
            <w:r w:rsidRPr="00415E5C">
              <w:rPr>
                <w:position w:val="-4"/>
              </w:rPr>
              <w:object w:dxaOrig="480" w:dyaOrig="279">
                <v:shape id="_x0000_i1029" type="#_x0000_t75" style="width:24pt;height:14pt">
                  <v:imagedata r:id="rId10" o:title=""/>
                </v:shape>
              </w:object>
            </w:r>
          </w:p>
        </w:tc>
      </w:tr>
      <w:tr w:rsidR="00061F03" w:rsidRPr="00415E5C" w:rsidTr="00873260">
        <w:trPr>
          <w:cantSplit/>
          <w:jc w:val="center"/>
        </w:trPr>
        <w:tc>
          <w:tcPr>
            <w:tcW w:w="1090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061F03" w:rsidRPr="00415E5C" w:rsidRDefault="00061F03" w:rsidP="00873260">
            <w:pPr>
              <w:pStyle w:val="TAH"/>
            </w:pPr>
            <w:r w:rsidRPr="00415E5C">
              <w:t>Type</w:t>
            </w:r>
          </w:p>
        </w:tc>
        <w:tc>
          <w:tcPr>
            <w:tcW w:w="2087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061F03" w:rsidRPr="00415E5C" w:rsidRDefault="00061F03" w:rsidP="00873260">
            <w:pPr>
              <w:pStyle w:val="TAH"/>
            </w:pPr>
            <w:r w:rsidRPr="00415E5C">
              <w:t xml:space="preserve">Aggregation level </w:t>
            </w:r>
            <w:r w:rsidRPr="00415E5C">
              <w:rPr>
                <w:position w:val="-4"/>
              </w:rPr>
              <w:object w:dxaOrig="200" w:dyaOrig="220">
                <v:shape id="_x0000_i1030" type="#_x0000_t75" style="width:10pt;height:11pt">
                  <v:imagedata r:id="rId12" o:title=""/>
                </v:shape>
              </w:object>
            </w:r>
          </w:p>
        </w:tc>
        <w:tc>
          <w:tcPr>
            <w:tcW w:w="2193" w:type="dxa"/>
            <w:tcBorders>
              <w:top w:val="single" w:sz="4" w:space="0" w:color="auto"/>
            </w:tcBorders>
            <w:shd w:val="clear" w:color="auto" w:fill="E0E0E0"/>
            <w:vAlign w:val="center"/>
          </w:tcPr>
          <w:p w:rsidR="00061F03" w:rsidRPr="00415E5C" w:rsidRDefault="00061F03" w:rsidP="00873260">
            <w:pPr>
              <w:pStyle w:val="TAH"/>
            </w:pPr>
            <w:r w:rsidRPr="00415E5C">
              <w:t>Size [in CCEs]</w:t>
            </w:r>
          </w:p>
        </w:tc>
        <w:tc>
          <w:tcPr>
            <w:tcW w:w="1857" w:type="dxa"/>
            <w:vMerge/>
          </w:tcPr>
          <w:p w:rsidR="00061F03" w:rsidRPr="00415E5C" w:rsidRDefault="00061F03" w:rsidP="00873260"/>
        </w:tc>
      </w:tr>
      <w:tr w:rsidR="00061F03" w:rsidRPr="00415E5C" w:rsidTr="00873260">
        <w:trPr>
          <w:cantSplit/>
          <w:jc w:val="center"/>
        </w:trPr>
        <w:tc>
          <w:tcPr>
            <w:tcW w:w="1090" w:type="dxa"/>
            <w:vMerge w:val="restart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UE-specific</w:t>
            </w:r>
          </w:p>
        </w:tc>
        <w:tc>
          <w:tcPr>
            <w:tcW w:w="208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1</w:t>
            </w:r>
          </w:p>
        </w:tc>
        <w:tc>
          <w:tcPr>
            <w:tcW w:w="2193" w:type="dxa"/>
          </w:tcPr>
          <w:p w:rsidR="00061F03" w:rsidRPr="00415E5C" w:rsidRDefault="00061F03" w:rsidP="00873260">
            <w:pPr>
              <w:pStyle w:val="TAC"/>
            </w:pPr>
            <w:r w:rsidRPr="00415E5C">
              <w:t>6</w:t>
            </w:r>
          </w:p>
        </w:tc>
        <w:tc>
          <w:tcPr>
            <w:tcW w:w="185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6</w:t>
            </w:r>
          </w:p>
        </w:tc>
      </w:tr>
      <w:tr w:rsidR="00061F03" w:rsidRPr="00415E5C" w:rsidTr="00873260">
        <w:trPr>
          <w:cantSplit/>
          <w:jc w:val="center"/>
        </w:trPr>
        <w:tc>
          <w:tcPr>
            <w:tcW w:w="1090" w:type="dxa"/>
            <w:vMerge/>
            <w:vAlign w:val="center"/>
          </w:tcPr>
          <w:p w:rsidR="00061F03" w:rsidRPr="00415E5C" w:rsidRDefault="00061F03" w:rsidP="00873260">
            <w:pPr>
              <w:pStyle w:val="TAC"/>
            </w:pPr>
          </w:p>
        </w:tc>
        <w:tc>
          <w:tcPr>
            <w:tcW w:w="208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2</w:t>
            </w:r>
          </w:p>
        </w:tc>
        <w:tc>
          <w:tcPr>
            <w:tcW w:w="2193" w:type="dxa"/>
          </w:tcPr>
          <w:p w:rsidR="00061F03" w:rsidRPr="00415E5C" w:rsidRDefault="00061F03" w:rsidP="00873260">
            <w:pPr>
              <w:pStyle w:val="TAC"/>
            </w:pPr>
            <w:r w:rsidRPr="00415E5C">
              <w:t>12</w:t>
            </w:r>
          </w:p>
        </w:tc>
        <w:tc>
          <w:tcPr>
            <w:tcW w:w="185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6</w:t>
            </w:r>
          </w:p>
        </w:tc>
      </w:tr>
      <w:tr w:rsidR="00061F03" w:rsidRPr="00415E5C" w:rsidTr="00873260">
        <w:trPr>
          <w:cantSplit/>
          <w:jc w:val="center"/>
        </w:trPr>
        <w:tc>
          <w:tcPr>
            <w:tcW w:w="1090" w:type="dxa"/>
            <w:vMerge/>
            <w:vAlign w:val="center"/>
          </w:tcPr>
          <w:p w:rsidR="00061F03" w:rsidRPr="00415E5C" w:rsidRDefault="00061F03" w:rsidP="00873260">
            <w:pPr>
              <w:pStyle w:val="TAC"/>
            </w:pPr>
          </w:p>
        </w:tc>
        <w:tc>
          <w:tcPr>
            <w:tcW w:w="208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4</w:t>
            </w:r>
          </w:p>
        </w:tc>
        <w:tc>
          <w:tcPr>
            <w:tcW w:w="2193" w:type="dxa"/>
          </w:tcPr>
          <w:p w:rsidR="00061F03" w:rsidRPr="00415E5C" w:rsidRDefault="00061F03" w:rsidP="00873260">
            <w:pPr>
              <w:pStyle w:val="TAC"/>
            </w:pPr>
            <w:r w:rsidRPr="00415E5C">
              <w:t>8</w:t>
            </w:r>
          </w:p>
        </w:tc>
        <w:tc>
          <w:tcPr>
            <w:tcW w:w="185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2</w:t>
            </w:r>
          </w:p>
        </w:tc>
      </w:tr>
      <w:tr w:rsidR="00061F03" w:rsidRPr="00415E5C" w:rsidTr="00873260">
        <w:trPr>
          <w:cantSplit/>
          <w:jc w:val="center"/>
        </w:trPr>
        <w:tc>
          <w:tcPr>
            <w:tcW w:w="1090" w:type="dxa"/>
            <w:vMerge/>
            <w:vAlign w:val="center"/>
          </w:tcPr>
          <w:p w:rsidR="00061F03" w:rsidRPr="00415E5C" w:rsidRDefault="00061F03" w:rsidP="00873260">
            <w:pPr>
              <w:pStyle w:val="TAC"/>
            </w:pPr>
          </w:p>
        </w:tc>
        <w:tc>
          <w:tcPr>
            <w:tcW w:w="208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8</w:t>
            </w:r>
          </w:p>
        </w:tc>
        <w:tc>
          <w:tcPr>
            <w:tcW w:w="2193" w:type="dxa"/>
          </w:tcPr>
          <w:p w:rsidR="00061F03" w:rsidRPr="00415E5C" w:rsidRDefault="00061F03" w:rsidP="00873260">
            <w:pPr>
              <w:pStyle w:val="TAC"/>
            </w:pPr>
            <w:r w:rsidRPr="00415E5C">
              <w:t>16</w:t>
            </w:r>
          </w:p>
        </w:tc>
        <w:tc>
          <w:tcPr>
            <w:tcW w:w="185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2</w:t>
            </w:r>
          </w:p>
        </w:tc>
      </w:tr>
      <w:tr w:rsidR="00061F03" w:rsidRPr="00415E5C" w:rsidTr="00873260">
        <w:trPr>
          <w:cantSplit/>
          <w:jc w:val="center"/>
        </w:trPr>
        <w:tc>
          <w:tcPr>
            <w:tcW w:w="1090" w:type="dxa"/>
            <w:vMerge w:val="restart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Common</w:t>
            </w:r>
          </w:p>
        </w:tc>
        <w:tc>
          <w:tcPr>
            <w:tcW w:w="208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4</w:t>
            </w:r>
          </w:p>
        </w:tc>
        <w:tc>
          <w:tcPr>
            <w:tcW w:w="2193" w:type="dxa"/>
          </w:tcPr>
          <w:p w:rsidR="00061F03" w:rsidRPr="00415E5C" w:rsidRDefault="00061F03" w:rsidP="00873260">
            <w:pPr>
              <w:pStyle w:val="TAC"/>
            </w:pPr>
            <w:r w:rsidRPr="00415E5C">
              <w:t>16</w:t>
            </w:r>
          </w:p>
        </w:tc>
        <w:tc>
          <w:tcPr>
            <w:tcW w:w="185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4</w:t>
            </w:r>
          </w:p>
        </w:tc>
      </w:tr>
      <w:tr w:rsidR="00061F03" w:rsidRPr="00415E5C" w:rsidTr="00873260">
        <w:trPr>
          <w:cantSplit/>
          <w:jc w:val="center"/>
        </w:trPr>
        <w:tc>
          <w:tcPr>
            <w:tcW w:w="1090" w:type="dxa"/>
            <w:vMerge/>
          </w:tcPr>
          <w:p w:rsidR="00061F03" w:rsidRPr="00415E5C" w:rsidRDefault="00061F03" w:rsidP="00873260">
            <w:pPr>
              <w:pStyle w:val="TAC"/>
            </w:pPr>
          </w:p>
        </w:tc>
        <w:tc>
          <w:tcPr>
            <w:tcW w:w="208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8</w:t>
            </w:r>
          </w:p>
        </w:tc>
        <w:tc>
          <w:tcPr>
            <w:tcW w:w="2193" w:type="dxa"/>
          </w:tcPr>
          <w:p w:rsidR="00061F03" w:rsidRPr="00415E5C" w:rsidRDefault="00061F03" w:rsidP="00873260">
            <w:pPr>
              <w:pStyle w:val="TAC"/>
            </w:pPr>
            <w:r w:rsidRPr="00415E5C">
              <w:t>16</w:t>
            </w:r>
          </w:p>
        </w:tc>
        <w:tc>
          <w:tcPr>
            <w:tcW w:w="1857" w:type="dxa"/>
            <w:vAlign w:val="center"/>
          </w:tcPr>
          <w:p w:rsidR="00061F03" w:rsidRPr="00415E5C" w:rsidRDefault="00061F03" w:rsidP="00873260">
            <w:pPr>
              <w:pStyle w:val="TAC"/>
            </w:pPr>
            <w:r w:rsidRPr="00415E5C">
              <w:t>2</w:t>
            </w:r>
          </w:p>
        </w:tc>
      </w:tr>
    </w:tbl>
    <w:p w:rsidR="001443C0" w:rsidRDefault="001443C0" w:rsidP="001443C0">
      <w:pPr>
        <w:rPr>
          <w:rFonts w:hint="eastAsia"/>
        </w:rPr>
      </w:pPr>
    </w:p>
    <w:p w:rsidR="000F3FCC" w:rsidRDefault="000F3FCC" w:rsidP="000F3FC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NIL</w:t>
      </w:r>
      <w:r>
        <w:rPr>
          <w:rFonts w:hint="eastAsia"/>
        </w:rPr>
        <w:t>元素</w:t>
      </w:r>
    </w:p>
    <w:p w:rsidR="000F3FCC" w:rsidRPr="001443C0" w:rsidRDefault="000F3FCC" w:rsidP="000F3FCC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eNodeB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根据每个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PDCCH</w:t>
      </w:r>
      <w:r>
        <w:rPr>
          <w:rFonts w:ascii="Arial" w:hAnsi="Arial" w:cs="Arial"/>
          <w:color w:val="333333"/>
          <w:szCs w:val="21"/>
          <w:shd w:val="clear" w:color="auto" w:fill="FFFFFF"/>
        </w:rPr>
        <w:t>上</w:t>
      </w:r>
      <w:r>
        <w:rPr>
          <w:rFonts w:ascii="Arial" w:hAnsi="Arial" w:cs="Arial"/>
          <w:color w:val="333333"/>
          <w:szCs w:val="21"/>
          <w:shd w:val="clear" w:color="auto" w:fill="FFFFFF"/>
        </w:rPr>
        <w:t>CCE</w:t>
      </w:r>
      <w:r>
        <w:rPr>
          <w:rFonts w:ascii="Arial" w:hAnsi="Arial" w:cs="Arial"/>
          <w:color w:val="333333"/>
          <w:szCs w:val="21"/>
          <w:shd w:val="clear" w:color="auto" w:fill="FFFFFF"/>
        </w:rPr>
        <w:t>起始位置的限制，将每个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PDCCH</w:t>
      </w:r>
      <w:r>
        <w:rPr>
          <w:rFonts w:ascii="Arial" w:hAnsi="Arial" w:cs="Arial"/>
          <w:color w:val="333333"/>
          <w:szCs w:val="21"/>
          <w:shd w:val="clear" w:color="auto" w:fill="FFFFFF"/>
        </w:rPr>
        <w:t>放置在合适的位置。这时可能出现有的</w:t>
      </w:r>
      <w:r>
        <w:rPr>
          <w:rFonts w:ascii="Arial" w:hAnsi="Arial" w:cs="Arial"/>
          <w:color w:val="333333"/>
          <w:szCs w:val="21"/>
          <w:shd w:val="clear" w:color="auto" w:fill="FFFFFF"/>
        </w:rPr>
        <w:t>CCE</w:t>
      </w:r>
      <w:r>
        <w:rPr>
          <w:rFonts w:ascii="Arial" w:hAnsi="Arial" w:cs="Arial"/>
          <w:color w:val="333333"/>
          <w:szCs w:val="21"/>
          <w:shd w:val="clear" w:color="auto" w:fill="FFFFFF"/>
        </w:rPr>
        <w:t>没有被占用的情况，标准中规定需要插入</w:t>
      </w:r>
      <w:r>
        <w:rPr>
          <w:rFonts w:ascii="Arial" w:hAnsi="Arial" w:cs="Arial"/>
          <w:color w:val="333333"/>
          <w:szCs w:val="21"/>
          <w:shd w:val="clear" w:color="auto" w:fill="FFFFFF"/>
        </w:rPr>
        <w:t>NIL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NIL</w:t>
      </w:r>
      <w:r>
        <w:rPr>
          <w:rFonts w:ascii="Arial" w:hAnsi="Arial" w:cs="Arial"/>
          <w:color w:val="333333"/>
          <w:szCs w:val="21"/>
          <w:shd w:val="clear" w:color="auto" w:fill="FFFFFF"/>
        </w:rPr>
        <w:t>对应的</w:t>
      </w:r>
      <w:r>
        <w:rPr>
          <w:rFonts w:ascii="Arial" w:hAnsi="Arial" w:cs="Arial"/>
          <w:color w:val="333333"/>
          <w:szCs w:val="21"/>
          <w:shd w:val="clear" w:color="auto" w:fill="FFFFFF"/>
        </w:rPr>
        <w:t>RE</w:t>
      </w:r>
      <w:r>
        <w:rPr>
          <w:rFonts w:ascii="Arial" w:hAnsi="Arial" w:cs="Arial"/>
          <w:color w:val="333333"/>
          <w:szCs w:val="21"/>
          <w:shd w:val="clear" w:color="auto" w:fill="FFFFFF"/>
        </w:rPr>
        <w:t>上面的发送功率为</w:t>
      </w:r>
      <w:r>
        <w:rPr>
          <w:rFonts w:ascii="Arial" w:hAnsi="Arial" w:cs="Arial"/>
          <w:color w:val="333333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Inf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，也就是</w:t>
      </w:r>
      <w:r>
        <w:rPr>
          <w:rFonts w:ascii="Arial" w:hAnsi="Arial" w:cs="Arial"/>
          <w:color w:val="333333"/>
          <w:szCs w:val="21"/>
          <w:shd w:val="clear" w:color="auto" w:fill="FFFFFF"/>
        </w:rPr>
        <w:t>0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关于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NIL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的插入。由于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PDCCH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占用的是除了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CRS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，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PCFICH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，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PHICH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之外的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REG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，其数目可以记为</w:t>
      </w:r>
      <w:proofErr w:type="spellStart"/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Nreg</w:t>
      </w:r>
      <w:proofErr w:type="spellEnd"/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，但是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PDCCH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资源分配的单位是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CCE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，是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9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个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REG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。所以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Ncce</w:t>
      </w:r>
      <w:proofErr w:type="spellEnd"/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 xml:space="preserve"> = floor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（</w:t>
      </w:r>
      <w:proofErr w:type="spellStart"/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Nreg</w:t>
      </w:r>
      <w:proofErr w:type="spellEnd"/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/9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），那这些个不能被整除的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REG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就要用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NIL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来填充，其实就是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-</w:t>
      </w:r>
      <w:proofErr w:type="spellStart"/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Inf</w:t>
      </w:r>
      <w:proofErr w:type="spellEnd"/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，也就是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0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。在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PDCCH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复用的时候在尾部插入。</w:t>
      </w:r>
      <w:r w:rsidR="000435E0">
        <w:rPr>
          <w:rFonts w:ascii="simsun" w:hAnsi="simsun"/>
          <w:color w:val="000000"/>
          <w:sz w:val="23"/>
          <w:szCs w:val="23"/>
        </w:rPr>
        <w:br/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还有就是为了满足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PDCCH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的聚合等级对齐，也要插入</w:t>
      </w:r>
      <w:r w:rsidR="000435E0">
        <w:rPr>
          <w:rFonts w:ascii="simsun" w:hAnsi="simsun"/>
          <w:color w:val="000000"/>
          <w:sz w:val="23"/>
          <w:szCs w:val="23"/>
          <w:shd w:val="clear" w:color="auto" w:fill="FFFFFF"/>
        </w:rPr>
        <w:t>NIL</w:t>
      </w:r>
      <w:bookmarkStart w:id="0" w:name="_GoBack"/>
      <w:bookmarkEnd w:id="0"/>
    </w:p>
    <w:sectPr w:rsidR="000F3FCC" w:rsidRPr="001443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826" w:rsidRDefault="00766826" w:rsidP="001443C0">
      <w:r>
        <w:separator/>
      </w:r>
    </w:p>
  </w:endnote>
  <w:endnote w:type="continuationSeparator" w:id="0">
    <w:p w:rsidR="00766826" w:rsidRDefault="00766826" w:rsidP="00144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826" w:rsidRDefault="00766826" w:rsidP="001443C0">
      <w:r>
        <w:separator/>
      </w:r>
    </w:p>
  </w:footnote>
  <w:footnote w:type="continuationSeparator" w:id="0">
    <w:p w:rsidR="00766826" w:rsidRDefault="00766826" w:rsidP="00144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33167"/>
    <w:multiLevelType w:val="hybridMultilevel"/>
    <w:tmpl w:val="D458CF2C"/>
    <w:lvl w:ilvl="0" w:tplc="3A786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5C"/>
    <w:rsid w:val="000435E0"/>
    <w:rsid w:val="00061F03"/>
    <w:rsid w:val="000F3FCC"/>
    <w:rsid w:val="001443C0"/>
    <w:rsid w:val="001B1B2B"/>
    <w:rsid w:val="002660EC"/>
    <w:rsid w:val="004D37DF"/>
    <w:rsid w:val="00766826"/>
    <w:rsid w:val="00ED7DAF"/>
    <w:rsid w:val="00EE2756"/>
    <w:rsid w:val="00F96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3C0"/>
    <w:rPr>
      <w:sz w:val="18"/>
      <w:szCs w:val="18"/>
    </w:rPr>
  </w:style>
  <w:style w:type="paragraph" w:customStyle="1" w:styleId="EQ">
    <w:name w:val="EQ"/>
    <w:basedOn w:val="a"/>
    <w:next w:val="a"/>
    <w:rsid w:val="001443C0"/>
    <w:pPr>
      <w:keepLines/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jc w:val="left"/>
      <w:textAlignment w:val="baseline"/>
    </w:pPr>
    <w:rPr>
      <w:rFonts w:ascii="Times New Roman" w:eastAsia="Times New Roman" w:hAnsi="Times New Roman" w:cs="Times New Roman"/>
      <w:noProof/>
      <w:kern w:val="0"/>
      <w:sz w:val="20"/>
      <w:szCs w:val="20"/>
      <w:lang w:val="en-GB" w:eastAsia="en-GB"/>
    </w:rPr>
  </w:style>
  <w:style w:type="paragraph" w:customStyle="1" w:styleId="TAH">
    <w:name w:val="TAH"/>
    <w:basedOn w:val="TAC"/>
    <w:rsid w:val="00061F03"/>
    <w:rPr>
      <w:b/>
    </w:rPr>
  </w:style>
  <w:style w:type="paragraph" w:customStyle="1" w:styleId="TAC">
    <w:name w:val="TAC"/>
    <w:basedOn w:val="a"/>
    <w:rsid w:val="00061F03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Times New Roman" w:hAnsi="Arial" w:cs="Times New Roman"/>
      <w:kern w:val="0"/>
      <w:sz w:val="18"/>
      <w:szCs w:val="20"/>
      <w:lang w:val="en-GB" w:eastAsia="en-GB"/>
    </w:rPr>
  </w:style>
  <w:style w:type="paragraph" w:customStyle="1" w:styleId="TH">
    <w:name w:val="TH"/>
    <w:basedOn w:val="a"/>
    <w:link w:val="THChar"/>
    <w:rsid w:val="00061F03"/>
    <w:pPr>
      <w:keepNext/>
      <w:keepLines/>
      <w:widowControl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eastAsia="Times New Roman" w:hAnsi="Arial" w:cs="Times New Roman"/>
      <w:b/>
      <w:kern w:val="0"/>
      <w:sz w:val="20"/>
      <w:szCs w:val="20"/>
      <w:lang w:val="en-GB" w:eastAsia="en-GB"/>
    </w:rPr>
  </w:style>
  <w:style w:type="character" w:customStyle="1" w:styleId="THChar">
    <w:name w:val="TH Char"/>
    <w:link w:val="TH"/>
    <w:rsid w:val="00061F03"/>
    <w:rPr>
      <w:rFonts w:ascii="Arial" w:eastAsia="Times New Roman" w:hAnsi="Arial" w:cs="Times New Roman"/>
      <w:b/>
      <w:kern w:val="0"/>
      <w:sz w:val="20"/>
      <w:szCs w:val="20"/>
      <w:lang w:val="en-GB" w:eastAsia="en-GB"/>
    </w:rPr>
  </w:style>
  <w:style w:type="paragraph" w:styleId="a5">
    <w:name w:val="List Paragraph"/>
    <w:basedOn w:val="a"/>
    <w:uiPriority w:val="34"/>
    <w:qFormat/>
    <w:rsid w:val="000F3FC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4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4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4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43C0"/>
    <w:rPr>
      <w:sz w:val="18"/>
      <w:szCs w:val="18"/>
    </w:rPr>
  </w:style>
  <w:style w:type="paragraph" w:customStyle="1" w:styleId="EQ">
    <w:name w:val="EQ"/>
    <w:basedOn w:val="a"/>
    <w:next w:val="a"/>
    <w:rsid w:val="001443C0"/>
    <w:pPr>
      <w:keepLines/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180"/>
      <w:jc w:val="left"/>
      <w:textAlignment w:val="baseline"/>
    </w:pPr>
    <w:rPr>
      <w:rFonts w:ascii="Times New Roman" w:eastAsia="Times New Roman" w:hAnsi="Times New Roman" w:cs="Times New Roman"/>
      <w:noProof/>
      <w:kern w:val="0"/>
      <w:sz w:val="20"/>
      <w:szCs w:val="20"/>
      <w:lang w:val="en-GB" w:eastAsia="en-GB"/>
    </w:rPr>
  </w:style>
  <w:style w:type="paragraph" w:customStyle="1" w:styleId="TAH">
    <w:name w:val="TAH"/>
    <w:basedOn w:val="TAC"/>
    <w:rsid w:val="00061F03"/>
    <w:rPr>
      <w:b/>
    </w:rPr>
  </w:style>
  <w:style w:type="paragraph" w:customStyle="1" w:styleId="TAC">
    <w:name w:val="TAC"/>
    <w:basedOn w:val="a"/>
    <w:rsid w:val="00061F03"/>
    <w:pPr>
      <w:keepNext/>
      <w:keepLines/>
      <w:widowControl/>
      <w:overflowPunct w:val="0"/>
      <w:autoSpaceDE w:val="0"/>
      <w:autoSpaceDN w:val="0"/>
      <w:adjustRightInd w:val="0"/>
      <w:jc w:val="center"/>
      <w:textAlignment w:val="baseline"/>
    </w:pPr>
    <w:rPr>
      <w:rFonts w:ascii="Arial" w:eastAsia="Times New Roman" w:hAnsi="Arial" w:cs="Times New Roman"/>
      <w:kern w:val="0"/>
      <w:sz w:val="18"/>
      <w:szCs w:val="20"/>
      <w:lang w:val="en-GB" w:eastAsia="en-GB"/>
    </w:rPr>
  </w:style>
  <w:style w:type="paragraph" w:customStyle="1" w:styleId="TH">
    <w:name w:val="TH"/>
    <w:basedOn w:val="a"/>
    <w:link w:val="THChar"/>
    <w:rsid w:val="00061F03"/>
    <w:pPr>
      <w:keepNext/>
      <w:keepLines/>
      <w:widowControl/>
      <w:overflowPunct w:val="0"/>
      <w:autoSpaceDE w:val="0"/>
      <w:autoSpaceDN w:val="0"/>
      <w:adjustRightInd w:val="0"/>
      <w:spacing w:before="60" w:after="180"/>
      <w:jc w:val="center"/>
      <w:textAlignment w:val="baseline"/>
    </w:pPr>
    <w:rPr>
      <w:rFonts w:ascii="Arial" w:eastAsia="Times New Roman" w:hAnsi="Arial" w:cs="Times New Roman"/>
      <w:b/>
      <w:kern w:val="0"/>
      <w:sz w:val="20"/>
      <w:szCs w:val="20"/>
      <w:lang w:val="en-GB" w:eastAsia="en-GB"/>
    </w:rPr>
  </w:style>
  <w:style w:type="character" w:customStyle="1" w:styleId="THChar">
    <w:name w:val="TH Char"/>
    <w:link w:val="TH"/>
    <w:rsid w:val="00061F03"/>
    <w:rPr>
      <w:rFonts w:ascii="Arial" w:eastAsia="Times New Roman" w:hAnsi="Arial" w:cs="Times New Roman"/>
      <w:b/>
      <w:kern w:val="0"/>
      <w:sz w:val="20"/>
      <w:szCs w:val="20"/>
      <w:lang w:val="en-GB" w:eastAsia="en-GB"/>
    </w:rPr>
  </w:style>
  <w:style w:type="paragraph" w:styleId="a5">
    <w:name w:val="List Paragraph"/>
    <w:basedOn w:val="a"/>
    <w:uiPriority w:val="34"/>
    <w:qFormat/>
    <w:rsid w:val="000F3F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</dc:creator>
  <cp:keywords/>
  <dc:description/>
  <cp:lastModifiedBy>0</cp:lastModifiedBy>
  <cp:revision>9</cp:revision>
  <dcterms:created xsi:type="dcterms:W3CDTF">2018-10-17T03:26:00Z</dcterms:created>
  <dcterms:modified xsi:type="dcterms:W3CDTF">2018-10-17T03:37:00Z</dcterms:modified>
</cp:coreProperties>
</file>