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keepNext/>
      <w:keepLines/>
      <w:spacing w:beforeLines="300" w:afterLines="150"/>
      <w:jc w:val="center"/>
    </w:pPr>
    <w:rPr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!-- ================================================================ 摘要 -->
  <w:style w:type="paragraph" w:customStyle="1" w:styleId="Abstract">
    <w:name w:val="Abstract"/>
    <w:basedOn w:val="Normal"/>
    <w:next w:val="BodyText"/>
    <w:qFormat/>
    <w:pPr>
      <w:keepLines/>
      <w:spacing w:beforeLines="150" w:afterLines="150"/>
    </w:pPr>
    <w:rPr>
      <w:sz w:val="20"/>
      <w:szCs w:val="20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图表式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w:style w:type="paragraph" w:customStyle="1" w:styleId="EquationCaption">
    <w:name w:val="Equation Caption"/>
    <w:basedOn w:val="Caption"/>
  </w:style>
  <w:style w:type="paragraph" w:customStyle="1" w:styleId="Equation">
    <w:name w:val="Equation"/>
    <w:basedOn w:val="Normal"/>
    <w:pPr>
      <w:spacing w:beforeLines="100" w:afterLines="100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