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ep5rnfjto1d" w:id="0"/>
      <w:bookmarkEnd w:id="0"/>
      <w:r w:rsidDel="00000000" w:rsidR="00000000" w:rsidRPr="00000000">
        <w:rPr>
          <w:b w:val="1"/>
          <w:bCs w:val="1"/>
          <w:rtl w:val="0"/>
        </w:rPr>
        <w:t xml:space="preserve">On-Premise Deployment Specifications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qavkf0gdy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Resources and Kubernetes Configuration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5vloeax0q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Cluster Requirements</w:t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"/>
        <w:gridCol w:w="2595"/>
        <w:gridCol w:w="1215"/>
        <w:gridCol w:w="3030"/>
        <w:tblGridChange w:id="0">
          <w:tblGrid>
            <w:gridCol w:w="2175"/>
            <w:gridCol w:w="2595"/>
            <w:gridCol w:w="1215"/>
            <w:gridCol w:w="303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Plane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8 CPU cores, 16GB RAM, 100GB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Kubernetes control plane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High-Performance Worker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16 CPU cores, 64GB RAM, 500GB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Running Inji Certify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Worker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 CPU cores, 32GB RAM, 250GB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Running web applications and supporting services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 CPU cores, 32GB RAM, 2TB+ SSD/NVMe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Distributed storage for persistent volumes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10Gbps internal networking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Low-latency inter-node communication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Balancers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Physical or 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Traffic distribution and high availability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