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80"/>
        <w:jc w:val="center"/>
      </w:pPr>
      <w:r>
        <w:rPr>
          <w:rFonts w:ascii="Arial" w:cs="Arial" w:eastAsia="Arial" w:hAnsi="Arial"/>
          <w:b/>
          <w:bCs/>
          <w:color w:val="0D7377"/>
          <w:sz w:val="24"/>
          <w:szCs w:val="24"/>
        </w:rPr>
        <w:t xml:space="preserve">CENTRICITY WEALTH TECH</w:t>
      </w:r>
    </w:p>
    <w:p>
      <w:pPr>
        <w:spacing w:after="120"/>
        <w:jc w:val="center"/>
      </w:pPr>
      <w:r>
        <w:rPr>
          <w:rFonts w:ascii="Arial" w:cs="Arial" w:eastAsia="Arial" w:hAnsi="Arial"/>
          <w:b/>
          <w:bCs/>
          <w:color w:val="1E3A5F"/>
          <w:sz w:val="52"/>
          <w:szCs w:val="52"/>
        </w:rPr>
        <w:t xml:space="preserve">Platform Observability Architecture</w:t>
      </w:r>
    </w:p>
    <w:p>
      <w:pPr>
        <w:spacing w:after="400"/>
        <w:jc w:val="center"/>
      </w:pPr>
      <w:r>
        <w:rPr>
          <w:rFonts w:ascii="Arial" w:cs="Arial" w:eastAsia="Arial" w:hAnsi="Arial"/>
          <w:i/>
          <w:iCs/>
          <w:color w:val="0D7377"/>
          <w:sz w:val="30"/>
          <w:szCs w:val="30"/>
        </w:rPr>
        <w:t xml:space="preserve">Full-Stack Monitoring, Alerting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200"/>
              <w:bottom w:type="dxa" w:w="80"/>
              <w:right w:type="dxa" w:w="200"/>
            </w:tcMar>
          </w:tcPr>
          <w:p>
            <w:pPr>
              <w:spacing w:after="40"/>
            </w:pPr>
            <w:r>
              <w:rPr>
                <w:rFonts w:ascii="Arial" w:cs="Arial" w:eastAsia="Arial" w:hAnsi="Arial"/>
                <w:color w:val="94A3B8"/>
                <w:sz w:val="18"/>
                <w:szCs w:val="18"/>
              </w:rPr>
              <w:t xml:space="preserve">Prepared By</w:t>
            </w:r>
          </w:p>
          <w:p>
            <w:pPr>
              <w:spacing w:after="40"/>
            </w:pPr>
            <w:r>
              <w:rPr>
                <w:rFonts w:ascii="Arial" w:cs="Arial" w:eastAsia="Arial" w:hAnsi="Arial"/>
                <w:b/>
                <w:bCs/>
                <w:color w:val="334155"/>
                <w:sz w:val="22"/>
                <w:szCs w:val="22"/>
              </w:rPr>
              <w:t xml:space="preserve">Platform Engineering Team</w:t>
            </w:r>
          </w:p>
          <w:p>
            <w:r>
              <w:rPr>
                <w:rFonts w:ascii="Arial" w:cs="Arial" w:eastAsia="Arial" w:hAnsi="Arial"/>
                <w:color w:val="334155"/>
                <w:sz w:val="20"/>
                <w:szCs w:val="20"/>
              </w:rPr>
              <w:t xml:space="preserve">Avneesh — Platform Modernization</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200"/>
            </w:tcMar>
          </w:tcPr>
          <w:p>
            <w:pPr>
              <w:spacing w:after="40"/>
            </w:pPr>
            <w:r>
              <w:rPr>
                <w:rFonts w:ascii="Arial" w:cs="Arial" w:eastAsia="Arial" w:hAnsi="Arial"/>
                <w:color w:val="94A3B8"/>
                <w:sz w:val="18"/>
                <w:szCs w:val="18"/>
              </w:rPr>
              <w:t xml:space="preserve">Date</w:t>
            </w:r>
          </w:p>
          <w:p>
            <w:pPr>
              <w:spacing w:after="40"/>
            </w:pPr>
            <w:r>
              <w:rPr>
                <w:rFonts w:ascii="Arial" w:cs="Arial" w:eastAsia="Arial" w:hAnsi="Arial"/>
                <w:b/>
                <w:bCs/>
                <w:color w:val="334155"/>
                <w:sz w:val="22"/>
                <w:szCs w:val="22"/>
              </w:rPr>
              <w:t xml:space="preserve">February 2026</w:t>
            </w:r>
          </w:p>
          <w:p>
            <w:r>
              <w:rPr>
                <w:rFonts w:ascii="Arial" w:cs="Arial" w:eastAsia="Arial" w:hAnsi="Arial"/>
                <w:color w:val="334155"/>
                <w:sz w:val="20"/>
                <w:szCs w:val="20"/>
              </w:rPr>
              <w:t xml:space="preserve">Version 1.0 — Final</w:t>
            </w:r>
          </w:p>
        </w:tc>
      </w:tr>
    </w:tbl>
    <w:p>
      <w:pPr>
        <w:spacing w:after="400"/>
      </w:pPr>
      <w:r>
        <w:t xml:space="preserve"/>
      </w:r>
    </w:p>
    <w:p>
      <w:pPr>
        <w:jc w:val="center"/>
      </w:pPr>
      <w:r>
        <w:rPr>
          <w:rFonts w:ascii="Arial" w:cs="Arial" w:eastAsia="Arial" w:hAnsi="Arial"/>
          <w:b/>
          <w:bCs/>
          <w:color w:val="0D7377"/>
          <w:sz w:val="18"/>
          <w:szCs w:val="18"/>
        </w:rPr>
        <w:t xml:space="preserve">CONFIDENTIAL — FOR INTERNAL USE ONLY</w:t>
      </w:r>
    </w:p>
    <w:p>
      <w:r>
        <w:br w:type="page"/>
      </w:r>
    </w:p>
    <w:p>
      <w:pPr>
        <w:pStyle w:val="Heading1"/>
        <w:pBdr>
          <w:bottom w:val="single" w:color="0D7377" w:sz="4" w:space="4"/>
        </w:pBdr>
        <w:spacing w:before="360" w:after="20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D7377" w:sz="4" w:space="4"/>
        </w:pBdr>
        <w:spacing w:before="360" w:after="200"/>
      </w:pPr>
      <w:r>
        <w:rPr>
          <w:rFonts w:ascii="Arial" w:cs="Arial" w:eastAsia="Arial" w:hAnsi="Arial"/>
          <w:b/>
          <w:bCs/>
          <w:color w:val="1E3A5F"/>
          <w:sz w:val="32"/>
          <w:szCs w:val="32"/>
        </w:rPr>
        <w:t xml:space="preserve">1. Executive Summary</w:t>
      </w:r>
    </w:p>
    <w:p>
      <w:pPr>
        <w:spacing w:after="120"/>
      </w:pPr>
      <w:r>
        <w:rPr>
          <w:rFonts w:ascii="Arial" w:cs="Arial" w:eastAsia="Arial" w:hAnsi="Arial"/>
          <w:color w:val="334155"/>
          <w:sz w:val="22"/>
          <w:szCs w:val="22"/>
        </w:rPr>
        <w:t xml:space="preserve">This document presents the complete observability architecture for Centricity Wealth Tech's platform modernization initiative. The proposed solution delivers full-stack visibility across all microservices and their dependencies, enabling rapid incident response, proactive performance management, and SEBI regulatory compliance.</w:t>
      </w:r>
    </w:p>
    <w:p>
      <w:pPr>
        <w:spacing w:after="80"/>
      </w:pPr>
      <w:r>
        <w:t xml:space="preserve"/>
      </w:r>
    </w:p>
    <w:p>
      <w:pPr>
        <w:pStyle w:val="Heading2"/>
        <w:spacing w:before="280" w:after="140"/>
      </w:pPr>
      <w:r>
        <w:rPr>
          <w:rFonts w:ascii="Arial" w:cs="Arial" w:eastAsia="Arial" w:hAnsi="Arial"/>
          <w:b/>
          <w:bCs/>
          <w:color w:val="0D7377"/>
          <w:sz w:val="26"/>
          <w:szCs w:val="26"/>
        </w:rPr>
        <w:t xml:space="preserve">1.1 The Business Problem</w:t>
      </w:r>
    </w:p>
    <w:p>
      <w:pPr>
        <w:spacing w:after="120"/>
      </w:pPr>
      <w:r>
        <w:rPr>
          <w:rFonts w:ascii="Arial" w:cs="Arial" w:eastAsia="Arial" w:hAnsi="Arial"/>
          <w:color w:val="334155"/>
          <w:sz w:val="22"/>
          <w:szCs w:val="22"/>
        </w:rPr>
        <w:t xml:space="preserve">Centricity currently operates 10 microservices across 4 programming languages (Go, Python, Node.js, .NET) with plans to scale to 50+ services. Without a structured observability platform, the following business risks exist:</w:t>
      </w:r>
    </w:p>
    <w:p>
      <w:pPr>
        <w:spacing w:after="60"/>
      </w:pPr>
      <w:r>
        <w:t xml:space="preserve"/>
      </w:r>
    </w:p>
    <w:p>
      <w:pPr>
        <w:pStyle w:val="ListParagraph"/>
        <w:numPr>
          <w:ilvl w:val="0"/>
          <w:numId w:val="2"/>
        </w:numPr>
        <w:spacing w:after="80"/>
      </w:pPr>
      <w:r>
        <w:rPr>
          <w:rFonts w:ascii="Arial" w:cs="Arial" w:eastAsia="Arial" w:hAnsi="Arial"/>
          <w:b w:val="false"/>
          <w:bCs w:val="false"/>
          <w:color w:val="334155"/>
          <w:sz w:val="22"/>
          <w:szCs w:val="22"/>
        </w:rPr>
        <w:t xml:space="preserve">Mean time to detect (MTTD) production issues is high — teams discover problems from customer reports rather than proactive monitoring</w:t>
      </w:r>
    </w:p>
    <w:p>
      <w:pPr>
        <w:pStyle w:val="ListParagraph"/>
        <w:numPr>
          <w:ilvl w:val="0"/>
          <w:numId w:val="2"/>
        </w:numPr>
        <w:spacing w:after="80"/>
      </w:pPr>
      <w:r>
        <w:rPr>
          <w:rFonts w:ascii="Arial" w:cs="Arial" w:eastAsia="Arial" w:hAnsi="Arial"/>
          <w:b w:val="false"/>
          <w:bCs w:val="false"/>
          <w:color w:val="334155"/>
          <w:sz w:val="22"/>
          <w:szCs w:val="22"/>
        </w:rPr>
        <w:t xml:space="preserve">Mean time to resolve (MTTR) is extended — engineers spend hours correlating logs across services manually</w:t>
      </w:r>
    </w:p>
    <w:p>
      <w:pPr>
        <w:pStyle w:val="ListParagraph"/>
        <w:numPr>
          <w:ilvl w:val="0"/>
          <w:numId w:val="2"/>
        </w:numPr>
        <w:spacing w:after="80"/>
      </w:pPr>
      <w:r>
        <w:rPr>
          <w:rFonts w:ascii="Arial" w:cs="Arial" w:eastAsia="Arial" w:hAnsi="Arial"/>
          <w:b w:val="false"/>
          <w:bCs w:val="false"/>
          <w:color w:val="334155"/>
          <w:sz w:val="22"/>
          <w:szCs w:val="22"/>
        </w:rPr>
        <w:t xml:space="preserve">SEBI compliance gaps — audit trails for financial transactions are incomplete, creating regulatory risk</w:t>
      </w:r>
    </w:p>
    <w:p>
      <w:pPr>
        <w:pStyle w:val="ListParagraph"/>
        <w:numPr>
          <w:ilvl w:val="0"/>
          <w:numId w:val="2"/>
        </w:numPr>
        <w:spacing w:after="80"/>
      </w:pPr>
      <w:r>
        <w:rPr>
          <w:rFonts w:ascii="Arial" w:cs="Arial" w:eastAsia="Arial" w:hAnsi="Arial"/>
          <w:b w:val="false"/>
          <w:bCs w:val="false"/>
          <w:color w:val="334155"/>
          <w:sz w:val="22"/>
          <w:szCs w:val="22"/>
        </w:rPr>
        <w:t xml:space="preserve">No unified visibility across service dependencies (PostgreSQL, Redis, Kafka, NGINX)</w:t>
      </w:r>
    </w:p>
    <w:p>
      <w:pPr>
        <w:pStyle w:val="ListParagraph"/>
        <w:numPr>
          <w:ilvl w:val="0"/>
          <w:numId w:val="2"/>
        </w:numPr>
        <w:spacing w:after="80"/>
      </w:pPr>
      <w:r>
        <w:rPr>
          <w:rFonts w:ascii="Arial" w:cs="Arial" w:eastAsia="Arial" w:hAnsi="Arial"/>
          <w:b w:val="false"/>
          <w:bCs w:val="false"/>
          <w:color w:val="334155"/>
          <w:sz w:val="22"/>
          <w:szCs w:val="22"/>
        </w:rPr>
        <w:t xml:space="preserve">Scaling from 10 to 50 services without observability infrastructure will create exponential debugging complexity</w:t>
      </w:r>
    </w:p>
    <w:p>
      <w:pPr>
        <w:spacing w:after="120"/>
      </w:pPr>
      <w:r>
        <w:t xml:space="preserve"/>
      </w:r>
    </w:p>
    <w:p>
      <w:pPr>
        <w:pStyle w:val="Heading2"/>
        <w:spacing w:before="280" w:after="140"/>
      </w:pPr>
      <w:r>
        <w:rPr>
          <w:rFonts w:ascii="Arial" w:cs="Arial" w:eastAsia="Arial" w:hAnsi="Arial"/>
          <w:b/>
          <w:bCs/>
          <w:color w:val="0D7377"/>
          <w:sz w:val="26"/>
          <w:szCs w:val="26"/>
        </w:rPr>
        <w:t xml:space="preserve">1.2 The Proposed Solution</w:t>
      </w:r>
    </w:p>
    <w:p>
      <w:pPr>
        <w:spacing w:after="120"/>
      </w:pPr>
      <w:r>
        <w:rPr>
          <w:rFonts w:ascii="Arial" w:cs="Arial" w:eastAsia="Arial" w:hAnsi="Arial"/>
          <w:color w:val="334155"/>
          <w:sz w:val="22"/>
          <w:szCs w:val="22"/>
        </w:rPr>
        <w:t xml:space="preserve">A production-grade, self-hosted observability platform built on industry-standard open-source tooling, designed specifically for FinTech regulatory requirements and high-scale microservice architectures.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Signal</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Technology</w:t>
            </w:r>
          </w:p>
        </w:tc>
        <w:tc>
          <w:tcPr>
            <w:tcW w:type="dxa" w:w="38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Logs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Loki + Vector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Centralized log aggregation with PII masking</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Metrics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Mimir + OTel Collector</w:t>
            </w:r>
          </w:p>
        </w:tc>
        <w:tc>
          <w:tcPr>
            <w:tcW w:type="dxa" w:w="3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Time-series metrics for all services and dependencies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Traces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Tempo + OTel SDK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Distributed request tracing across service boundaries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Alerting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Grafana Unified Alerting</w:t>
            </w:r>
          </w:p>
        </w:tc>
        <w:tc>
          <w:tcPr>
            <w:tcW w:type="dxa" w:w="3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Multi-signal alerting with PagerDuty/Slack routing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Control Plane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GitOps + ArgoCD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Centralized, auditable configuration management</w:t>
            </w:r>
          </w:p>
        </w:tc>
      </w:tr>
    </w:tbl>
    <w:p>
      <w:pPr>
        <w:spacing w:after="160"/>
      </w:pPr>
      <w:r>
        <w:t xml:space="preserve"/>
      </w:r>
    </w:p>
    <w:p>
      <w:pPr>
        <w:pStyle w:val="Heading2"/>
        <w:spacing w:before="280" w:after="140"/>
      </w:pPr>
      <w:r>
        <w:rPr>
          <w:rFonts w:ascii="Arial" w:cs="Arial" w:eastAsia="Arial" w:hAnsi="Arial"/>
          <w:b/>
          <w:bCs/>
          <w:color w:val="0D7377"/>
          <w:sz w:val="26"/>
          <w:szCs w:val="26"/>
        </w:rPr>
        <w:t xml:space="preserve">1.3 Key Outcomes</w:t>
      </w:r>
    </w:p>
    <w:p>
      <w:pPr>
        <w:pStyle w:val="ListParagraph"/>
        <w:numPr>
          <w:ilvl w:val="0"/>
          <w:numId w:val="2"/>
        </w:numPr>
        <w:spacing w:after="80"/>
      </w:pPr>
      <w:r>
        <w:rPr>
          <w:rFonts w:ascii="Arial" w:cs="Arial" w:eastAsia="Arial" w:hAnsi="Arial"/>
          <w:b/>
          <w:bCs/>
          <w:color w:val="334155"/>
          <w:sz w:val="22"/>
          <w:szCs w:val="22"/>
        </w:rPr>
        <w:t xml:space="preserve">MTTD reduction: From hours to &lt; 5 minutes via unified alerting</w:t>
      </w:r>
    </w:p>
    <w:p>
      <w:pPr>
        <w:pStyle w:val="ListParagraph"/>
        <w:numPr>
          <w:ilvl w:val="0"/>
          <w:numId w:val="2"/>
        </w:numPr>
        <w:spacing w:after="80"/>
      </w:pPr>
      <w:r>
        <w:rPr>
          <w:rFonts w:ascii="Arial" w:cs="Arial" w:eastAsia="Arial" w:hAnsi="Arial"/>
          <w:b/>
          <w:bCs/>
          <w:color w:val="334155"/>
          <w:sz w:val="22"/>
          <w:szCs w:val="22"/>
        </w:rPr>
        <w:t xml:space="preserve">MTTR reduction: From hours to &lt; 30 minutes via correlated logs, metrics and traces</w:t>
      </w:r>
    </w:p>
    <w:p>
      <w:pPr>
        <w:pStyle w:val="ListParagraph"/>
        <w:numPr>
          <w:ilvl w:val="0"/>
          <w:numId w:val="2"/>
        </w:numPr>
        <w:spacing w:after="80"/>
      </w:pPr>
      <w:r>
        <w:rPr>
          <w:rFonts w:ascii="Arial" w:cs="Arial" w:eastAsia="Arial" w:hAnsi="Arial"/>
          <w:b/>
          <w:bCs/>
          <w:color w:val="334155"/>
          <w:sz w:val="22"/>
          <w:szCs w:val="22"/>
        </w:rPr>
        <w:t xml:space="preserve">SEBI compliance: Full audit trail with automated PII masking</w:t>
      </w:r>
    </w:p>
    <w:p>
      <w:pPr>
        <w:pStyle w:val="ListParagraph"/>
        <w:numPr>
          <w:ilvl w:val="0"/>
          <w:numId w:val="2"/>
        </w:numPr>
        <w:spacing w:after="80"/>
      </w:pPr>
      <w:r>
        <w:rPr>
          <w:rFonts w:ascii="Arial" w:cs="Arial" w:eastAsia="Arial" w:hAnsi="Arial"/>
          <w:b/>
          <w:bCs/>
          <w:color w:val="334155"/>
          <w:sz w:val="22"/>
          <w:szCs w:val="22"/>
        </w:rPr>
        <w:t xml:space="preserve">Estimated infrastructure cost: ~$370/month (vs $15,000-25,000/month for equivalent SaaS)</w:t>
      </w:r>
    </w:p>
    <w:p>
      <w:pPr>
        <w:pStyle w:val="ListParagraph"/>
        <w:numPr>
          <w:ilvl w:val="0"/>
          <w:numId w:val="2"/>
        </w:numPr>
        <w:spacing w:after="80"/>
      </w:pPr>
      <w:r>
        <w:rPr>
          <w:rFonts w:ascii="Arial" w:cs="Arial" w:eastAsia="Arial" w:hAnsi="Arial"/>
          <w:b/>
          <w:bCs/>
          <w:color w:val="334155"/>
          <w:sz w:val="22"/>
          <w:szCs w:val="22"/>
        </w:rPr>
        <w:t xml:space="preserve">Scales from 10 to 500+ services without architectural changes</w:t>
      </w:r>
    </w:p>
    <w:p>
      <w:pPr>
        <w:spacing w:after="200"/>
      </w:pPr>
      <w:r>
        <w:t xml:space="preserve"/>
      </w:r>
    </w:p>
    <w:p>
      <w:r>
        <w:br w:type="page"/>
      </w:r>
    </w:p>
    <w:p>
      <w:pPr>
        <w:pStyle w:val="Heading1"/>
        <w:pBdr>
          <w:bottom w:val="single" w:color="0D7377" w:sz="4" w:space="4"/>
        </w:pBdr>
        <w:spacing w:before="360" w:after="200"/>
      </w:pPr>
      <w:r>
        <w:rPr>
          <w:rFonts w:ascii="Arial" w:cs="Arial" w:eastAsia="Arial" w:hAnsi="Arial"/>
          <w:b/>
          <w:bCs/>
          <w:color w:val="1E3A5F"/>
          <w:sz w:val="32"/>
          <w:szCs w:val="32"/>
        </w:rPr>
        <w:t xml:space="preserve">2. Architecture Overview</w:t>
      </w:r>
    </w:p>
    <w:p>
      <w:pPr>
        <w:pStyle w:val="Heading2"/>
        <w:spacing w:before="280" w:after="140"/>
      </w:pPr>
      <w:r>
        <w:rPr>
          <w:rFonts w:ascii="Arial" w:cs="Arial" w:eastAsia="Arial" w:hAnsi="Arial"/>
          <w:b/>
          <w:bCs/>
          <w:color w:val="0D7377"/>
          <w:sz w:val="26"/>
          <w:szCs w:val="26"/>
        </w:rPr>
        <w:t xml:space="preserve">2.1 Full Architecture Diagram</w:t>
      </w:r>
    </w:p>
    <w:p>
      <w:pPr>
        <w:spacing w:after="120"/>
      </w:pPr>
      <w:r>
        <w:rPr>
          <w:rFonts w:ascii="Arial" w:cs="Arial" w:eastAsia="Arial" w:hAnsi="Arial"/>
          <w:color w:val="334155"/>
          <w:sz w:val="22"/>
          <w:szCs w:val="22"/>
        </w:rPr>
        <w:t xml:space="preserve">The architecture follows a layered pipeline design with clear separation between collection, transport, aggregation, and storage. Each layer is independently scalable and controlled via GitOps.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E8F4FD"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Architecture Pipeline</w:t>
            </w:r>
          </w:p>
          <w:p>
            <w:r>
              <w:rPr>
                <w:rFonts w:ascii="Arial" w:cs="Arial" w:eastAsia="Arial" w:hAnsi="Arial"/>
                <w:color w:val="334155"/>
                <w:sz w:val="20"/>
                <w:szCs w:val="20"/>
              </w:rPr>
              <w:t xml:space="preserve">Applications (obs-SDK) → Collection Layer (Vector Agent + OTel Collector) → Transport Layer (Kafka on prod, direct on dev) → Aggregation Layer (Vector Aggregator + OTel Gateway) → Storage Backends (Loki + Mimir + Tempo) → Visualization (Grafana)</w:t>
            </w:r>
          </w:p>
        </w:tc>
      </w:tr>
    </w:tbl>
    <w:p>
      <w:pPr>
        <w:spacing w:after="120"/>
      </w:pPr>
      <w:r>
        <w:t xml:space="preserve"/>
      </w:r>
    </w:p>
    <w:p>
      <w:pPr>
        <w:pStyle w:val="Heading2"/>
        <w:spacing w:before="280" w:after="140"/>
      </w:pPr>
      <w:r>
        <w:rPr>
          <w:rFonts w:ascii="Arial" w:cs="Arial" w:eastAsia="Arial" w:hAnsi="Arial"/>
          <w:b/>
          <w:bCs/>
          <w:color w:val="0D7377"/>
          <w:sz w:val="26"/>
          <w:szCs w:val="26"/>
        </w:rPr>
        <w:t xml:space="preserve">2.2 Design Principles</w:t>
      </w:r>
    </w:p>
    <w:p>
      <w:pPr>
        <w:pStyle w:val="ListParagraph"/>
        <w:numPr>
          <w:ilvl w:val="0"/>
          <w:numId w:val="2"/>
        </w:numPr>
        <w:spacing w:after="80"/>
      </w:pPr>
      <w:r>
        <w:rPr>
          <w:rFonts w:ascii="Arial" w:cs="Arial" w:eastAsia="Arial" w:hAnsi="Arial"/>
          <w:b w:val="false"/>
          <w:bCs w:val="false"/>
          <w:color w:val="334155"/>
          <w:sz w:val="22"/>
          <w:szCs w:val="22"/>
        </w:rPr>
        <w:t xml:space="preserve">Vendor-agnostic — no lock-in to any single commercial vendor</w:t>
      </w:r>
    </w:p>
    <w:p>
      <w:pPr>
        <w:pStyle w:val="ListParagraph"/>
        <w:numPr>
          <w:ilvl w:val="0"/>
          <w:numId w:val="2"/>
        </w:numPr>
        <w:spacing w:after="80"/>
      </w:pPr>
      <w:r>
        <w:rPr>
          <w:rFonts w:ascii="Arial" w:cs="Arial" w:eastAsia="Arial" w:hAnsi="Arial"/>
          <w:b w:val="false"/>
          <w:bCs w:val="false"/>
          <w:color w:val="334155"/>
          <w:sz w:val="22"/>
          <w:szCs w:val="22"/>
        </w:rPr>
        <w:t xml:space="preserve">Data sovereignty — all data stored within Indian infrastructure for SEBI compliance</w:t>
      </w:r>
    </w:p>
    <w:p>
      <w:pPr>
        <w:pStyle w:val="ListParagraph"/>
        <w:numPr>
          <w:ilvl w:val="0"/>
          <w:numId w:val="2"/>
        </w:numPr>
        <w:spacing w:after="80"/>
      </w:pPr>
      <w:r>
        <w:rPr>
          <w:rFonts w:ascii="Arial" w:cs="Arial" w:eastAsia="Arial" w:hAnsi="Arial"/>
          <w:b w:val="false"/>
          <w:bCs w:val="false"/>
          <w:color w:val="334155"/>
          <w:sz w:val="22"/>
          <w:szCs w:val="22"/>
        </w:rPr>
        <w:t xml:space="preserve">Defense in depth — PII masking at edge, never travels over network unmasked</w:t>
      </w:r>
    </w:p>
    <w:p>
      <w:pPr>
        <w:pStyle w:val="ListParagraph"/>
        <w:numPr>
          <w:ilvl w:val="0"/>
          <w:numId w:val="2"/>
        </w:numPr>
        <w:spacing w:after="80"/>
      </w:pPr>
      <w:r>
        <w:rPr>
          <w:rFonts w:ascii="Arial" w:cs="Arial" w:eastAsia="Arial" w:hAnsi="Arial"/>
          <w:b w:val="false"/>
          <w:bCs w:val="false"/>
          <w:color w:val="334155"/>
          <w:sz w:val="22"/>
          <w:szCs w:val="22"/>
        </w:rPr>
        <w:t xml:space="preserve">GitOps-first — all configuration changes are auditable, peer-reviewed, and rollback-ready</w:t>
      </w:r>
    </w:p>
    <w:p>
      <w:pPr>
        <w:pStyle w:val="ListParagraph"/>
        <w:numPr>
          <w:ilvl w:val="0"/>
          <w:numId w:val="2"/>
        </w:numPr>
        <w:spacing w:after="80"/>
      </w:pPr>
      <w:r>
        <w:rPr>
          <w:rFonts w:ascii="Arial" w:cs="Arial" w:eastAsia="Arial" w:hAnsi="Arial"/>
          <w:b w:val="false"/>
          <w:bCs w:val="false"/>
          <w:color w:val="334155"/>
          <w:sz w:val="22"/>
          <w:szCs w:val="22"/>
        </w:rPr>
        <w:t xml:space="preserve">Polyglot support — consistent observability across Go, Python, Node.js, and .NET</w:t>
      </w:r>
    </w:p>
    <w:p>
      <w:pPr>
        <w:pStyle w:val="ListParagraph"/>
        <w:numPr>
          <w:ilvl w:val="0"/>
          <w:numId w:val="2"/>
        </w:numPr>
        <w:spacing w:after="80"/>
      </w:pPr>
      <w:r>
        <w:rPr>
          <w:rFonts w:ascii="Arial" w:cs="Arial" w:eastAsia="Arial" w:hAnsi="Arial"/>
          <w:b w:val="false"/>
          <w:bCs w:val="false"/>
          <w:color w:val="334155"/>
          <w:sz w:val="22"/>
          <w:szCs w:val="22"/>
        </w:rPr>
        <w:t xml:space="preserve">Failure isolation — log pipeline failure does not impact trace or metric collection</w:t>
      </w:r>
    </w:p>
    <w:p>
      <w:pPr>
        <w:pStyle w:val="ListParagraph"/>
        <w:numPr>
          <w:ilvl w:val="0"/>
          <w:numId w:val="2"/>
        </w:numPr>
        <w:spacing w:after="80"/>
      </w:pPr>
      <w:r>
        <w:rPr>
          <w:rFonts w:ascii="Arial" w:cs="Arial" w:eastAsia="Arial" w:hAnsi="Arial"/>
          <w:b w:val="false"/>
          <w:bCs w:val="false"/>
          <w:color w:val="334155"/>
          <w:sz w:val="22"/>
          <w:szCs w:val="22"/>
        </w:rPr>
        <w:t xml:space="preserve">Auto-scales — DaemonSet deployment means new nodes are automatically observable</w:t>
      </w:r>
    </w:p>
    <w:p>
      <w:pPr>
        <w:spacing w:after="200"/>
      </w:pPr>
      <w:r>
        <w:t xml:space="preserve"/>
      </w:r>
    </w:p>
    <w:p>
      <w:pPr>
        <w:pStyle w:val="Heading2"/>
        <w:spacing w:before="280" w:after="140"/>
      </w:pPr>
      <w:r>
        <w:rPr>
          <w:rFonts w:ascii="Arial" w:cs="Arial" w:eastAsia="Arial" w:hAnsi="Arial"/>
          <w:b/>
          <w:bCs/>
          <w:color w:val="0D7377"/>
          <w:sz w:val="26"/>
          <w:szCs w:val="26"/>
        </w:rPr>
        <w:t xml:space="preserve">2.3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Production</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Log Transport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Kafka (buffered, durable)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Direct to Loki (simpler)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Trace Sampling</w:t>
            </w:r>
          </w:p>
        </w:tc>
        <w:tc>
          <w:tcPr>
            <w:tcW w:type="dxa" w:w="32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Tail-based 5% + 100% errors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No sampling, all traces kept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PII Masking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Enforced at Vector Agent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Enforced at Vector Agent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Retention</w:t>
            </w:r>
          </w:p>
        </w:tc>
        <w:tc>
          <w:tcPr>
            <w:tcW w:type="dxa" w:w="32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Logs 30d, Metrics 90d, Traces 7d</w:t>
            </w:r>
          </w:p>
        </w:tc>
        <w:tc>
          <w:tcPr>
            <w:tcW w:type="dxa" w:w="32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Logs 7d, Metrics 30d, Traces 3d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Alert Routing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PagerDuty (P0/P1) + Slack (P2)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Slack only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Backends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Clustered, HA</w:t>
            </w:r>
          </w:p>
        </w:tc>
        <w:tc>
          <w:tcPr>
            <w:tcW w:type="dxa" w:w="32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Single-node, docker-compose</w:t>
            </w:r>
          </w:p>
        </w:tc>
      </w:tr>
    </w:tbl>
    <w:p>
      <w:pPr>
        <w:spacing w:after="200"/>
      </w:pPr>
      <w:r>
        <w:t xml:space="preserve"/>
      </w:r>
    </w:p>
    <w:p>
      <w:r>
        <w:br w:type="page"/>
      </w:r>
    </w:p>
    <w:p>
      <w:pPr>
        <w:pStyle w:val="Heading1"/>
        <w:pBdr>
          <w:bottom w:val="single" w:color="0D7377" w:sz="4" w:space="4"/>
        </w:pBdr>
        <w:spacing w:before="360" w:after="200"/>
      </w:pPr>
      <w:r>
        <w:rPr>
          <w:rFonts w:ascii="Arial" w:cs="Arial" w:eastAsia="Arial" w:hAnsi="Arial"/>
          <w:b/>
          <w:bCs/>
          <w:color w:val="1E3A5F"/>
          <w:sz w:val="32"/>
          <w:szCs w:val="32"/>
        </w:rPr>
        <w:t xml:space="preserve">3. Technology Stack</w:t>
      </w:r>
    </w:p>
    <w:p>
      <w:pPr>
        <w:pStyle w:val="Heading2"/>
        <w:spacing w:before="280" w:after="140"/>
      </w:pPr>
      <w:r>
        <w:rPr>
          <w:rFonts w:ascii="Arial" w:cs="Arial" w:eastAsia="Arial" w:hAnsi="Arial"/>
          <w:b/>
          <w:bCs/>
          <w:color w:val="0D7377"/>
          <w:sz w:val="26"/>
          <w:szCs w:val="26"/>
        </w:rPr>
        <w:t xml:space="preserve">3.1 Why LGTM Stack (Loki + Grafana + Tempo + Mimir)</w:t>
      </w:r>
    </w:p>
    <w:p>
      <w:pPr>
        <w:spacing w:after="120"/>
      </w:pPr>
      <w:r>
        <w:rPr>
          <w:rFonts w:ascii="Arial" w:cs="Arial" w:eastAsia="Arial" w:hAnsi="Arial"/>
          <w:color w:val="334155"/>
          <w:sz w:val="22"/>
          <w:szCs w:val="22"/>
        </w:rPr>
        <w:t xml:space="preserve">After evaluating all major observability stacks, the Grafana LGTM stack is the optimal choice for our greenfield setup. All four components are built by the same team to work natively together, providing out-of-the-box correlation between logs, metrics, and traces in Grafana.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1660"/>
        <w:gridCol w:w="12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Stack</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Industry Adoption</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Resource Cost</w:t>
            </w:r>
          </w:p>
        </w:tc>
        <w:tc>
          <w:tcPr>
            <w:tcW w:type="dxa" w:w="16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Grafana Integration</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SEBI Fit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LGTM (Recommended)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Mainstream, thousands of companies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Low</w:t>
            </w:r>
          </w:p>
        </w:tc>
        <w:tc>
          <w:tcPr>
            <w:tcW w:type="dxa" w:w="1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Native (same vendor)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Full self-hosted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ELK Stack</w:t>
            </w:r>
          </w:p>
        </w:tc>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Legacy standard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Very High</w:t>
            </w:r>
          </w:p>
        </w:tc>
        <w:tc>
          <w:tcPr>
            <w:tcW w:type="dxa" w:w="16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Plugin only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Self-hosted possible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VictoriaMetrics Family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Growing, efficient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Lowest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Good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Self-hosted possible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Datadog SaaS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Enterprise standard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Very High ($15-25K/mo)</w:t>
            </w:r>
          </w:p>
        </w:tc>
        <w:tc>
          <w:tcPr>
            <w:tcW w:type="dxa" w:w="16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Native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Data residency risk</w:t>
            </w:r>
          </w:p>
        </w:tc>
      </w:tr>
    </w:tbl>
    <w:p>
      <w:pPr>
        <w:spacing w:after="120"/>
      </w:pPr>
      <w:r>
        <w:t xml:space="preserve"/>
      </w:r>
    </w:p>
    <w:p>
      <w:pPr>
        <w:pStyle w:val="Heading2"/>
        <w:spacing w:before="280" w:after="140"/>
      </w:pPr>
      <w:r>
        <w:rPr>
          <w:rFonts w:ascii="Arial" w:cs="Arial" w:eastAsia="Arial" w:hAnsi="Arial"/>
          <w:b/>
          <w:bCs/>
          <w:color w:val="0D7377"/>
          <w:sz w:val="26"/>
          <w:szCs w:val="26"/>
        </w:rPr>
        <w:t xml:space="preserve">3.2 Collection Layer</w:t>
      </w:r>
    </w:p>
    <w:p>
      <w:pPr>
        <w:pStyle w:val="Heading3"/>
        <w:spacing w:before="200" w:after="100"/>
      </w:pPr>
      <w:r>
        <w:rPr>
          <w:rFonts w:ascii="Arial" w:cs="Arial" w:eastAsia="Arial" w:hAnsi="Arial"/>
          <w:b/>
          <w:bCs/>
          <w:color w:val="334155"/>
          <w:sz w:val="22"/>
          <w:szCs w:val="22"/>
        </w:rPr>
        <w:t xml:space="preserve">Vector Agent</w:t>
      </w:r>
    </w:p>
    <w:p>
      <w:pPr>
        <w:spacing w:after="120"/>
      </w:pPr>
      <w:r>
        <w:rPr>
          <w:rFonts w:ascii="Arial" w:cs="Arial" w:eastAsia="Arial" w:hAnsi="Arial"/>
          <w:color w:val="334155"/>
          <w:sz w:val="22"/>
          <w:szCs w:val="22"/>
        </w:rPr>
        <w:t xml:space="preserve">Vector is a high-performance, Rust-based data pipeline tool for log collection, transformation, and routing. It is deployed as a DaemonSet (one per node) and is responsible for:</w:t>
      </w:r>
    </w:p>
    <w:p>
      <w:pPr>
        <w:pStyle w:val="ListParagraph"/>
        <w:numPr>
          <w:ilvl w:val="0"/>
          <w:numId w:val="2"/>
        </w:numPr>
        <w:spacing w:after="80"/>
      </w:pPr>
      <w:r>
        <w:rPr>
          <w:rFonts w:ascii="Arial" w:cs="Arial" w:eastAsia="Arial" w:hAnsi="Arial"/>
          <w:b w:val="false"/>
          <w:bCs w:val="false"/>
          <w:color w:val="334155"/>
          <w:sz w:val="22"/>
          <w:szCs w:val="22"/>
        </w:rPr>
        <w:t xml:space="preserve">Reading application logs from stdout and file paths</w:t>
      </w:r>
    </w:p>
    <w:p>
      <w:pPr>
        <w:pStyle w:val="ListParagraph"/>
        <w:numPr>
          <w:ilvl w:val="0"/>
          <w:numId w:val="2"/>
        </w:numPr>
        <w:spacing w:after="80"/>
      </w:pPr>
      <w:r>
        <w:rPr>
          <w:rFonts w:ascii="Arial" w:cs="Arial" w:eastAsia="Arial" w:hAnsi="Arial"/>
          <w:b w:val="false"/>
          <w:bCs w:val="false"/>
          <w:color w:val="334155"/>
          <w:sz w:val="22"/>
          <w:szCs w:val="22"/>
        </w:rPr>
        <w:t xml:space="preserve">Parsing structured JSON logs into the OpenTelemetry log data model</w:t>
      </w:r>
    </w:p>
    <w:p>
      <w:pPr>
        <w:pStyle w:val="ListParagraph"/>
        <w:numPr>
          <w:ilvl w:val="0"/>
          <w:numId w:val="2"/>
        </w:numPr>
        <w:spacing w:after="80"/>
      </w:pPr>
      <w:r>
        <w:rPr>
          <w:rFonts w:ascii="Arial" w:cs="Arial" w:eastAsia="Arial" w:hAnsi="Arial"/>
          <w:b w:val="false"/>
          <w:bCs w:val="false"/>
          <w:color w:val="334155"/>
          <w:sz w:val="22"/>
          <w:szCs w:val="22"/>
        </w:rPr>
        <w:t xml:space="preserve">Applying SEBI-mandated PII masking (PAN, Aadhaar, card numbers, phone, email)</w:t>
      </w:r>
    </w:p>
    <w:p>
      <w:pPr>
        <w:pStyle w:val="ListParagraph"/>
        <w:numPr>
          <w:ilvl w:val="0"/>
          <w:numId w:val="2"/>
        </w:numPr>
        <w:spacing w:after="80"/>
      </w:pPr>
      <w:r>
        <w:rPr>
          <w:rFonts w:ascii="Arial" w:cs="Arial" w:eastAsia="Arial" w:hAnsi="Arial"/>
          <w:b w:val="false"/>
          <w:bCs w:val="false"/>
          <w:color w:val="334155"/>
          <w:sz w:val="22"/>
          <w:szCs w:val="22"/>
        </w:rPr>
        <w:t xml:space="preserve">Routing logs to Kafka (production) or directly to Loki (development)</w:t>
      </w:r>
    </w:p>
    <w:p>
      <w:pPr>
        <w:spacing w:after="80"/>
      </w:pPr>
      <w:r>
        <w:t xml:space="preserve"/>
      </w:r>
    </w:p>
    <w:p>
      <w:pPr>
        <w:pStyle w:val="Heading3"/>
        <w:spacing w:before="200" w:after="100"/>
      </w:pPr>
      <w:r>
        <w:rPr>
          <w:rFonts w:ascii="Arial" w:cs="Arial" w:eastAsia="Arial" w:hAnsi="Arial"/>
          <w:b/>
          <w:bCs/>
          <w:color w:val="334155"/>
          <w:sz w:val="22"/>
          <w:szCs w:val="22"/>
        </w:rPr>
        <w:t xml:space="preserve">OpenTelemetry Collector</w:t>
      </w:r>
    </w:p>
    <w:p>
      <w:pPr>
        <w:spacing w:after="120"/>
      </w:pPr>
      <w:r>
        <w:rPr>
          <w:rFonts w:ascii="Arial" w:cs="Arial" w:eastAsia="Arial" w:hAnsi="Arial"/>
          <w:color w:val="334155"/>
          <w:sz w:val="22"/>
          <w:szCs w:val="22"/>
        </w:rPr>
        <w:t xml:space="preserve">The OTel Collector is deployed as a DaemonSet alongside Vector and is responsible for:</w:t>
      </w:r>
    </w:p>
    <w:p>
      <w:pPr>
        <w:pStyle w:val="ListParagraph"/>
        <w:numPr>
          <w:ilvl w:val="0"/>
          <w:numId w:val="2"/>
        </w:numPr>
        <w:spacing w:after="80"/>
      </w:pPr>
      <w:r>
        <w:rPr>
          <w:rFonts w:ascii="Arial" w:cs="Arial" w:eastAsia="Arial" w:hAnsi="Arial"/>
          <w:b w:val="false"/>
          <w:bCs w:val="false"/>
          <w:color w:val="334155"/>
          <w:sz w:val="22"/>
          <w:szCs w:val="22"/>
        </w:rPr>
        <w:t xml:space="preserve">Receiving OTLP metrics and traces from all application services</w:t>
      </w:r>
    </w:p>
    <w:p>
      <w:pPr>
        <w:pStyle w:val="ListParagraph"/>
        <w:numPr>
          <w:ilvl w:val="0"/>
          <w:numId w:val="2"/>
        </w:numPr>
        <w:spacing w:after="80"/>
      </w:pPr>
      <w:r>
        <w:rPr>
          <w:rFonts w:ascii="Arial" w:cs="Arial" w:eastAsia="Arial" w:hAnsi="Arial"/>
          <w:b w:val="false"/>
          <w:bCs w:val="false"/>
          <w:color w:val="334155"/>
          <w:sz w:val="22"/>
          <w:szCs w:val="22"/>
        </w:rPr>
        <w:t xml:space="preserve">Collecting host metrics (CPU, memory, disk, network) via hostmetrics receiver</w:t>
      </w:r>
    </w:p>
    <w:p>
      <w:pPr>
        <w:pStyle w:val="ListParagraph"/>
        <w:numPr>
          <w:ilvl w:val="0"/>
          <w:numId w:val="2"/>
        </w:numPr>
        <w:spacing w:after="80"/>
      </w:pPr>
      <w:r>
        <w:rPr>
          <w:rFonts w:ascii="Arial" w:cs="Arial" w:eastAsia="Arial" w:hAnsi="Arial"/>
          <w:b w:val="false"/>
          <w:bCs w:val="false"/>
          <w:color w:val="334155"/>
          <w:sz w:val="22"/>
          <w:szCs w:val="22"/>
        </w:rPr>
        <w:t xml:space="preserve">Collecting Kubernetes cluster and pod metrics</w:t>
      </w:r>
    </w:p>
    <w:p>
      <w:pPr>
        <w:pStyle w:val="ListParagraph"/>
        <w:numPr>
          <w:ilvl w:val="0"/>
          <w:numId w:val="2"/>
        </w:numPr>
        <w:spacing w:after="80"/>
      </w:pPr>
      <w:r>
        <w:rPr>
          <w:rFonts w:ascii="Arial" w:cs="Arial" w:eastAsia="Arial" w:hAnsi="Arial"/>
          <w:b w:val="false"/>
          <w:bCs w:val="false"/>
          <w:color w:val="334155"/>
          <w:sz w:val="22"/>
          <w:szCs w:val="22"/>
        </w:rPr>
        <w:t xml:space="preserve">Collecting dependency metrics: PostgreSQL, Redis, Kafka, NGINX</w:t>
      </w:r>
    </w:p>
    <w:p>
      <w:pPr>
        <w:pStyle w:val="ListParagraph"/>
        <w:numPr>
          <w:ilvl w:val="0"/>
          <w:numId w:val="2"/>
        </w:numPr>
        <w:spacing w:after="80"/>
      </w:pPr>
      <w:r>
        <w:rPr>
          <w:rFonts w:ascii="Arial" w:cs="Arial" w:eastAsia="Arial" w:hAnsi="Arial"/>
          <w:b w:val="false"/>
          <w:bCs w:val="false"/>
          <w:color w:val="334155"/>
          <w:sz w:val="22"/>
          <w:szCs w:val="22"/>
        </w:rPr>
        <w:t xml:space="preserve">Forwarding metrics to Mimir and traces to the OTel Gateway</w:t>
      </w:r>
    </w:p>
    <w:p>
      <w:pPr>
        <w:spacing w:after="120"/>
      </w:pPr>
      <w:r>
        <w:t xml:space="preserve"/>
      </w:r>
    </w:p>
    <w:p>
      <w:pPr>
        <w:pStyle w:val="Heading2"/>
        <w:spacing w:before="280" w:after="140"/>
      </w:pPr>
      <w:r>
        <w:rPr>
          <w:rFonts w:ascii="Arial" w:cs="Arial" w:eastAsia="Arial" w:hAnsi="Arial"/>
          <w:b/>
          <w:bCs/>
          <w:color w:val="0D7377"/>
          <w:sz w:val="26"/>
          <w:szCs w:val="26"/>
        </w:rPr>
        <w:t xml:space="preserve">3.3 Aggregation Layer</w:t>
      </w:r>
    </w:p>
    <w:p>
      <w:pPr>
        <w:pStyle w:val="Heading3"/>
        <w:spacing w:before="200" w:after="100"/>
      </w:pPr>
      <w:r>
        <w:rPr>
          <w:rFonts w:ascii="Arial" w:cs="Arial" w:eastAsia="Arial" w:hAnsi="Arial"/>
          <w:b/>
          <w:bCs/>
          <w:color w:val="334155"/>
          <w:sz w:val="22"/>
          <w:szCs w:val="22"/>
        </w:rPr>
        <w:t xml:space="preserve">Vector Aggregator</w:t>
      </w:r>
    </w:p>
    <w:p>
      <w:pPr>
        <w:spacing w:after="120"/>
      </w:pPr>
      <w:r>
        <w:rPr>
          <w:rFonts w:ascii="Arial" w:cs="Arial" w:eastAsia="Arial" w:hAnsi="Arial"/>
          <w:color w:val="334155"/>
          <w:sz w:val="22"/>
          <w:szCs w:val="22"/>
        </w:rPr>
        <w:t xml:space="preserve">A central Vector instance (Deployment mode, 2 replicas for HA) that consumes from Kafka and performs:</w:t>
      </w:r>
    </w:p>
    <w:p>
      <w:pPr>
        <w:pStyle w:val="ListParagraph"/>
        <w:numPr>
          <w:ilvl w:val="0"/>
          <w:numId w:val="2"/>
        </w:numPr>
        <w:spacing w:after="80"/>
      </w:pPr>
      <w:r>
        <w:rPr>
          <w:rFonts w:ascii="Arial" w:cs="Arial" w:eastAsia="Arial" w:hAnsi="Arial"/>
          <w:b w:val="false"/>
          <w:bCs w:val="false"/>
          <w:color w:val="334155"/>
          <w:sz w:val="22"/>
          <w:szCs w:val="22"/>
        </w:rPr>
        <w:t xml:space="preserve">Log deduplication and enrichment with TraceID for cross-signal correlation</w:t>
      </w:r>
    </w:p>
    <w:p>
      <w:pPr>
        <w:pStyle w:val="ListParagraph"/>
        <w:numPr>
          <w:ilvl w:val="0"/>
          <w:numId w:val="2"/>
        </w:numPr>
        <w:spacing w:after="80"/>
      </w:pPr>
      <w:r>
        <w:rPr>
          <w:rFonts w:ascii="Arial" w:cs="Arial" w:eastAsia="Arial" w:hAnsi="Arial"/>
          <w:b w:val="false"/>
          <w:bCs w:val="false"/>
          <w:color w:val="334155"/>
          <w:sz w:val="22"/>
          <w:szCs w:val="22"/>
        </w:rPr>
        <w:t xml:space="preserve">Routing by log type (app logs, DDL audit logs, security events)</w:t>
      </w:r>
    </w:p>
    <w:p>
      <w:pPr>
        <w:pStyle w:val="ListParagraph"/>
        <w:numPr>
          <w:ilvl w:val="0"/>
          <w:numId w:val="2"/>
        </w:numPr>
        <w:spacing w:after="80"/>
      </w:pPr>
      <w:r>
        <w:rPr>
          <w:rFonts w:ascii="Arial" w:cs="Arial" w:eastAsia="Arial" w:hAnsi="Arial"/>
          <w:b w:val="false"/>
          <w:bCs w:val="false"/>
          <w:color w:val="334155"/>
          <w:sz w:val="22"/>
          <w:szCs w:val="22"/>
        </w:rPr>
        <w:t xml:space="preserve">Long-term compliance routing to S3 for SEBI 7-year retention requirement</w:t>
      </w:r>
    </w:p>
    <w:p>
      <w:pPr>
        <w:spacing w:after="80"/>
      </w:pPr>
      <w:r>
        <w:t xml:space="preserve"/>
      </w:r>
    </w:p>
    <w:p>
      <w:pPr>
        <w:pStyle w:val="Heading3"/>
        <w:spacing w:before="200" w:after="100"/>
      </w:pPr>
      <w:r>
        <w:rPr>
          <w:rFonts w:ascii="Arial" w:cs="Arial" w:eastAsia="Arial" w:hAnsi="Arial"/>
          <w:b/>
          <w:bCs/>
          <w:color w:val="334155"/>
          <w:sz w:val="22"/>
          <w:szCs w:val="22"/>
        </w:rPr>
        <w:t xml:space="preserve">OTel Gateway</w:t>
      </w:r>
    </w:p>
    <w:p>
      <w:pPr>
        <w:spacing w:after="120"/>
      </w:pPr>
      <w:r>
        <w:rPr>
          <w:rFonts w:ascii="Arial" w:cs="Arial" w:eastAsia="Arial" w:hAnsi="Arial"/>
          <w:color w:val="334155"/>
          <w:sz w:val="22"/>
          <w:szCs w:val="22"/>
        </w:rPr>
        <w:t xml:space="preserve">A central OTel Collector in Deployment mode that performs tail-based sampling on traces:</w:t>
      </w:r>
    </w:p>
    <w:p>
      <w:pPr>
        <w:pStyle w:val="ListParagraph"/>
        <w:numPr>
          <w:ilvl w:val="0"/>
          <w:numId w:val="2"/>
        </w:numPr>
        <w:spacing w:after="80"/>
      </w:pPr>
      <w:r>
        <w:rPr>
          <w:rFonts w:ascii="Arial" w:cs="Arial" w:eastAsia="Arial" w:hAnsi="Arial"/>
          <w:b w:val="false"/>
          <w:bCs w:val="false"/>
          <w:color w:val="334155"/>
          <w:sz w:val="22"/>
          <w:szCs w:val="22"/>
        </w:rPr>
        <w:t xml:space="preserve">Keeps 100% of error traces — no sampling loss for debugging</w:t>
      </w:r>
    </w:p>
    <w:p>
      <w:pPr>
        <w:pStyle w:val="ListParagraph"/>
        <w:numPr>
          <w:ilvl w:val="0"/>
          <w:numId w:val="2"/>
        </w:numPr>
        <w:spacing w:after="80"/>
      </w:pPr>
      <w:r>
        <w:rPr>
          <w:rFonts w:ascii="Arial" w:cs="Arial" w:eastAsia="Arial" w:hAnsi="Arial"/>
          <w:b w:val="false"/>
          <w:bCs w:val="false"/>
          <w:color w:val="334155"/>
          <w:sz w:val="22"/>
          <w:szCs w:val="22"/>
        </w:rPr>
        <w:t xml:space="preserve">Keeps 100% of slow traces (&gt; 1 second)</w:t>
      </w:r>
    </w:p>
    <w:p>
      <w:pPr>
        <w:pStyle w:val="ListParagraph"/>
        <w:numPr>
          <w:ilvl w:val="0"/>
          <w:numId w:val="2"/>
        </w:numPr>
        <w:spacing w:after="80"/>
      </w:pPr>
      <w:r>
        <w:rPr>
          <w:rFonts w:ascii="Arial" w:cs="Arial" w:eastAsia="Arial" w:hAnsi="Arial"/>
          <w:b w:val="false"/>
          <w:bCs w:val="false"/>
          <w:color w:val="334155"/>
          <w:sz w:val="22"/>
          <w:szCs w:val="22"/>
        </w:rPr>
        <w:t xml:space="preserve">Keeps 100% of financial service traces (order, payment, broking)</w:t>
      </w:r>
    </w:p>
    <w:p>
      <w:pPr>
        <w:pStyle w:val="ListParagraph"/>
        <w:numPr>
          <w:ilvl w:val="0"/>
          <w:numId w:val="2"/>
        </w:numPr>
        <w:spacing w:after="80"/>
      </w:pPr>
      <w:r>
        <w:rPr>
          <w:rFonts w:ascii="Arial" w:cs="Arial" w:eastAsia="Arial" w:hAnsi="Arial"/>
          <w:b w:val="false"/>
          <w:bCs w:val="false"/>
          <w:color w:val="334155"/>
          <w:sz w:val="22"/>
          <w:szCs w:val="22"/>
        </w:rPr>
        <w:t xml:space="preserve">Samples 5% of successful fast traces — reduces storage cost by 20x</w:t>
      </w:r>
    </w:p>
    <w:p>
      <w:pPr>
        <w:spacing w:after="200"/>
      </w:pPr>
      <w:r>
        <w:t xml:space="preserve"/>
      </w:r>
    </w:p>
    <w:p>
      <w:r>
        <w:br w:type="page"/>
      </w:r>
    </w:p>
    <w:p>
      <w:pPr>
        <w:pStyle w:val="Heading1"/>
        <w:pBdr>
          <w:bottom w:val="single" w:color="0D7377" w:sz="4" w:space="4"/>
        </w:pBdr>
        <w:spacing w:before="360" w:after="200"/>
      </w:pPr>
      <w:r>
        <w:rPr>
          <w:rFonts w:ascii="Arial" w:cs="Arial" w:eastAsia="Arial" w:hAnsi="Arial"/>
          <w:b/>
          <w:bCs/>
          <w:color w:val="1E3A5F"/>
          <w:sz w:val="32"/>
          <w:szCs w:val="32"/>
        </w:rPr>
        <w:t xml:space="preserve">4. Platform Observability SDK</w:t>
      </w:r>
    </w:p>
    <w:p>
      <w:pPr>
        <w:pStyle w:val="Heading2"/>
        <w:spacing w:before="280" w:after="140"/>
      </w:pPr>
      <w:r>
        <w:rPr>
          <w:rFonts w:ascii="Arial" w:cs="Arial" w:eastAsia="Arial" w:hAnsi="Arial"/>
          <w:b/>
          <w:bCs/>
          <w:color w:val="0D7377"/>
          <w:sz w:val="26"/>
          <w:szCs w:val="26"/>
        </w:rPr>
        <w:t xml:space="preserve">4.1 The Standard SDK Model</w:t>
      </w:r>
    </w:p>
    <w:p>
      <w:pPr>
        <w:spacing w:after="120"/>
      </w:pPr>
      <w:r>
        <w:rPr>
          <w:rFonts w:ascii="Arial" w:cs="Arial" w:eastAsia="Arial" w:hAnsi="Arial"/>
          <w:color w:val="334155"/>
          <w:sz w:val="22"/>
          <w:szCs w:val="22"/>
        </w:rPr>
        <w:t xml:space="preserve">The Platform Engineering team will publish and maintain an internal observability SDK for each language used at Centricity. This is the most critical investment in the entire observability program — it ensures every service is compliant from day one with zero effort from service teams.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E8F4FD"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SDK Philosophy</w:t>
            </w:r>
          </w:p>
          <w:p>
            <w:r>
              <w:rPr>
                <w:rFonts w:ascii="Arial" w:cs="Arial" w:eastAsia="Arial" w:hAnsi="Arial"/>
                <w:color w:val="334155"/>
                <w:sz w:val="20"/>
                <w:szCs w:val="20"/>
              </w:rPr>
              <w:t xml:space="preserve">Service teams should never configure OTel directly. The platform SDK abstracts all complexity — exporters, samplers, resource attributes, PII masking, and metric naming conventions. A service becomes fully observable with a single initialization call.</w:t>
            </w:r>
          </w:p>
        </w:tc>
      </w:tr>
    </w:tbl>
    <w:p>
      <w:pPr>
        <w:spacing w:after="120"/>
      </w:pPr>
      <w:r>
        <w:t xml:space="preserve"/>
      </w:r>
    </w:p>
    <w:p>
      <w:pPr>
        <w:pStyle w:val="Heading2"/>
        <w:spacing w:before="280" w:after="140"/>
      </w:pPr>
      <w:r>
        <w:rPr>
          <w:rFonts w:ascii="Arial" w:cs="Arial" w:eastAsia="Arial" w:hAnsi="Arial"/>
          <w:b/>
          <w:bCs/>
          <w:color w:val="0D7377"/>
          <w:sz w:val="26"/>
          <w:szCs w:val="26"/>
        </w:rPr>
        <w:t xml:space="preserve">4.2 SDK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Language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Package Name</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Install</w:t>
            </w:r>
          </w:p>
        </w:tc>
        <w:tc>
          <w:tcPr>
            <w:tcW w:type="dxa" w:w="31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Init (Service Code)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Go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centricity/obs-go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go get github.com/centricity/obs-go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obs.Init("service-name", "v1.0.0")</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Python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centricity-obs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pip install centricity-obs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init_observability(service_name="svc", version="1.0.0")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Node.js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@centricity/obs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npm install @centricity/obs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initObs({ serviceName: "svc", version: "1.0.0" })</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.NET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Centricity.Observability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dotnet add package Centricity.Observability</w:t>
            </w:r>
          </w:p>
        </w:tc>
        <w:tc>
          <w:tcPr>
            <w:tcW w:type="dxa" w:w="3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builder.Services.AddCentricityObservability(...)</w:t>
            </w:r>
          </w:p>
        </w:tc>
      </w:tr>
    </w:tbl>
    <w:p>
      <w:pPr>
        <w:spacing w:after="120"/>
      </w:pPr>
      <w:r>
        <w:t xml:space="preserve"/>
      </w:r>
    </w:p>
    <w:p>
      <w:pPr>
        <w:pStyle w:val="Heading2"/>
        <w:spacing w:before="280" w:after="140"/>
      </w:pPr>
      <w:r>
        <w:rPr>
          <w:rFonts w:ascii="Arial" w:cs="Arial" w:eastAsia="Arial" w:hAnsi="Arial"/>
          <w:b/>
          <w:bCs/>
          <w:color w:val="0D7377"/>
          <w:sz w:val="26"/>
          <w:szCs w:val="26"/>
        </w:rPr>
        <w:t xml:space="preserve">4.3 What the SDK Handles (Hidden from Service Teams)</w:t>
      </w:r>
    </w:p>
    <w:p>
      <w:pPr>
        <w:pStyle w:val="ListParagraph"/>
        <w:numPr>
          <w:ilvl w:val="0"/>
          <w:numId w:val="2"/>
        </w:numPr>
        <w:spacing w:after="80"/>
      </w:pPr>
      <w:r>
        <w:rPr>
          <w:rFonts w:ascii="Arial" w:cs="Arial" w:eastAsia="Arial" w:hAnsi="Arial"/>
          <w:b w:val="false"/>
          <w:bCs w:val="false"/>
          <w:color w:val="334155"/>
          <w:sz w:val="22"/>
          <w:szCs w:val="22"/>
        </w:rPr>
        <w:t xml:space="preserve">OTel SDK initialization and configuration</w:t>
      </w:r>
    </w:p>
    <w:p>
      <w:pPr>
        <w:pStyle w:val="ListParagraph"/>
        <w:numPr>
          <w:ilvl w:val="0"/>
          <w:numId w:val="2"/>
        </w:numPr>
        <w:spacing w:after="80"/>
      </w:pPr>
      <w:r>
        <w:rPr>
          <w:rFonts w:ascii="Arial" w:cs="Arial" w:eastAsia="Arial" w:hAnsi="Arial"/>
          <w:b w:val="false"/>
          <w:bCs w:val="false"/>
          <w:color w:val="334155"/>
          <w:sz w:val="22"/>
          <w:szCs w:val="22"/>
        </w:rPr>
        <w:t xml:space="preserve">OTLP exporter setup (endpoint, retry, timeout, backpressure)</w:t>
      </w:r>
    </w:p>
    <w:p>
      <w:pPr>
        <w:pStyle w:val="ListParagraph"/>
        <w:numPr>
          <w:ilvl w:val="0"/>
          <w:numId w:val="2"/>
        </w:numPr>
        <w:spacing w:after="80"/>
      </w:pPr>
      <w:r>
        <w:rPr>
          <w:rFonts w:ascii="Arial" w:cs="Arial" w:eastAsia="Arial" w:hAnsi="Arial"/>
          <w:b w:val="false"/>
          <w:bCs w:val="false"/>
          <w:color w:val="334155"/>
          <w:sz w:val="22"/>
          <w:szCs w:val="22"/>
        </w:rPr>
        <w:t xml:space="preserve">Resource attributes: service.name, service.version, deployment.environment, host.name</w:t>
      </w:r>
    </w:p>
    <w:p>
      <w:pPr>
        <w:pStyle w:val="ListParagraph"/>
        <w:numPr>
          <w:ilvl w:val="0"/>
          <w:numId w:val="2"/>
        </w:numPr>
        <w:spacing w:after="80"/>
      </w:pPr>
      <w:r>
        <w:rPr>
          <w:rFonts w:ascii="Arial" w:cs="Arial" w:eastAsia="Arial" w:hAnsi="Arial"/>
          <w:b w:val="false"/>
          <w:bCs w:val="false"/>
          <w:color w:val="334155"/>
          <w:sz w:val="22"/>
          <w:szCs w:val="22"/>
        </w:rPr>
        <w:t xml:space="preserve">W3C TraceContext propagation across HTTP and gRPC calls</w:t>
      </w:r>
    </w:p>
    <w:p>
      <w:pPr>
        <w:pStyle w:val="ListParagraph"/>
        <w:numPr>
          <w:ilvl w:val="0"/>
          <w:numId w:val="2"/>
        </w:numPr>
        <w:spacing w:after="80"/>
      </w:pPr>
      <w:r>
        <w:rPr>
          <w:rFonts w:ascii="Arial" w:cs="Arial" w:eastAsia="Arial" w:hAnsi="Arial"/>
          <w:b w:val="false"/>
          <w:bCs w:val="false"/>
          <w:color w:val="334155"/>
          <w:sz w:val="22"/>
          <w:szCs w:val="22"/>
        </w:rPr>
        <w:t xml:space="preserve">Trace context injection into every log line (trace_id, span_id)</w:t>
      </w:r>
    </w:p>
    <w:p>
      <w:pPr>
        <w:pStyle w:val="ListParagraph"/>
        <w:numPr>
          <w:ilvl w:val="0"/>
          <w:numId w:val="2"/>
        </w:numPr>
        <w:spacing w:after="80"/>
      </w:pPr>
      <w:r>
        <w:rPr>
          <w:rFonts w:ascii="Arial" w:cs="Arial" w:eastAsia="Arial" w:hAnsi="Arial"/>
          <w:b w:val="false"/>
          <w:bCs w:val="false"/>
          <w:color w:val="334155"/>
          <w:sz w:val="22"/>
          <w:szCs w:val="22"/>
        </w:rPr>
        <w:t xml:space="preserve">Metric naming convention enforcement (namespace_subsystem_unit)</w:t>
      </w:r>
    </w:p>
    <w:p>
      <w:pPr>
        <w:pStyle w:val="ListParagraph"/>
        <w:numPr>
          <w:ilvl w:val="0"/>
          <w:numId w:val="2"/>
        </w:numPr>
        <w:spacing w:after="80"/>
      </w:pPr>
      <w:r>
        <w:rPr>
          <w:rFonts w:ascii="Arial" w:cs="Arial" w:eastAsia="Arial" w:hAnsi="Arial"/>
          <w:b w:val="false"/>
          <w:bCs w:val="false"/>
          <w:color w:val="334155"/>
          <w:sz w:val="22"/>
          <w:szCs w:val="22"/>
        </w:rPr>
        <w:t xml:space="preserve">Structured log formatting matching the OTel Log Data Model</w:t>
      </w:r>
    </w:p>
    <w:p>
      <w:pPr>
        <w:spacing w:after="80"/>
      </w:pPr>
      <w:r>
        <w:t xml:space="preserve"/>
      </w:r>
    </w:p>
    <w:p>
      <w:pPr>
        <w:pStyle w:val="Heading2"/>
        <w:spacing w:before="280" w:after="140"/>
      </w:pPr>
      <w:r>
        <w:rPr>
          <w:rFonts w:ascii="Arial" w:cs="Arial" w:eastAsia="Arial" w:hAnsi="Arial"/>
          <w:b/>
          <w:bCs/>
          <w:color w:val="0D7377"/>
          <w:sz w:val="26"/>
          <w:szCs w:val="26"/>
        </w:rPr>
        <w:t xml:space="preserve">4.4 Log Standardization</w:t>
      </w:r>
    </w:p>
    <w:p>
      <w:pPr>
        <w:spacing w:after="120"/>
      </w:pPr>
      <w:r>
        <w:rPr>
          <w:rFonts w:ascii="Arial" w:cs="Arial" w:eastAsia="Arial" w:hAnsi="Arial"/>
          <w:color w:val="334155"/>
          <w:sz w:val="22"/>
          <w:szCs w:val="22"/>
        </w:rPr>
        <w:t xml:space="preserve">All services, regardless of language, emit logs in the same OpenTelemetry Log Data Model JSON format:</w:t>
      </w:r>
    </w:p>
    <w:p>
      <w:pPr>
        <w:spacing w:after="60"/>
      </w:pPr>
      <w:r>
        <w:t xml:space="preserve"/>
      </w:r>
    </w:p>
    <w:p>
      <w:pPr>
        <w:pBdr>
          <w:left w:val="single" w:color="0D7377" w:sz="8" w:space="6"/>
        </w:pBdr>
        <w:shd w:fill="F1F5F9" w:val="clear"/>
        <w:spacing w:before="60" w:after="60"/>
        <w:ind w:left="360"/>
      </w:pPr>
      <w:r>
        <w:rPr>
          <w:rFonts w:ascii="Courier New" w:cs="Courier New" w:eastAsia="Courier New" w:hAnsi="Courier New"/>
          <w:color w:val="1E293B"/>
          <w:sz w:val="18"/>
          <w:szCs w:val="18"/>
        </w:rPr>
        <w:t xml:space="preserve">{"timestamp":"2026-02-20T10:00:00Z","severity":"INFO","body":"Order created successfully",</w:t>
      </w:r>
    </w:p>
    <w:p>
      <w:pPr>
        <w:pBdr>
          <w:left w:val="single" w:color="0D7377" w:sz="8" w:space="6"/>
        </w:pBdr>
        <w:shd w:fill="F1F5F9" w:val="clear"/>
        <w:spacing w:before="60" w:after="60"/>
        <w:ind w:left="360"/>
      </w:pPr>
      <w:r>
        <w:rPr>
          <w:rFonts w:ascii="Courier New" w:cs="Courier New" w:eastAsia="Courier New" w:hAnsi="Courier New"/>
          <w:color w:val="1E293B"/>
          <w:sz w:val="18"/>
          <w:szCs w:val="18"/>
        </w:rPr>
        <w:t xml:space="preserve"> "resource":{"service.name":"order-service","service.version":"1.2.0",</w:t>
      </w:r>
    </w:p>
    <w:p>
      <w:pPr>
        <w:pBdr>
          <w:left w:val="single" w:color="0D7377" w:sz="8" w:space="6"/>
        </w:pBdr>
        <w:shd w:fill="F1F5F9" w:val="clear"/>
        <w:spacing w:before="60" w:after="60"/>
        <w:ind w:left="360"/>
      </w:pPr>
      <w:r>
        <w:rPr>
          <w:rFonts w:ascii="Courier New" w:cs="Courier New" w:eastAsia="Courier New" w:hAnsi="Courier New"/>
          <w:color w:val="1E293B"/>
          <w:sz w:val="18"/>
          <w:szCs w:val="18"/>
        </w:rPr>
        <w:t xml:space="preserve">             "deployment.environment":"production","host.name":"pod-xyz"},</w:t>
      </w:r>
    </w:p>
    <w:p>
      <w:pPr>
        <w:pBdr>
          <w:left w:val="single" w:color="0D7377" w:sz="8" w:space="6"/>
        </w:pBdr>
        <w:shd w:fill="F1F5F9" w:val="clear"/>
        <w:spacing w:before="60" w:after="60"/>
        <w:ind w:left="360"/>
      </w:pPr>
      <w:r>
        <w:rPr>
          <w:rFonts w:ascii="Courier New" w:cs="Courier New" w:eastAsia="Courier New" w:hAnsi="Courier New"/>
          <w:color w:val="1E293B"/>
          <w:sz w:val="18"/>
          <w:szCs w:val="18"/>
        </w:rPr>
        <w:t xml:space="preserve"> "attributes":{"trace_id":"4bf92f3577b34da6a3ce929d0e0e4736",</w:t>
      </w:r>
    </w:p>
    <w:p>
      <w:pPr>
        <w:pBdr>
          <w:left w:val="single" w:color="0D7377" w:sz="8" w:space="6"/>
        </w:pBdr>
        <w:shd w:fill="F1F5F9" w:val="clear"/>
        <w:spacing w:before="60" w:after="60"/>
        <w:ind w:left="360"/>
      </w:pPr>
      <w:r>
        <w:rPr>
          <w:rFonts w:ascii="Courier New" w:cs="Courier New" w:eastAsia="Courier New" w:hAnsi="Courier New"/>
          <w:color w:val="1E293B"/>
          <w:sz w:val="18"/>
          <w:szCs w:val="18"/>
        </w:rPr>
        <w:t xml:space="preserve">               "span_id":"00f067aa0ba902b7","order_id":"ORD-123"}}</w:t>
      </w:r>
    </w:p>
    <w:p>
      <w:pPr>
        <w:spacing w:after="200"/>
      </w:pPr>
      <w:r>
        <w:t xml:space="preserve"/>
      </w:r>
    </w:p>
    <w:p>
      <w:r>
        <w:br w:type="page"/>
      </w:r>
    </w:p>
    <w:p>
      <w:pPr>
        <w:pStyle w:val="Heading1"/>
        <w:pBdr>
          <w:bottom w:val="single" w:color="0D7377" w:sz="4" w:space="4"/>
        </w:pBdr>
        <w:spacing w:before="360" w:after="200"/>
      </w:pPr>
      <w:r>
        <w:rPr>
          <w:rFonts w:ascii="Arial" w:cs="Arial" w:eastAsia="Arial" w:hAnsi="Arial"/>
          <w:b/>
          <w:bCs/>
          <w:color w:val="1E3A5F"/>
          <w:sz w:val="32"/>
          <w:szCs w:val="32"/>
        </w:rPr>
        <w:t xml:space="preserve">5. SEBI Compliance &amp; Data Governance</w:t>
      </w:r>
    </w:p>
    <w:p>
      <w:pPr>
        <w:pStyle w:val="Heading2"/>
        <w:spacing w:before="280" w:after="140"/>
      </w:pPr>
      <w:r>
        <w:rPr>
          <w:rFonts w:ascii="Arial" w:cs="Arial" w:eastAsia="Arial" w:hAnsi="Arial"/>
          <w:b/>
          <w:bCs/>
          <w:color w:val="0D7377"/>
          <w:sz w:val="26"/>
          <w:szCs w:val="26"/>
        </w:rPr>
        <w:t xml:space="preserve">5.1 PII Masking Strategy</w:t>
      </w:r>
    </w:p>
    <w:p>
      <w:pPr>
        <w:spacing w:after="120"/>
      </w:pPr>
      <w:r>
        <w:rPr>
          <w:rFonts w:ascii="Arial" w:cs="Arial" w:eastAsia="Arial" w:hAnsi="Arial"/>
          <w:color w:val="334155"/>
          <w:sz w:val="22"/>
          <w:szCs w:val="22"/>
        </w:rPr>
        <w:t xml:space="preserve">All PII masking is applied at the Vector Agent (edge) before data leaves the originating host. Data never travels over the network in unmasked form.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Data Type</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Pattern</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Masked 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PAN 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AAAAA0000A (10 char)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[PAN_MASKED]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Aadhaar Number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12-digit number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[AADHAAR_MASKED]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Bank Account 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account_no='XXXXXX'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account_no='[MASKED]'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Credit/Debit Card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16-digit card number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[CARD_MASKED]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Phone 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10-digit mobile (6-9 prefix)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[PHONE_MASKED]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Email Address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Standard email format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[EMAIL_MASKED]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UPI 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text@upi format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[UPI_MASKED]</w:t>
            </w:r>
          </w:p>
        </w:tc>
      </w:tr>
    </w:tbl>
    <w:p>
      <w:pPr>
        <w:spacing w:after="120"/>
      </w:pPr>
      <w:r>
        <w:t xml:space="preserve"/>
      </w:r>
    </w:p>
    <w:p>
      <w:pPr>
        <w:pStyle w:val="Heading2"/>
        <w:spacing w:before="280" w:after="140"/>
      </w:pPr>
      <w:r>
        <w:rPr>
          <w:rFonts w:ascii="Arial" w:cs="Arial" w:eastAsia="Arial" w:hAnsi="Arial"/>
          <w:b/>
          <w:bCs/>
          <w:color w:val="0D7377"/>
          <w:sz w:val="26"/>
          <w:szCs w:val="26"/>
        </w:rPr>
        <w:t xml:space="preserve">5.2 Audit Trail</w:t>
      </w:r>
    </w:p>
    <w:p>
      <w:pPr>
        <w:spacing w:after="120"/>
      </w:pPr>
      <w:r>
        <w:rPr>
          <w:rFonts w:ascii="Arial" w:cs="Arial" w:eastAsia="Arial" w:hAnsi="Arial"/>
          <w:color w:val="334155"/>
          <w:sz w:val="22"/>
          <w:szCs w:val="22"/>
        </w:rPr>
        <w:t xml:space="preserve">A dedicated audit pipeline captures all DDL (schema change) events, authentication events, and long-running transaction alerts. This data is:</w:t>
      </w:r>
    </w:p>
    <w:p>
      <w:pPr>
        <w:pStyle w:val="ListParagraph"/>
        <w:numPr>
          <w:ilvl w:val="0"/>
          <w:numId w:val="2"/>
        </w:numPr>
        <w:spacing w:after="80"/>
      </w:pPr>
      <w:r>
        <w:rPr>
          <w:rFonts w:ascii="Arial" w:cs="Arial" w:eastAsia="Arial" w:hAnsi="Arial"/>
          <w:b w:val="false"/>
          <w:bCs w:val="false"/>
          <w:color w:val="334155"/>
          <w:sz w:val="22"/>
          <w:szCs w:val="22"/>
        </w:rPr>
        <w:t xml:space="preserve">Routed to a separate Loki stream with 90-day retention for operational queries</w:t>
      </w:r>
    </w:p>
    <w:p>
      <w:pPr>
        <w:pStyle w:val="ListParagraph"/>
        <w:numPr>
          <w:ilvl w:val="0"/>
          <w:numId w:val="2"/>
        </w:numPr>
        <w:spacing w:after="80"/>
      </w:pPr>
      <w:r>
        <w:rPr>
          <w:rFonts w:ascii="Arial" w:cs="Arial" w:eastAsia="Arial" w:hAnsi="Arial"/>
          <w:b w:val="false"/>
          <w:bCs w:val="false"/>
          <w:color w:val="334155"/>
          <w:sz w:val="22"/>
          <w:szCs w:val="22"/>
        </w:rPr>
        <w:t xml:space="preserve">Simultaneously archived to S3/MinIO in Parquet format for 7-year SEBI retention</w:t>
      </w:r>
    </w:p>
    <w:p>
      <w:pPr>
        <w:pStyle w:val="ListParagraph"/>
        <w:numPr>
          <w:ilvl w:val="0"/>
          <w:numId w:val="2"/>
        </w:numPr>
        <w:spacing w:after="80"/>
      </w:pPr>
      <w:r>
        <w:rPr>
          <w:rFonts w:ascii="Arial" w:cs="Arial" w:eastAsia="Arial" w:hAnsi="Arial"/>
          <w:b w:val="false"/>
          <w:bCs w:val="false"/>
          <w:color w:val="334155"/>
          <w:sz w:val="22"/>
          <w:szCs w:val="22"/>
        </w:rPr>
        <w:t xml:space="preserve">Queryable via ClickHouse for complex compliance reporting (added in Phase 2)</w:t>
      </w:r>
    </w:p>
    <w:p>
      <w:pPr>
        <w:spacing w:after="80"/>
      </w:pPr>
      <w:r>
        <w:t xml:space="preserve"/>
      </w:r>
    </w:p>
    <w:p>
      <w:pPr>
        <w:pStyle w:val="Heading2"/>
        <w:spacing w:before="280" w:after="140"/>
      </w:pPr>
      <w:r>
        <w:rPr>
          <w:rFonts w:ascii="Arial" w:cs="Arial" w:eastAsia="Arial" w:hAnsi="Arial"/>
          <w:b/>
          <w:bCs/>
          <w:color w:val="0D7377"/>
          <w:sz w:val="26"/>
          <w:szCs w:val="26"/>
        </w:rPr>
        <w:t xml:space="preserve">5.3 Data Sovereignty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FFF3CD"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Important: Data Residency</w:t>
            </w:r>
          </w:p>
          <w:p>
            <w:r>
              <w:rPr>
                <w:rFonts w:ascii="Arial" w:cs="Arial" w:eastAsia="Arial" w:hAnsi="Arial"/>
                <w:color w:val="334155"/>
                <w:sz w:val="20"/>
                <w:szCs w:val="20"/>
              </w:rPr>
              <w:t xml:space="preserve">All observability infrastructure is self-hosted within Indian data centers (AWS Mumbai / Azure India regions). No observability data leaves Indian jurisdiction. This is a deliberate architectural choice to comply with SEBI data localization requirements and avoid the data residency risks associated with SaaS products like Datadog or New Relic whose primary data centers are in the US/EU.</w:t>
            </w:r>
          </w:p>
        </w:tc>
      </w:tr>
    </w:tbl>
    <w:p>
      <w:pPr>
        <w:spacing w:after="120"/>
      </w:pPr>
      <w:r>
        <w:t xml:space="preserve"/>
      </w:r>
    </w:p>
    <w:p>
      <w:pPr>
        <w:pStyle w:val="Heading2"/>
        <w:spacing w:before="280" w:after="140"/>
      </w:pPr>
      <w:r>
        <w:rPr>
          <w:rFonts w:ascii="Arial" w:cs="Arial" w:eastAsia="Arial" w:hAnsi="Arial"/>
          <w:b/>
          <w:bCs/>
          <w:color w:val="0D7377"/>
          <w:sz w:val="26"/>
          <w:szCs w:val="26"/>
        </w:rPr>
        <w:t xml:space="preserve">5.4 DDL Audit Tracking</w:t>
      </w:r>
    </w:p>
    <w:p>
      <w:pPr>
        <w:spacing w:after="120"/>
      </w:pPr>
      <w:r>
        <w:rPr>
          <w:rFonts w:ascii="Arial" w:cs="Arial" w:eastAsia="Arial" w:hAnsi="Arial"/>
          <w:color w:val="334155"/>
          <w:sz w:val="22"/>
          <w:szCs w:val="22"/>
        </w:rPr>
        <w:t xml:space="preserve">Every PostgreSQL schema change (CREATE, ALTER, DROP) is captured, enriched with user identity and timestamp, and stored in the audit stream. This provides an immutable record of all database structure changes for regulatory review.</w:t>
      </w:r>
    </w:p>
    <w:p>
      <w:pPr>
        <w:spacing w:after="200"/>
      </w:pPr>
      <w:r>
        <w:t xml:space="preserve"/>
      </w:r>
    </w:p>
    <w:p>
      <w:r>
        <w:br w:type="page"/>
      </w:r>
    </w:p>
    <w:p>
      <w:pPr>
        <w:pStyle w:val="Heading1"/>
        <w:pBdr>
          <w:bottom w:val="single" w:color="0D7377" w:sz="4" w:space="4"/>
        </w:pBdr>
        <w:spacing w:before="360" w:after="200"/>
      </w:pPr>
      <w:r>
        <w:rPr>
          <w:rFonts w:ascii="Arial" w:cs="Arial" w:eastAsia="Arial" w:hAnsi="Arial"/>
          <w:b/>
          <w:bCs/>
          <w:color w:val="1E3A5F"/>
          <w:sz w:val="32"/>
          <w:szCs w:val="32"/>
        </w:rPr>
        <w:t xml:space="preserve">6. Full Dependency Coverage</w:t>
      </w:r>
    </w:p>
    <w:p>
      <w:pPr>
        <w:pStyle w:val="Heading2"/>
        <w:spacing w:before="280" w:after="140"/>
      </w:pPr>
      <w:r>
        <w:rPr>
          <w:rFonts w:ascii="Arial" w:cs="Arial" w:eastAsia="Arial" w:hAnsi="Arial"/>
          <w:b/>
          <w:bCs/>
          <w:color w:val="0D7377"/>
          <w:sz w:val="26"/>
          <w:szCs w:val="26"/>
        </w:rPr>
        <w:t xml:space="preserve">6.1 Coverage Matrix</w:t>
      </w:r>
    </w:p>
    <w:p>
      <w:pPr>
        <w:spacing w:after="120"/>
      </w:pPr>
      <w:r>
        <w:rPr>
          <w:rFonts w:ascii="Arial" w:cs="Arial" w:eastAsia="Arial" w:hAnsi="Arial"/>
          <w:color w:val="334155"/>
          <w:sz w:val="22"/>
          <w:szCs w:val="22"/>
        </w:rPr>
        <w:t xml:space="preserve">The architecture provides complete observability across all application dependencies. The table below shows signal coverage for each component: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1560"/>
        <w:gridCol w:w="31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Metrics</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Logs</w:t>
            </w:r>
          </w:p>
        </w:tc>
        <w:tc>
          <w:tcPr>
            <w:tcW w:type="dxa" w:w="15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Traces</w:t>
            </w:r>
          </w:p>
        </w:tc>
        <w:tc>
          <w:tcPr>
            <w:tcW w:type="dxa" w:w="31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Collection 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Application Services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 Full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 Full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 Full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obs-SDK + OTel Collector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NGINX (API Gateway)</w:t>
            </w:r>
          </w:p>
        </w:tc>
        <w:tc>
          <w:tcPr>
            <w:tcW w:type="dxa" w:w="13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 Full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 Full</w:t>
            </w:r>
          </w:p>
        </w:tc>
        <w:tc>
          <w:tcPr>
            <w:tcW w:type="dxa" w:w="1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w:t>
            </w:r>
          </w:p>
        </w:tc>
        <w:tc>
          <w:tcPr>
            <w:tcW w:type="dxa" w:w="31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OTel nginx receiver + Vector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Apache Kafka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 Full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 Full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OTel kafkametrics + Vector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PostgreSQL</w:t>
            </w:r>
          </w:p>
        </w:tc>
        <w:tc>
          <w:tcPr>
            <w:tcW w:type="dxa" w:w="13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 Full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 Full</w:t>
            </w:r>
          </w:p>
        </w:tc>
        <w:tc>
          <w:tcPr>
            <w:tcW w:type="dxa" w:w="1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 Via Npgsql</w:t>
            </w:r>
          </w:p>
        </w:tc>
        <w:tc>
          <w:tcPr>
            <w:tcW w:type="dxa" w:w="31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OTel pg receiver + Vector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Redis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 Full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 Slowlog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OTel redis receiver + Vector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Kubernetes Cluster</w:t>
            </w:r>
          </w:p>
        </w:tc>
        <w:tc>
          <w:tcPr>
            <w:tcW w:type="dxa" w:w="13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 Full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 Events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w:t>
            </w:r>
          </w:p>
        </w:tc>
        <w:tc>
          <w:tcPr>
            <w:tcW w:type="dxa" w:w="31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OTel k8s_cluster receiver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Infrastructure (Nodes)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 Full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OTel hostmetrics receiver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Inter-service HTTP/gRPC</w:t>
            </w:r>
          </w:p>
        </w:tc>
        <w:tc>
          <w:tcPr>
            <w:tcW w:type="dxa" w:w="13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 Full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 Full</w:t>
            </w:r>
          </w:p>
        </w:tc>
        <w:tc>
          <w:tcPr>
            <w:tcW w:type="dxa" w:w="31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Auto-instrumentation via SDK</w:t>
            </w:r>
          </w:p>
        </w:tc>
      </w:tr>
    </w:tbl>
    <w:p>
      <w:pPr>
        <w:spacing w:after="120"/>
      </w:pPr>
      <w:r>
        <w:t xml:space="preserve"/>
      </w:r>
    </w:p>
    <w:p>
      <w:pPr>
        <w:pStyle w:val="Heading2"/>
        <w:spacing w:before="280" w:after="140"/>
      </w:pPr>
      <w:r>
        <w:rPr>
          <w:rFonts w:ascii="Arial" w:cs="Arial" w:eastAsia="Arial" w:hAnsi="Arial"/>
          <w:b/>
          <w:bCs/>
          <w:color w:val="0D7377"/>
          <w:sz w:val="26"/>
          <w:szCs w:val="26"/>
        </w:rPr>
        <w:t xml:space="preserve">6.2 Key Metrics Per Dependency</w:t>
      </w:r>
    </w:p>
    <w:p>
      <w:pPr>
        <w:pStyle w:val="Heading3"/>
        <w:spacing w:before="200" w:after="100"/>
      </w:pPr>
      <w:r>
        <w:rPr>
          <w:rFonts w:ascii="Arial" w:cs="Arial" w:eastAsia="Arial" w:hAnsi="Arial"/>
          <w:b/>
          <w:bCs/>
          <w:color w:val="334155"/>
          <w:sz w:val="22"/>
          <w:szCs w:val="22"/>
        </w:rPr>
        <w:t xml:space="preserve">PostgreSQL — Critical Metrics</w:t>
      </w:r>
    </w:p>
    <w:p>
      <w:pPr>
        <w:pStyle w:val="ListParagraph"/>
        <w:numPr>
          <w:ilvl w:val="0"/>
          <w:numId w:val="2"/>
        </w:numPr>
        <w:spacing w:after="80"/>
      </w:pPr>
      <w:r>
        <w:rPr>
          <w:rFonts w:ascii="Arial" w:cs="Arial" w:eastAsia="Arial" w:hAnsi="Arial"/>
          <w:b w:val="false"/>
          <w:bCs w:val="false"/>
          <w:color w:val="334155"/>
          <w:sz w:val="22"/>
          <w:szCs w:val="22"/>
        </w:rPr>
        <w:t xml:space="preserve">pg.connections — connection pool saturation (alert &gt; 80% of max)</w:t>
      </w:r>
    </w:p>
    <w:p>
      <w:pPr>
        <w:pStyle w:val="ListParagraph"/>
        <w:numPr>
          <w:ilvl w:val="0"/>
          <w:numId w:val="2"/>
        </w:numPr>
        <w:spacing w:after="80"/>
      </w:pPr>
      <w:r>
        <w:rPr>
          <w:rFonts w:ascii="Arial" w:cs="Arial" w:eastAsia="Arial" w:hAnsi="Arial"/>
          <w:b w:val="false"/>
          <w:bCs w:val="false"/>
          <w:color w:val="334155"/>
          <w:sz w:val="22"/>
          <w:szCs w:val="22"/>
        </w:rPr>
        <w:t xml:space="preserve">pg.deadlocks — deadlock events (alert &gt; 5/minute)</w:t>
      </w:r>
    </w:p>
    <w:p>
      <w:pPr>
        <w:pStyle w:val="ListParagraph"/>
        <w:numPr>
          <w:ilvl w:val="0"/>
          <w:numId w:val="2"/>
        </w:numPr>
        <w:spacing w:after="80"/>
      </w:pPr>
      <w:r>
        <w:rPr>
          <w:rFonts w:ascii="Arial" w:cs="Arial" w:eastAsia="Arial" w:hAnsi="Arial"/>
          <w:b w:val="false"/>
          <w:bCs w:val="false"/>
          <w:color w:val="334155"/>
          <w:sz w:val="22"/>
          <w:szCs w:val="22"/>
        </w:rPr>
        <w:t xml:space="preserve">pg.slow_query.mean_ms — query latency regression (alert &gt; 3x baseline)</w:t>
      </w:r>
    </w:p>
    <w:p>
      <w:pPr>
        <w:pStyle w:val="ListParagraph"/>
        <w:numPr>
          <w:ilvl w:val="0"/>
          <w:numId w:val="2"/>
        </w:numPr>
        <w:spacing w:after="80"/>
      </w:pPr>
      <w:r>
        <w:rPr>
          <w:rFonts w:ascii="Arial" w:cs="Arial" w:eastAsia="Arial" w:hAnsi="Arial"/>
          <w:b w:val="false"/>
          <w:bCs w:val="false"/>
          <w:color w:val="334155"/>
          <w:sz w:val="22"/>
          <w:szCs w:val="22"/>
        </w:rPr>
        <w:t xml:space="preserve">pg.replication.lag — replica lag for read replica freshness</w:t>
      </w:r>
    </w:p>
    <w:p>
      <w:pPr>
        <w:pStyle w:val="ListParagraph"/>
        <w:numPr>
          <w:ilvl w:val="0"/>
          <w:numId w:val="2"/>
        </w:numPr>
        <w:spacing w:after="80"/>
      </w:pPr>
      <w:r>
        <w:rPr>
          <w:rFonts w:ascii="Arial" w:cs="Arial" w:eastAsia="Arial" w:hAnsi="Arial"/>
          <w:b w:val="false"/>
          <w:bCs w:val="false"/>
          <w:color w:val="334155"/>
          <w:sz w:val="22"/>
          <w:szCs w:val="22"/>
        </w:rPr>
        <w:t xml:space="preserve">pg.table.dead_tuple_ratio — autovacuum health per table</w:t>
      </w:r>
    </w:p>
    <w:p>
      <w:pPr>
        <w:spacing w:after="80"/>
      </w:pPr>
      <w:r>
        <w:t xml:space="preserve"/>
      </w:r>
    </w:p>
    <w:p>
      <w:pPr>
        <w:pStyle w:val="Heading3"/>
        <w:spacing w:before="200" w:after="100"/>
      </w:pPr>
      <w:r>
        <w:rPr>
          <w:rFonts w:ascii="Arial" w:cs="Arial" w:eastAsia="Arial" w:hAnsi="Arial"/>
          <w:b/>
          <w:bCs/>
          <w:color w:val="334155"/>
          <w:sz w:val="22"/>
          <w:szCs w:val="22"/>
        </w:rPr>
        <w:t xml:space="preserve">Kafka — Critical Metrics</w:t>
      </w:r>
    </w:p>
    <w:p>
      <w:pPr>
        <w:pStyle w:val="ListParagraph"/>
        <w:numPr>
          <w:ilvl w:val="0"/>
          <w:numId w:val="2"/>
        </w:numPr>
        <w:spacing w:after="80"/>
      </w:pPr>
      <w:r>
        <w:rPr>
          <w:rFonts w:ascii="Arial" w:cs="Arial" w:eastAsia="Arial" w:hAnsi="Arial"/>
          <w:b w:val="false"/>
          <w:bCs w:val="false"/>
          <w:color w:val="334155"/>
          <w:sz w:val="22"/>
          <w:szCs w:val="22"/>
        </w:rPr>
        <w:t xml:space="preserve">kafka.consumer_group.lag — consumer falling behind (alert &gt; 10,000 messages)</w:t>
      </w:r>
    </w:p>
    <w:p>
      <w:pPr>
        <w:pStyle w:val="ListParagraph"/>
        <w:numPr>
          <w:ilvl w:val="0"/>
          <w:numId w:val="2"/>
        </w:numPr>
        <w:spacing w:after="80"/>
      </w:pPr>
      <w:r>
        <w:rPr>
          <w:rFonts w:ascii="Arial" w:cs="Arial" w:eastAsia="Arial" w:hAnsi="Arial"/>
          <w:b w:val="false"/>
          <w:bCs w:val="false"/>
          <w:color w:val="334155"/>
          <w:sz w:val="22"/>
          <w:szCs w:val="22"/>
        </w:rPr>
        <w:t xml:space="preserve">kafka.brokers.offline — broker availability (alert &gt; 0)</w:t>
      </w:r>
    </w:p>
    <w:p>
      <w:pPr>
        <w:pStyle w:val="ListParagraph"/>
        <w:numPr>
          <w:ilvl w:val="0"/>
          <w:numId w:val="2"/>
        </w:numPr>
        <w:spacing w:after="80"/>
      </w:pPr>
      <w:r>
        <w:rPr>
          <w:rFonts w:ascii="Arial" w:cs="Arial" w:eastAsia="Arial" w:hAnsi="Arial"/>
          <w:b w:val="false"/>
          <w:bCs w:val="false"/>
          <w:color w:val="334155"/>
          <w:sz w:val="22"/>
          <w:szCs w:val="22"/>
        </w:rPr>
        <w:t xml:space="preserve">kafka.topic.partitions.underreplicated — replication health (alert &gt; 0)</w:t>
      </w:r>
    </w:p>
    <w:p>
      <w:pPr>
        <w:spacing w:after="80"/>
      </w:pPr>
      <w:r>
        <w:t xml:space="preserve"/>
      </w:r>
    </w:p>
    <w:p>
      <w:pPr>
        <w:pStyle w:val="Heading3"/>
        <w:spacing w:before="200" w:after="100"/>
      </w:pPr>
      <w:r>
        <w:rPr>
          <w:rFonts w:ascii="Arial" w:cs="Arial" w:eastAsia="Arial" w:hAnsi="Arial"/>
          <w:b/>
          <w:bCs/>
          <w:color w:val="334155"/>
          <w:sz w:val="22"/>
          <w:szCs w:val="22"/>
        </w:rPr>
        <w:t xml:space="preserve">Redis — Critical Metrics</w:t>
      </w:r>
    </w:p>
    <w:p>
      <w:pPr>
        <w:pStyle w:val="ListParagraph"/>
        <w:numPr>
          <w:ilvl w:val="0"/>
          <w:numId w:val="2"/>
        </w:numPr>
        <w:spacing w:after="80"/>
      </w:pPr>
      <w:r>
        <w:rPr>
          <w:rFonts w:ascii="Arial" w:cs="Arial" w:eastAsia="Arial" w:hAnsi="Arial"/>
          <w:b w:val="false"/>
          <w:bCs w:val="false"/>
          <w:color w:val="334155"/>
          <w:sz w:val="22"/>
          <w:szCs w:val="22"/>
        </w:rPr>
        <w:t xml:space="preserve">redis.keyspace.hits / (hits + misses) — cache hit ratio (alert &lt; 80%)</w:t>
      </w:r>
    </w:p>
    <w:p>
      <w:pPr>
        <w:pStyle w:val="ListParagraph"/>
        <w:numPr>
          <w:ilvl w:val="0"/>
          <w:numId w:val="2"/>
        </w:numPr>
        <w:spacing w:after="80"/>
      </w:pPr>
      <w:r>
        <w:rPr>
          <w:rFonts w:ascii="Arial" w:cs="Arial" w:eastAsia="Arial" w:hAnsi="Arial"/>
          <w:b w:val="false"/>
          <w:bCs w:val="false"/>
          <w:color w:val="334155"/>
          <w:sz w:val="22"/>
          <w:szCs w:val="22"/>
        </w:rPr>
        <w:t xml:space="preserve">redis.memory.used / maxmemory — eviction risk (alert &gt; 80%)</w:t>
      </w:r>
    </w:p>
    <w:p>
      <w:pPr>
        <w:pStyle w:val="ListParagraph"/>
        <w:numPr>
          <w:ilvl w:val="0"/>
          <w:numId w:val="2"/>
        </w:numPr>
        <w:spacing w:after="80"/>
      </w:pPr>
      <w:r>
        <w:rPr>
          <w:rFonts w:ascii="Arial" w:cs="Arial" w:eastAsia="Arial" w:hAnsi="Arial"/>
          <w:b w:val="false"/>
          <w:bCs w:val="false"/>
          <w:color w:val="334155"/>
          <w:sz w:val="22"/>
          <w:szCs w:val="22"/>
        </w:rPr>
        <w:t xml:space="preserve">redis.clients.connected — connection saturation</w:t>
      </w:r>
    </w:p>
    <w:p>
      <w:pPr>
        <w:spacing w:after="200"/>
      </w:pPr>
      <w:r>
        <w:t xml:space="preserve"/>
      </w:r>
    </w:p>
    <w:p>
      <w:r>
        <w:br w:type="page"/>
      </w:r>
    </w:p>
    <w:p>
      <w:pPr>
        <w:pStyle w:val="Heading1"/>
        <w:pBdr>
          <w:bottom w:val="single" w:color="0D7377" w:sz="4" w:space="4"/>
        </w:pBdr>
        <w:spacing w:before="360" w:after="200"/>
      </w:pPr>
      <w:r>
        <w:rPr>
          <w:rFonts w:ascii="Arial" w:cs="Arial" w:eastAsia="Arial" w:hAnsi="Arial"/>
          <w:b/>
          <w:bCs/>
          <w:color w:val="1E3A5F"/>
          <w:sz w:val="32"/>
          <w:szCs w:val="32"/>
        </w:rPr>
        <w:t xml:space="preserve">7. Centralized Configuration Management</w:t>
      </w:r>
    </w:p>
    <w:p>
      <w:pPr>
        <w:pStyle w:val="Heading2"/>
        <w:spacing w:before="280" w:after="140"/>
      </w:pPr>
      <w:r>
        <w:rPr>
          <w:rFonts w:ascii="Arial" w:cs="Arial" w:eastAsia="Arial" w:hAnsi="Arial"/>
          <w:b/>
          <w:bCs/>
          <w:color w:val="0D7377"/>
          <w:sz w:val="26"/>
          <w:szCs w:val="26"/>
        </w:rPr>
        <w:t xml:space="preserve">7.1 GitOps with ArgoCD</w:t>
      </w:r>
    </w:p>
    <w:p>
      <w:pPr>
        <w:spacing w:after="120"/>
      </w:pPr>
      <w:r>
        <w:rPr>
          <w:rFonts w:ascii="Arial" w:cs="Arial" w:eastAsia="Arial" w:hAnsi="Arial"/>
          <w:color w:val="334155"/>
          <w:sz w:val="22"/>
          <w:szCs w:val="22"/>
        </w:rPr>
        <w:t xml:space="preserve">All observability configuration (Vector agents, OTel collectors, aggregators, gateways) is managed via GitOps using ArgoCD. A single Git repository is the source of truth for all 5 nodes and any future nodes added via autoscaling.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E8F4FD"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Why GitOps over OpAMP (Dynamic Control Plane)</w:t>
            </w:r>
          </w:p>
          <w:p>
            <w:r>
              <w:rPr>
                <w:rFonts w:ascii="Arial" w:cs="Arial" w:eastAsia="Arial" w:hAnsi="Arial"/>
                <w:color w:val="334155"/>
                <w:sz w:val="20"/>
                <w:szCs w:val="20"/>
              </w:rPr>
              <w:t xml:space="preserve">While OpAMP (Open Agent Management Protocol) provides real-time config push, it requires building and maintaining a custom control plane server. For our scale (10-50 services), a 3-5 minute Git propagation delay is completely acceptable for observability config changes. GitOps is adopted by Netflix, Shopify, Razorpay, and Zerodha — and provides a built-in audit trail that satisfies SEBI change management requirements.</w:t>
            </w:r>
          </w:p>
        </w:tc>
      </w:tr>
    </w:tbl>
    <w:p>
      <w:pPr>
        <w:spacing w:after="120"/>
      </w:pPr>
      <w:r>
        <w:t xml:space="preserve"/>
      </w:r>
    </w:p>
    <w:p>
      <w:pPr>
        <w:pStyle w:val="Heading2"/>
        <w:spacing w:before="280" w:after="140"/>
      </w:pPr>
      <w:r>
        <w:rPr>
          <w:rFonts w:ascii="Arial" w:cs="Arial" w:eastAsia="Arial" w:hAnsi="Arial"/>
          <w:b/>
          <w:bCs/>
          <w:color w:val="0D7377"/>
          <w:sz w:val="26"/>
          <w:szCs w:val="26"/>
        </w:rPr>
        <w:t xml:space="preserve">7.2 Config Change Workflow</w:t>
      </w:r>
    </w:p>
    <w:p>
      <w:pPr>
        <w:spacing w:after="120"/>
      </w:pPr>
      <w:r>
        <w:rPr>
          <w:rFonts w:ascii="Arial" w:cs="Arial" w:eastAsia="Arial" w:hAnsi="Arial"/>
          <w:color w:val="334155"/>
          <w:sz w:val="22"/>
          <w:szCs w:val="22"/>
        </w:rPr>
        <w:t xml:space="preserve">The following workflow ensures all configuration changes are safe, auditable, and automatically deployed:</w:t>
      </w:r>
    </w:p>
    <w:p>
      <w:pPr>
        <w:spacing w:after="60"/>
      </w:pPr>
      <w:r>
        <w:t xml:space="preserve"/>
      </w:r>
    </w:p>
    <w:p>
      <w:pPr>
        <w:pStyle w:val="ListParagraph"/>
        <w:numPr>
          <w:ilvl w:val="0"/>
          <w:numId w:val="2"/>
        </w:numPr>
        <w:spacing w:after="80"/>
      </w:pPr>
      <w:r>
        <w:rPr>
          <w:rFonts w:ascii="Arial" w:cs="Arial" w:eastAsia="Arial" w:hAnsi="Arial"/>
          <w:b w:val="false"/>
          <w:bCs w:val="false"/>
          <w:color w:val="334155"/>
          <w:sz w:val="22"/>
          <w:szCs w:val="22"/>
        </w:rPr>
        <w:t xml:space="preserve">Engineer opens Pull Request with config change in observability-config Git repository</w:t>
      </w:r>
    </w:p>
    <w:p>
      <w:pPr>
        <w:pStyle w:val="ListParagraph"/>
        <w:numPr>
          <w:ilvl w:val="0"/>
          <w:numId w:val="2"/>
        </w:numPr>
        <w:spacing w:after="80"/>
      </w:pPr>
      <w:r>
        <w:rPr>
          <w:rFonts w:ascii="Arial" w:cs="Arial" w:eastAsia="Arial" w:hAnsi="Arial"/>
          <w:b w:val="false"/>
          <w:bCs w:val="false"/>
          <w:color w:val="334155"/>
          <w:sz w:val="22"/>
          <w:szCs w:val="22"/>
        </w:rPr>
        <w:t xml:space="preserve">CI pipeline automatically validates all Vector and OTel configs (docker validate)</w:t>
      </w:r>
    </w:p>
    <w:p>
      <w:pPr>
        <w:pStyle w:val="ListParagraph"/>
        <w:numPr>
          <w:ilvl w:val="0"/>
          <w:numId w:val="2"/>
        </w:numPr>
        <w:spacing w:after="80"/>
      </w:pPr>
      <w:r>
        <w:rPr>
          <w:rFonts w:ascii="Arial" w:cs="Arial" w:eastAsia="Arial" w:hAnsi="Arial"/>
          <w:b w:val="false"/>
          <w:bCs w:val="false"/>
          <w:color w:val="334155"/>
          <w:sz w:val="22"/>
          <w:szCs w:val="22"/>
        </w:rPr>
        <w:t xml:space="preserve">CI blocks merge if any config file is syntactically invalid</w:t>
      </w:r>
    </w:p>
    <w:p>
      <w:pPr>
        <w:pStyle w:val="ListParagraph"/>
        <w:numPr>
          <w:ilvl w:val="0"/>
          <w:numId w:val="2"/>
        </w:numPr>
        <w:spacing w:after="80"/>
      </w:pPr>
      <w:r>
        <w:rPr>
          <w:rFonts w:ascii="Arial" w:cs="Arial" w:eastAsia="Arial" w:hAnsi="Arial"/>
          <w:b w:val="false"/>
          <w:bCs w:val="false"/>
          <w:color w:val="334155"/>
          <w:sz w:val="22"/>
          <w:szCs w:val="22"/>
        </w:rPr>
        <w:t xml:space="preserve">Team lead reviews and approves the PR</w:t>
      </w:r>
    </w:p>
    <w:p>
      <w:pPr>
        <w:pStyle w:val="ListParagraph"/>
        <w:numPr>
          <w:ilvl w:val="0"/>
          <w:numId w:val="2"/>
        </w:numPr>
        <w:spacing w:after="80"/>
      </w:pPr>
      <w:r>
        <w:rPr>
          <w:rFonts w:ascii="Arial" w:cs="Arial" w:eastAsia="Arial" w:hAnsi="Arial"/>
          <w:b w:val="false"/>
          <w:bCs w:val="false"/>
          <w:color w:val="334155"/>
          <w:sz w:val="22"/>
          <w:szCs w:val="22"/>
        </w:rPr>
        <w:t xml:space="preserve">On merge to main, GitHub webhook triggers ArgoCD sync immediately</w:t>
      </w:r>
    </w:p>
    <w:p>
      <w:pPr>
        <w:pStyle w:val="ListParagraph"/>
        <w:numPr>
          <w:ilvl w:val="0"/>
          <w:numId w:val="2"/>
        </w:numPr>
        <w:spacing w:after="80"/>
      </w:pPr>
      <w:r>
        <w:rPr>
          <w:rFonts w:ascii="Arial" w:cs="Arial" w:eastAsia="Arial" w:hAnsi="Arial"/>
          <w:b w:val="false"/>
          <w:bCs w:val="false"/>
          <w:color w:val="334155"/>
          <w:sz w:val="22"/>
          <w:szCs w:val="22"/>
        </w:rPr>
        <w:t xml:space="preserve">ArgoCD applies updated ConfigMaps and OTel CRDs to Kubernetes</w:t>
      </w:r>
    </w:p>
    <w:p>
      <w:pPr>
        <w:pStyle w:val="ListParagraph"/>
        <w:numPr>
          <w:ilvl w:val="0"/>
          <w:numId w:val="2"/>
        </w:numPr>
        <w:spacing w:after="80"/>
      </w:pPr>
      <w:r>
        <w:rPr>
          <w:rFonts w:ascii="Arial" w:cs="Arial" w:eastAsia="Arial" w:hAnsi="Arial"/>
          <w:b w:val="false"/>
          <w:bCs w:val="false"/>
          <w:color w:val="334155"/>
          <w:sz w:val="22"/>
          <w:szCs w:val="22"/>
        </w:rPr>
        <w:t xml:space="preserve">Kubernetes performs rolling update of DaemonSet pods (one node at a time)</w:t>
      </w:r>
    </w:p>
    <w:p>
      <w:pPr>
        <w:pStyle w:val="ListParagraph"/>
        <w:numPr>
          <w:ilvl w:val="0"/>
          <w:numId w:val="2"/>
        </w:numPr>
        <w:spacing w:after="80"/>
      </w:pPr>
      <w:r>
        <w:rPr>
          <w:rFonts w:ascii="Arial" w:cs="Arial" w:eastAsia="Arial" w:hAnsi="Arial"/>
          <w:b w:val="false"/>
          <w:bCs w:val="false"/>
          <w:color w:val="334155"/>
          <w:sz w:val="22"/>
          <w:szCs w:val="22"/>
        </w:rPr>
        <w:t xml:space="preserve">All 5 nodes running new config within 2-3 minutes — zero data loss</w:t>
      </w:r>
    </w:p>
    <w:p>
      <w:pPr>
        <w:spacing w:after="80"/>
      </w:pPr>
      <w:r>
        <w:t xml:space="preserve"/>
      </w:r>
    </w:p>
    <w:p>
      <w:pPr>
        <w:pStyle w:val="Heading2"/>
        <w:spacing w:before="280" w:after="140"/>
      </w:pPr>
      <w:r>
        <w:rPr>
          <w:rFonts w:ascii="Arial" w:cs="Arial" w:eastAsia="Arial" w:hAnsi="Arial"/>
          <w:b/>
          <w:bCs/>
          <w:color w:val="0D7377"/>
          <w:sz w:val="26"/>
          <w:szCs w:val="26"/>
        </w:rPr>
        <w:t xml:space="preserve">7.3 Node-Specific Configuration</w:t>
      </w:r>
    </w:p>
    <w:p>
      <w:pPr>
        <w:spacing w:after="120"/>
      </w:pPr>
      <w:r>
        <w:rPr>
          <w:rFonts w:ascii="Arial" w:cs="Arial" w:eastAsia="Arial" w:hAnsi="Arial"/>
          <w:color w:val="334155"/>
          <w:sz w:val="22"/>
          <w:szCs w:val="22"/>
        </w:rPr>
        <w:t xml:space="preserve">The configuration follows a three-tier hierarchy to handle node-role differences: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Priority</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Scope</w:t>
            </w:r>
          </w:p>
        </w:tc>
        <w:tc>
          <w:tcPr>
            <w:tcW w:type="dxa" w:w="54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Example Use Case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1 (Highest)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Host override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One-off node specific exception (rare)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2</w:t>
            </w:r>
          </w:p>
        </w:tc>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Role override</w:t>
            </w:r>
          </w:p>
        </w:tc>
        <w:tc>
          <w:tcPr>
            <w:tcW w:type="dxa" w:w="54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DB nodes get PostgreSQL log parsing; payment nodes get stricter PII masking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3 (Base)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Global base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Common sinks, standard PII masking, Loki endpoint</w:t>
            </w:r>
          </w:p>
        </w:tc>
      </w:tr>
    </w:tbl>
    <w:p>
      <w:pPr>
        <w:spacing w:after="120"/>
      </w:pPr>
      <w:r>
        <w:t xml:space="preserve"/>
      </w:r>
    </w:p>
    <w:p>
      <w:pPr>
        <w:pStyle w:val="Heading2"/>
        <w:spacing w:before="280" w:after="140"/>
      </w:pPr>
      <w:r>
        <w:rPr>
          <w:rFonts w:ascii="Arial" w:cs="Arial" w:eastAsia="Arial" w:hAnsi="Arial"/>
          <w:b/>
          <w:bCs/>
          <w:color w:val="0D7377"/>
          <w:sz w:val="26"/>
          <w:szCs w:val="26"/>
        </w:rPr>
        <w:t xml:space="preserve">7.4 Kubernetes Autoscale Compatibility</w:t>
      </w:r>
    </w:p>
    <w:p>
      <w:pPr>
        <w:spacing w:after="120"/>
      </w:pPr>
      <w:r>
        <w:rPr>
          <w:rFonts w:ascii="Arial" w:cs="Arial" w:eastAsia="Arial" w:hAnsi="Arial"/>
          <w:color w:val="334155"/>
          <w:sz w:val="22"/>
          <w:szCs w:val="22"/>
        </w:rPr>
        <w:t xml:space="preserve">The DaemonSet deployment model ensures full compatibility with Kubernetes Cluster Autoscaler:</w:t>
      </w:r>
    </w:p>
    <w:p>
      <w:pPr>
        <w:pStyle w:val="ListParagraph"/>
        <w:numPr>
          <w:ilvl w:val="0"/>
          <w:numId w:val="2"/>
        </w:numPr>
        <w:spacing w:after="80"/>
      </w:pPr>
      <w:r>
        <w:rPr>
          <w:rFonts w:ascii="Arial" w:cs="Arial" w:eastAsia="Arial" w:hAnsi="Arial"/>
          <w:b w:val="false"/>
          <w:bCs w:val="false"/>
          <w:color w:val="334155"/>
          <w:sz w:val="22"/>
          <w:szCs w:val="22"/>
        </w:rPr>
        <w:t xml:space="preserve">New node joins cluster → K8s automatically schedules Vector + OTel DaemonSet pods</w:t>
      </w:r>
    </w:p>
    <w:p>
      <w:pPr>
        <w:pStyle w:val="ListParagraph"/>
        <w:numPr>
          <w:ilvl w:val="0"/>
          <w:numId w:val="2"/>
        </w:numPr>
        <w:spacing w:after="80"/>
      </w:pPr>
      <w:r>
        <w:rPr>
          <w:rFonts w:ascii="Arial" w:cs="Arial" w:eastAsia="Arial" w:hAnsi="Arial"/>
          <w:b w:val="false"/>
          <w:bCs w:val="false"/>
          <w:color w:val="334155"/>
          <w:sz w:val="22"/>
          <w:szCs w:val="22"/>
        </w:rPr>
        <w:t xml:space="preserve">New pod reads existing ConfigMap → correct role-specific config applied automatically</w:t>
      </w:r>
    </w:p>
    <w:p>
      <w:pPr>
        <w:pStyle w:val="ListParagraph"/>
        <w:numPr>
          <w:ilvl w:val="0"/>
          <w:numId w:val="2"/>
        </w:numPr>
        <w:spacing w:after="80"/>
      </w:pPr>
      <w:r>
        <w:rPr>
          <w:rFonts w:ascii="Arial" w:cs="Arial" w:eastAsia="Arial" w:hAnsi="Arial"/>
          <w:b w:val="false"/>
          <w:bCs w:val="false"/>
          <w:color w:val="334155"/>
          <w:sz w:val="22"/>
          <w:szCs w:val="22"/>
        </w:rPr>
        <w:t xml:space="preserve">Node is observable within 60 seconds of joining the cluster</w:t>
      </w:r>
    </w:p>
    <w:p>
      <w:pPr>
        <w:pStyle w:val="ListParagraph"/>
        <w:numPr>
          <w:ilvl w:val="0"/>
          <w:numId w:val="2"/>
        </w:numPr>
        <w:spacing w:after="80"/>
      </w:pPr>
      <w:r>
        <w:rPr>
          <w:rFonts w:ascii="Arial" w:cs="Arial" w:eastAsia="Arial" w:hAnsi="Arial"/>
          <w:b w:val="false"/>
          <w:bCs w:val="false"/>
          <w:color w:val="334155"/>
          <w:sz w:val="22"/>
          <w:szCs w:val="22"/>
        </w:rPr>
        <w:t xml:space="preserve">No manual intervention required — observability scales with infrastructure automatically</w:t>
      </w:r>
    </w:p>
    <w:p>
      <w:pPr>
        <w:spacing w:after="200"/>
      </w:pPr>
      <w:r>
        <w:t xml:space="preserve"/>
      </w:r>
    </w:p>
    <w:p>
      <w:r>
        <w:br w:type="page"/>
      </w:r>
    </w:p>
    <w:p>
      <w:pPr>
        <w:pStyle w:val="Heading1"/>
        <w:pBdr>
          <w:bottom w:val="single" w:color="0D7377" w:sz="4" w:space="4"/>
        </w:pBdr>
        <w:spacing w:before="360" w:after="200"/>
      </w:pPr>
      <w:r>
        <w:rPr>
          <w:rFonts w:ascii="Arial" w:cs="Arial" w:eastAsia="Arial" w:hAnsi="Arial"/>
          <w:b/>
          <w:bCs/>
          <w:color w:val="1E3A5F"/>
          <w:sz w:val="32"/>
          <w:szCs w:val="32"/>
        </w:rPr>
        <w:t xml:space="preserve">8. Alerting Strategy</w:t>
      </w:r>
    </w:p>
    <w:p>
      <w:pPr>
        <w:pStyle w:val="Heading2"/>
        <w:spacing w:before="280" w:after="140"/>
      </w:pPr>
      <w:r>
        <w:rPr>
          <w:rFonts w:ascii="Arial" w:cs="Arial" w:eastAsia="Arial" w:hAnsi="Arial"/>
          <w:b/>
          <w:bCs/>
          <w:color w:val="0D7377"/>
          <w:sz w:val="26"/>
          <w:szCs w:val="26"/>
        </w:rPr>
        <w:t xml:space="preserve">8.1 Alert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Level</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Response Time</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Routing</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Examples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P0 — 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Immediate page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PagerDuty + Slack #incidents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Service down, DB unreachable, Kafka offline</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P1 — High</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Within 15 minutes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PagerDuty + Slack #alerts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P99 latency &gt; 2x baseline, connection pool &gt; 80%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P2 — 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Next business hour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Slack #platform-alerts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Slow query regression, cache hit rate &lt; 80%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P3 — Low</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Sprint planning</w:t>
            </w:r>
          </w:p>
        </w:tc>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Slack #observability</w:t>
            </w:r>
          </w:p>
        </w:tc>
        <w:tc>
          <w:tcPr>
            <w:tcW w:type="dxa" w:w="3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Unused indexes, table bloat &gt; 20%</w:t>
            </w:r>
          </w:p>
        </w:tc>
      </w:tr>
    </w:tbl>
    <w:p>
      <w:pPr>
        <w:spacing w:after="120"/>
      </w:pPr>
      <w:r>
        <w:t xml:space="preserve"/>
      </w:r>
    </w:p>
    <w:p>
      <w:pPr>
        <w:pStyle w:val="Heading2"/>
        <w:spacing w:before="280" w:after="140"/>
      </w:pPr>
      <w:r>
        <w:rPr>
          <w:rFonts w:ascii="Arial" w:cs="Arial" w:eastAsia="Arial" w:hAnsi="Arial"/>
          <w:b/>
          <w:bCs/>
          <w:color w:val="0D7377"/>
          <w:sz w:val="26"/>
          <w:szCs w:val="26"/>
        </w:rPr>
        <w:t xml:space="preserve">8.2 Core Alert Rules</w:t>
      </w:r>
    </w:p>
    <w:p>
      <w:pPr>
        <w:pStyle w:val="Heading3"/>
        <w:spacing w:before="200" w:after="100"/>
      </w:pPr>
      <w:r>
        <w:rPr>
          <w:rFonts w:ascii="Arial" w:cs="Arial" w:eastAsia="Arial" w:hAnsi="Arial"/>
          <w:b/>
          <w:bCs/>
          <w:color w:val="334155"/>
          <w:sz w:val="22"/>
          <w:szCs w:val="22"/>
        </w:rPr>
        <w:t xml:space="preserve">P0 Alerts — Page Immediately</w:t>
      </w:r>
    </w:p>
    <w:p>
      <w:pPr>
        <w:pStyle w:val="ListParagraph"/>
        <w:numPr>
          <w:ilvl w:val="0"/>
          <w:numId w:val="2"/>
        </w:numPr>
        <w:spacing w:after="80"/>
      </w:pPr>
      <w:r>
        <w:rPr>
          <w:rFonts w:ascii="Arial" w:cs="Arial" w:eastAsia="Arial" w:hAnsi="Arial"/>
          <w:b w:val="false"/>
          <w:bCs w:val="false"/>
          <w:color w:val="334155"/>
          <w:sz w:val="22"/>
          <w:szCs w:val="22"/>
        </w:rPr>
        <w:t xml:space="preserve">Any service error rate &gt; 10% for 2 consecutive minutes</w:t>
      </w:r>
    </w:p>
    <w:p>
      <w:pPr>
        <w:pStyle w:val="ListParagraph"/>
        <w:numPr>
          <w:ilvl w:val="0"/>
          <w:numId w:val="2"/>
        </w:numPr>
        <w:spacing w:after="80"/>
      </w:pPr>
      <w:r>
        <w:rPr>
          <w:rFonts w:ascii="Arial" w:cs="Arial" w:eastAsia="Arial" w:hAnsi="Arial"/>
          <w:b w:val="false"/>
          <w:bCs w:val="false"/>
          <w:color w:val="334155"/>
          <w:sz w:val="22"/>
          <w:szCs w:val="22"/>
        </w:rPr>
        <w:t xml:space="preserve">PostgreSQL primary unreachable</w:t>
      </w:r>
    </w:p>
    <w:p>
      <w:pPr>
        <w:pStyle w:val="ListParagraph"/>
        <w:numPr>
          <w:ilvl w:val="0"/>
          <w:numId w:val="2"/>
        </w:numPr>
        <w:spacing w:after="80"/>
      </w:pPr>
      <w:r>
        <w:rPr>
          <w:rFonts w:ascii="Arial" w:cs="Arial" w:eastAsia="Arial" w:hAnsi="Arial"/>
          <w:b w:val="false"/>
          <w:bCs w:val="false"/>
          <w:color w:val="334155"/>
          <w:sz w:val="22"/>
          <w:szCs w:val="22"/>
        </w:rPr>
        <w:t xml:space="preserve">Kafka consumer lag &gt; 100,000 messages</w:t>
      </w:r>
    </w:p>
    <w:p>
      <w:pPr>
        <w:pStyle w:val="ListParagraph"/>
        <w:numPr>
          <w:ilvl w:val="0"/>
          <w:numId w:val="2"/>
        </w:numPr>
        <w:spacing w:after="80"/>
      </w:pPr>
      <w:r>
        <w:rPr>
          <w:rFonts w:ascii="Arial" w:cs="Arial" w:eastAsia="Arial" w:hAnsi="Arial"/>
          <w:b w:val="false"/>
          <w:bCs w:val="false"/>
          <w:color w:val="334155"/>
          <w:sz w:val="22"/>
          <w:szCs w:val="22"/>
        </w:rPr>
        <w:t xml:space="preserve">Node disk utilization &gt; 90%</w:t>
      </w:r>
    </w:p>
    <w:p>
      <w:pPr>
        <w:pStyle w:val="ListParagraph"/>
        <w:numPr>
          <w:ilvl w:val="0"/>
          <w:numId w:val="2"/>
        </w:numPr>
        <w:spacing w:after="80"/>
      </w:pPr>
      <w:r>
        <w:rPr>
          <w:rFonts w:ascii="Arial" w:cs="Arial" w:eastAsia="Arial" w:hAnsi="Arial"/>
          <w:b w:val="false"/>
          <w:bCs w:val="false"/>
          <w:color w:val="334155"/>
          <w:sz w:val="22"/>
          <w:szCs w:val="22"/>
        </w:rPr>
        <w:t xml:space="preserve">Pod CrashLoopBackOff detected</w:t>
      </w:r>
    </w:p>
    <w:p>
      <w:pPr>
        <w:pStyle w:val="ListParagraph"/>
        <w:numPr>
          <w:ilvl w:val="0"/>
          <w:numId w:val="2"/>
        </w:numPr>
        <w:spacing w:after="80"/>
      </w:pPr>
      <w:r>
        <w:rPr>
          <w:rFonts w:ascii="Arial" w:cs="Arial" w:eastAsia="Arial" w:hAnsi="Arial"/>
          <w:b w:val="false"/>
          <w:bCs w:val="false"/>
          <w:color w:val="334155"/>
          <w:sz w:val="22"/>
          <w:szCs w:val="22"/>
        </w:rPr>
        <w:t xml:space="preserve">Any authentication failure spike (SEBI security alert)</w:t>
      </w:r>
    </w:p>
    <w:p>
      <w:pPr>
        <w:spacing w:after="80"/>
      </w:pPr>
      <w:r>
        <w:t xml:space="preserve"/>
      </w:r>
    </w:p>
    <w:p>
      <w:pPr>
        <w:pStyle w:val="Heading3"/>
        <w:spacing w:before="200" w:after="100"/>
      </w:pPr>
      <w:r>
        <w:rPr>
          <w:rFonts w:ascii="Arial" w:cs="Arial" w:eastAsia="Arial" w:hAnsi="Arial"/>
          <w:b/>
          <w:bCs/>
          <w:color w:val="334155"/>
          <w:sz w:val="22"/>
          <w:szCs w:val="22"/>
        </w:rPr>
        <w:t xml:space="preserve">P1 Alerts</w:t>
      </w:r>
    </w:p>
    <w:p>
      <w:pPr>
        <w:pStyle w:val="ListParagraph"/>
        <w:numPr>
          <w:ilvl w:val="0"/>
          <w:numId w:val="2"/>
        </w:numPr>
        <w:spacing w:after="80"/>
      </w:pPr>
      <w:r>
        <w:rPr>
          <w:rFonts w:ascii="Arial" w:cs="Arial" w:eastAsia="Arial" w:hAnsi="Arial"/>
          <w:b w:val="false"/>
          <w:bCs w:val="false"/>
          <w:color w:val="334155"/>
          <w:sz w:val="22"/>
          <w:szCs w:val="22"/>
        </w:rPr>
        <w:t xml:space="preserve">P99 request latency &gt; 2 seconds for 5 minutes</w:t>
      </w:r>
    </w:p>
    <w:p>
      <w:pPr>
        <w:pStyle w:val="ListParagraph"/>
        <w:numPr>
          <w:ilvl w:val="0"/>
          <w:numId w:val="2"/>
        </w:numPr>
        <w:spacing w:after="80"/>
      </w:pPr>
      <w:r>
        <w:rPr>
          <w:rFonts w:ascii="Arial" w:cs="Arial" w:eastAsia="Arial" w:hAnsi="Arial"/>
          <w:b w:val="false"/>
          <w:bCs w:val="false"/>
          <w:color w:val="334155"/>
          <w:sz w:val="22"/>
          <w:szCs w:val="22"/>
        </w:rPr>
        <w:t xml:space="preserve">Redis memory &gt; 80% of configured limit</w:t>
      </w:r>
    </w:p>
    <w:p>
      <w:pPr>
        <w:pStyle w:val="ListParagraph"/>
        <w:numPr>
          <w:ilvl w:val="0"/>
          <w:numId w:val="2"/>
        </w:numPr>
        <w:spacing w:after="80"/>
      </w:pPr>
      <w:r>
        <w:rPr>
          <w:rFonts w:ascii="Arial" w:cs="Arial" w:eastAsia="Arial" w:hAnsi="Arial"/>
          <w:b w:val="false"/>
          <w:bCs w:val="false"/>
          <w:color w:val="334155"/>
          <w:sz w:val="22"/>
          <w:szCs w:val="22"/>
        </w:rPr>
        <w:t xml:space="preserve">Database connections &gt; 80% of max_connections</w:t>
      </w:r>
    </w:p>
    <w:p>
      <w:pPr>
        <w:pStyle w:val="ListParagraph"/>
        <w:numPr>
          <w:ilvl w:val="0"/>
          <w:numId w:val="2"/>
        </w:numPr>
        <w:spacing w:after="80"/>
      </w:pPr>
      <w:r>
        <w:rPr>
          <w:rFonts w:ascii="Arial" w:cs="Arial" w:eastAsia="Arial" w:hAnsi="Arial"/>
          <w:b w:val="false"/>
          <w:bCs w:val="false"/>
          <w:color w:val="334155"/>
          <w:sz w:val="22"/>
          <w:szCs w:val="22"/>
        </w:rPr>
        <w:t xml:space="preserve">Kafka broker offline (any broker)</w:t>
      </w:r>
    </w:p>
    <w:p>
      <w:pPr>
        <w:pStyle w:val="ListParagraph"/>
        <w:numPr>
          <w:ilvl w:val="0"/>
          <w:numId w:val="2"/>
        </w:numPr>
        <w:spacing w:after="80"/>
      </w:pPr>
      <w:r>
        <w:rPr>
          <w:rFonts w:ascii="Arial" w:cs="Arial" w:eastAsia="Arial" w:hAnsi="Arial"/>
          <w:b w:val="false"/>
          <w:bCs w:val="false"/>
          <w:color w:val="334155"/>
          <w:sz w:val="22"/>
          <w:szCs w:val="22"/>
        </w:rPr>
        <w:t xml:space="preserve">SSL/TLS certificate expiry &lt; 7 days</w:t>
      </w:r>
    </w:p>
    <w:p>
      <w:pPr>
        <w:spacing w:after="80"/>
      </w:pPr>
      <w:r>
        <w:t xml:space="preserve"/>
      </w:r>
    </w:p>
    <w:p>
      <w:pPr>
        <w:pStyle w:val="Heading3"/>
        <w:spacing w:before="200" w:after="100"/>
      </w:pPr>
      <w:r>
        <w:rPr>
          <w:rFonts w:ascii="Arial" w:cs="Arial" w:eastAsia="Arial" w:hAnsi="Arial"/>
          <w:b/>
          <w:bCs/>
          <w:color w:val="334155"/>
          <w:sz w:val="22"/>
          <w:szCs w:val="22"/>
        </w:rPr>
        <w:t xml:space="preserve">Anomaly-Based Alerting</w:t>
      </w:r>
    </w:p>
    <w:p>
      <w:pPr>
        <w:spacing w:after="120"/>
      </w:pPr>
      <w:r>
        <w:rPr>
          <w:rFonts w:ascii="Arial" w:cs="Arial" w:eastAsia="Arial" w:hAnsi="Arial"/>
          <w:color w:val="334155"/>
          <w:sz w:val="22"/>
          <w:szCs w:val="22"/>
        </w:rPr>
        <w:t xml:space="preserve">Rather than static thresholds, critical metrics use baseline deviation alerting — alerting when a metric is 2-3x its own 7-day historical average. This eliminates false positives during legitimate load spikes while catching genuine regressions.</w:t>
      </w:r>
    </w:p>
    <w:p>
      <w:pPr>
        <w:spacing w:after="200"/>
      </w:pPr>
      <w:r>
        <w:t xml:space="preserve"/>
      </w:r>
    </w:p>
    <w:p>
      <w:r>
        <w:br w:type="page"/>
      </w:r>
    </w:p>
    <w:p>
      <w:pPr>
        <w:pStyle w:val="Heading1"/>
        <w:pBdr>
          <w:bottom w:val="single" w:color="0D7377" w:sz="4" w:space="4"/>
        </w:pBdr>
        <w:spacing w:before="360" w:after="200"/>
      </w:pPr>
      <w:r>
        <w:rPr>
          <w:rFonts w:ascii="Arial" w:cs="Arial" w:eastAsia="Arial" w:hAnsi="Arial"/>
          <w:b/>
          <w:bCs/>
          <w:color w:val="1E3A5F"/>
          <w:sz w:val="32"/>
          <w:szCs w:val="32"/>
        </w:rPr>
        <w:t xml:space="preserve">9. Infrastructure Sizing &amp; Cost</w:t>
      </w:r>
    </w:p>
    <w:p>
      <w:pPr>
        <w:pStyle w:val="Heading2"/>
        <w:spacing w:before="280" w:after="140"/>
      </w:pPr>
      <w:r>
        <w:rPr>
          <w:rFonts w:ascii="Arial" w:cs="Arial" w:eastAsia="Arial" w:hAnsi="Arial"/>
          <w:b/>
          <w:bCs/>
          <w:color w:val="0D7377"/>
          <w:sz w:val="26"/>
          <w:szCs w:val="26"/>
        </w:rPr>
        <w:t xml:space="preserve">9.1 Current Phase (10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1560"/>
        <w:gridCol w:w="330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w:t>
            </w:r>
          </w:p>
        </w:tc>
        <w:tc>
          <w:tcPr>
            <w:tcW w:type="dxa" w:w="1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vCPU</w:t>
            </w:r>
          </w:p>
        </w:tc>
        <w:tc>
          <w:tcPr>
            <w:tcW w:type="dxa" w:w="1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RAM</w:t>
            </w:r>
          </w:p>
        </w:tc>
        <w:tc>
          <w:tcPr>
            <w:tcW w:type="dxa" w:w="15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Storage</w:t>
            </w:r>
          </w:p>
        </w:tc>
        <w:tc>
          <w:tcPr>
            <w:tcW w:type="dxa" w:w="3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Est. Cost/Month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Loki (single node)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8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500 GB SSD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~$120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Mimir (single node)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2</w:t>
            </w:r>
          </w:p>
        </w:tc>
        <w:tc>
          <w:tcPr>
            <w:tcW w:type="dxa" w:w="1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4 GB</w:t>
            </w:r>
          </w:p>
        </w:tc>
        <w:tc>
          <w:tcPr>
            <w:tcW w:type="dxa" w:w="1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100 GB SSD</w:t>
            </w:r>
          </w:p>
        </w:tc>
        <w:tc>
          <w:tcPr>
            <w:tcW w:type="dxa" w:w="33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~$60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Grafana Tempo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4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200 GB SSD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~$80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Grafana</w:t>
            </w:r>
          </w:p>
        </w:tc>
        <w:tc>
          <w:tcPr>
            <w:tcW w:type="dxa" w:w="1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2</w:t>
            </w:r>
          </w:p>
        </w:tc>
        <w:tc>
          <w:tcPr>
            <w:tcW w:type="dxa" w:w="1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4 GB</w:t>
            </w:r>
          </w:p>
        </w:tc>
        <w:tc>
          <w:tcPr>
            <w:tcW w:type="dxa" w:w="1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20 GB</w:t>
            </w:r>
          </w:p>
        </w:tc>
        <w:tc>
          <w:tcPr>
            <w:tcW w:type="dxa" w:w="33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~$60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Vector (per node)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2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~$20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OTel Collector (per node)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1</w:t>
            </w:r>
          </w:p>
        </w:tc>
        <w:tc>
          <w:tcPr>
            <w:tcW w:type="dxa" w:w="1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1 GB</w:t>
            </w:r>
          </w:p>
        </w:tc>
        <w:tc>
          <w:tcPr>
            <w:tcW w:type="dxa" w:w="1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w:t>
            </w:r>
          </w:p>
        </w:tc>
        <w:tc>
          <w:tcPr>
            <w:tcW w:type="dxa" w:w="33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Postgres Exporter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512 MB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~$10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Kafka (3 brokers)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8</w:t>
            </w:r>
          </w:p>
        </w:tc>
        <w:tc>
          <w:tcPr>
            <w:tcW w:type="dxa" w:w="1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32 GB</w:t>
            </w:r>
          </w:p>
        </w:tc>
        <w:tc>
          <w:tcPr>
            <w:tcW w:type="dxa" w:w="1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10 TB HDD</w:t>
            </w:r>
          </w:p>
        </w:tc>
        <w:tc>
          <w:tcPr>
            <w:tcW w:type="dxa" w:w="33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Optional prod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TOTAL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~55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~800 GB</w:t>
            </w:r>
          </w:p>
        </w:tc>
        <w:tc>
          <w:tcPr>
            <w:tcW w:type="dxa" w:w="3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~$370/month</w:t>
            </w:r>
          </w:p>
        </w:tc>
      </w:tr>
    </w:tbl>
    <w:p>
      <w:pPr>
        <w:spacing w:after="120"/>
      </w:pPr>
      <w:r>
        <w:t xml:space="preserve"/>
      </w:r>
    </w:p>
    <w:p>
      <w:pPr>
        <w:pStyle w:val="Heading2"/>
        <w:spacing w:before="280" w:after="140"/>
      </w:pPr>
      <w:r>
        <w:rPr>
          <w:rFonts w:ascii="Arial" w:cs="Arial" w:eastAsia="Arial" w:hAnsi="Arial"/>
          <w:b/>
          <w:bCs/>
          <w:color w:val="0D7377"/>
          <w:sz w:val="26"/>
          <w:szCs w:val="26"/>
        </w:rPr>
        <w:t xml:space="preserve">9.2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Solution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Monthly Cost</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Data Residency</w:t>
            </w:r>
          </w:p>
        </w:tc>
        <w:tc>
          <w:tcPr>
            <w:tcW w:type="dxa" w:w="25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Ops Overhead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LGTM Self-Hosted (Proposed)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~$370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 India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Low (1 engineer ~20%)</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Datadog (equivalent coverage)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~$15,000-25,000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 US/EU servers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None (SaaS)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New Relic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~$10,000-20,000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 US/EU servers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4155"/>
                <w:sz w:val="20"/>
                <w:szCs w:val="20"/>
              </w:rPr>
              <w:t xml:space="preserve">None (SaaS)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ELK Stack Self-Hosted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~$2,500-4,000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 India only</w:t>
            </w:r>
          </w:p>
        </w:tc>
        <w:tc>
          <w:tcPr>
            <w:tcW w:type="dxa" w:w="2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vAlign w:val="center"/>
          </w:tcPr>
          <w:p>
            <w:r>
              <w:rPr>
                <w:rFonts w:ascii="Arial" w:cs="Arial" w:eastAsia="Arial" w:hAnsi="Arial"/>
                <w:color w:val="334155"/>
                <w:sz w:val="20"/>
                <w:szCs w:val="20"/>
              </w:rPr>
              <w:t xml:space="preserve">Very High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D4EDDA"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Cost Savings</w:t>
            </w:r>
          </w:p>
          <w:p>
            <w:r>
              <w:rPr>
                <w:rFonts w:ascii="Arial" w:cs="Arial" w:eastAsia="Arial" w:hAnsi="Arial"/>
                <w:color w:val="334155"/>
                <w:sz w:val="20"/>
                <w:szCs w:val="20"/>
              </w:rPr>
              <w:t xml:space="preserve">5-year projected savings vs. Datadog: ₹7-12 crore. The self-hosted LGTM stack delivers equivalent or superior capabilities at 2-5% of the SaaS cost, while maintaining full data sovereignty required by SEBI.</w:t>
            </w:r>
          </w:p>
        </w:tc>
      </w:tr>
    </w:tbl>
    <w:p>
      <w:pPr>
        <w:spacing w:after="200"/>
      </w:pPr>
      <w:r>
        <w:t xml:space="preserve"/>
      </w:r>
    </w:p>
    <w:p>
      <w:r>
        <w:br w:type="page"/>
      </w:r>
    </w:p>
    <w:p>
      <w:pPr>
        <w:pStyle w:val="Heading1"/>
        <w:pBdr>
          <w:bottom w:val="single" w:color="0D7377" w:sz="4" w:space="4"/>
        </w:pBdr>
        <w:spacing w:before="360" w:after="200"/>
      </w:pPr>
      <w:r>
        <w:rPr>
          <w:rFonts w:ascii="Arial" w:cs="Arial" w:eastAsia="Arial" w:hAnsi="Arial"/>
          <w:b/>
          <w:bCs/>
          <w:color w:val="1E3A5F"/>
          <w:sz w:val="32"/>
          <w:szCs w:val="32"/>
        </w:rPr>
        <w:t xml:space="preserve">10. Implementation Roadmap</w:t>
      </w:r>
    </w:p>
    <w:p>
      <w:pPr>
        <w:pStyle w:val="Heading2"/>
        <w:spacing w:before="280" w:after="140"/>
      </w:pPr>
      <w:r>
        <w:rPr>
          <w:rFonts w:ascii="Arial" w:cs="Arial" w:eastAsia="Arial" w:hAnsi="Arial"/>
          <w:b/>
          <w:bCs/>
          <w:color w:val="0D7377"/>
          <w:sz w:val="26"/>
          <w:szCs w:val="26"/>
        </w:rPr>
        <w:t xml:space="preserve">Phase 1 — Foundation (Weeks 1-4)</w:t>
      </w:r>
    </w:p>
    <w:p>
      <w:pPr>
        <w:pStyle w:val="ListParagraph"/>
        <w:numPr>
          <w:ilvl w:val="0"/>
          <w:numId w:val="2"/>
        </w:numPr>
        <w:spacing w:after="80"/>
      </w:pPr>
      <w:r>
        <w:rPr>
          <w:rFonts w:ascii="Arial" w:cs="Arial" w:eastAsia="Arial" w:hAnsi="Arial"/>
          <w:b w:val="false"/>
          <w:bCs w:val="false"/>
          <w:color w:val="334155"/>
          <w:sz w:val="22"/>
          <w:szCs w:val="22"/>
        </w:rPr>
        <w:t xml:space="preserve">Deploy LGTM stack on Kubernetes (Loki, Mimir, Tempo, Grafana)</w:t>
      </w:r>
    </w:p>
    <w:p>
      <w:pPr>
        <w:pStyle w:val="ListParagraph"/>
        <w:numPr>
          <w:ilvl w:val="0"/>
          <w:numId w:val="2"/>
        </w:numPr>
        <w:spacing w:after="80"/>
      </w:pPr>
      <w:r>
        <w:rPr>
          <w:rFonts w:ascii="Arial" w:cs="Arial" w:eastAsia="Arial" w:hAnsi="Arial"/>
          <w:b w:val="false"/>
          <w:bCs w:val="false"/>
          <w:color w:val="334155"/>
          <w:sz w:val="22"/>
          <w:szCs w:val="22"/>
        </w:rPr>
        <w:t xml:space="preserve">Deploy Vector DaemonSet + OTel Collector DaemonSet</w:t>
      </w:r>
    </w:p>
    <w:p>
      <w:pPr>
        <w:pStyle w:val="ListParagraph"/>
        <w:numPr>
          <w:ilvl w:val="0"/>
          <w:numId w:val="2"/>
        </w:numPr>
        <w:spacing w:after="80"/>
      </w:pPr>
      <w:r>
        <w:rPr>
          <w:rFonts w:ascii="Arial" w:cs="Arial" w:eastAsia="Arial" w:hAnsi="Arial"/>
          <w:b w:val="false"/>
          <w:bCs w:val="false"/>
          <w:color w:val="334155"/>
          <w:sz w:val="22"/>
          <w:szCs w:val="22"/>
        </w:rPr>
        <w:t xml:space="preserve">Build internal obs-SDK for .NET (existing services)</w:t>
      </w:r>
    </w:p>
    <w:p>
      <w:pPr>
        <w:pStyle w:val="ListParagraph"/>
        <w:numPr>
          <w:ilvl w:val="0"/>
          <w:numId w:val="2"/>
        </w:numPr>
        <w:spacing w:after="80"/>
      </w:pPr>
      <w:r>
        <w:rPr>
          <w:rFonts w:ascii="Arial" w:cs="Arial" w:eastAsia="Arial" w:hAnsi="Arial"/>
          <w:b w:val="false"/>
          <w:bCs w:val="false"/>
          <w:color w:val="334155"/>
          <w:sz w:val="22"/>
          <w:szCs w:val="22"/>
        </w:rPr>
        <w:t xml:space="preserve">Configure PostgreSQL monitoring (pg_stat_statements + Vector log parsing)</w:t>
      </w:r>
    </w:p>
    <w:p>
      <w:pPr>
        <w:pStyle w:val="ListParagraph"/>
        <w:numPr>
          <w:ilvl w:val="0"/>
          <w:numId w:val="2"/>
        </w:numPr>
        <w:spacing w:after="80"/>
      </w:pPr>
      <w:r>
        <w:rPr>
          <w:rFonts w:ascii="Arial" w:cs="Arial" w:eastAsia="Arial" w:hAnsi="Arial"/>
          <w:b w:val="false"/>
          <w:bCs w:val="false"/>
          <w:color w:val="334155"/>
          <w:sz w:val="22"/>
          <w:szCs w:val="22"/>
        </w:rPr>
        <w:t xml:space="preserve">Set up ArgoCD GitOps repository for observability configs</w:t>
      </w:r>
    </w:p>
    <w:p>
      <w:pPr>
        <w:pStyle w:val="ListParagraph"/>
        <w:numPr>
          <w:ilvl w:val="0"/>
          <w:numId w:val="2"/>
        </w:numPr>
        <w:spacing w:after="80"/>
      </w:pPr>
      <w:r>
        <w:rPr>
          <w:rFonts w:ascii="Arial" w:cs="Arial" w:eastAsia="Arial" w:hAnsi="Arial"/>
          <w:b w:val="false"/>
          <w:bCs w:val="false"/>
          <w:color w:val="334155"/>
          <w:sz w:val="22"/>
          <w:szCs w:val="22"/>
        </w:rPr>
        <w:t xml:space="preserve">Deploy 5 core Grafana dashboards (Service Health, DB Health, Infrastructure)</w:t>
      </w:r>
    </w:p>
    <w:p>
      <w:pPr>
        <w:pStyle w:val="ListParagraph"/>
        <w:numPr>
          <w:ilvl w:val="0"/>
          <w:numId w:val="2"/>
        </w:numPr>
        <w:spacing w:after="80"/>
      </w:pPr>
      <w:r>
        <w:rPr>
          <w:rFonts w:ascii="Arial" w:cs="Arial" w:eastAsia="Arial" w:hAnsi="Arial"/>
          <w:b w:val="false"/>
          <w:bCs w:val="false"/>
          <w:color w:val="334155"/>
          <w:sz w:val="22"/>
          <w:szCs w:val="22"/>
        </w:rPr>
        <w:t xml:space="preserve">Configure P0/P1 alert rules with PagerDuty routing</w:t>
      </w:r>
    </w:p>
    <w:p>
      <w:pPr>
        <w:spacing w:after="80"/>
      </w:pPr>
      <w:r>
        <w:t xml:space="preserve"/>
      </w:r>
    </w:p>
    <w:p>
      <w:pPr>
        <w:pStyle w:val="Heading2"/>
        <w:spacing w:before="280" w:after="140"/>
      </w:pPr>
      <w:r>
        <w:rPr>
          <w:rFonts w:ascii="Arial" w:cs="Arial" w:eastAsia="Arial" w:hAnsi="Arial"/>
          <w:b/>
          <w:bCs/>
          <w:color w:val="0D7377"/>
          <w:sz w:val="26"/>
          <w:szCs w:val="26"/>
        </w:rPr>
        <w:t xml:space="preserve">Phase 2 — Full Coverage (Weeks 5-8)</w:t>
      </w:r>
    </w:p>
    <w:p>
      <w:pPr>
        <w:pStyle w:val="ListParagraph"/>
        <w:numPr>
          <w:ilvl w:val="0"/>
          <w:numId w:val="2"/>
        </w:numPr>
        <w:spacing w:after="80"/>
      </w:pPr>
      <w:r>
        <w:rPr>
          <w:rFonts w:ascii="Arial" w:cs="Arial" w:eastAsia="Arial" w:hAnsi="Arial"/>
          <w:b w:val="false"/>
          <w:bCs w:val="false"/>
          <w:color w:val="334155"/>
          <w:sz w:val="22"/>
          <w:szCs w:val="22"/>
        </w:rPr>
        <w:t xml:space="preserve">Build obs-SDK for Go, Python, Node.js</w:t>
      </w:r>
    </w:p>
    <w:p>
      <w:pPr>
        <w:pStyle w:val="ListParagraph"/>
        <w:numPr>
          <w:ilvl w:val="0"/>
          <w:numId w:val="2"/>
        </w:numPr>
        <w:spacing w:after="80"/>
      </w:pPr>
      <w:r>
        <w:rPr>
          <w:rFonts w:ascii="Arial" w:cs="Arial" w:eastAsia="Arial" w:hAnsi="Arial"/>
          <w:b w:val="false"/>
          <w:bCs w:val="false"/>
          <w:color w:val="334155"/>
          <w:sz w:val="22"/>
          <w:szCs w:val="22"/>
        </w:rPr>
        <w:t xml:space="preserve">Onboard all 10 services to obs-SDK</w:t>
      </w:r>
    </w:p>
    <w:p>
      <w:pPr>
        <w:pStyle w:val="ListParagraph"/>
        <w:numPr>
          <w:ilvl w:val="0"/>
          <w:numId w:val="2"/>
        </w:numPr>
        <w:spacing w:after="80"/>
      </w:pPr>
      <w:r>
        <w:rPr>
          <w:rFonts w:ascii="Arial" w:cs="Arial" w:eastAsia="Arial" w:hAnsi="Arial"/>
          <w:b w:val="false"/>
          <w:bCs w:val="false"/>
          <w:color w:val="334155"/>
          <w:sz w:val="22"/>
          <w:szCs w:val="22"/>
        </w:rPr>
        <w:t xml:space="preserve">Add Redis, Kafka, NGINX OTel receivers</w:t>
      </w:r>
    </w:p>
    <w:p>
      <w:pPr>
        <w:pStyle w:val="ListParagraph"/>
        <w:numPr>
          <w:ilvl w:val="0"/>
          <w:numId w:val="2"/>
        </w:numPr>
        <w:spacing w:after="80"/>
      </w:pPr>
      <w:r>
        <w:rPr>
          <w:rFonts w:ascii="Arial" w:cs="Arial" w:eastAsia="Arial" w:hAnsi="Arial"/>
          <w:b w:val="false"/>
          <w:bCs w:val="false"/>
          <w:color w:val="334155"/>
          <w:sz w:val="22"/>
          <w:szCs w:val="22"/>
        </w:rPr>
        <w:t xml:space="preserve">Deploy Kafka transport layer for production log pipeline</w:t>
      </w:r>
    </w:p>
    <w:p>
      <w:pPr>
        <w:pStyle w:val="ListParagraph"/>
        <w:numPr>
          <w:ilvl w:val="0"/>
          <w:numId w:val="2"/>
        </w:numPr>
        <w:spacing w:after="80"/>
      </w:pPr>
      <w:r>
        <w:rPr>
          <w:rFonts w:ascii="Arial" w:cs="Arial" w:eastAsia="Arial" w:hAnsi="Arial"/>
          <w:b w:val="false"/>
          <w:bCs w:val="false"/>
          <w:color w:val="334155"/>
          <w:sz w:val="22"/>
          <w:szCs w:val="22"/>
        </w:rPr>
        <w:t xml:space="preserve">Configure SEBI audit pipeline (DDL events → S3)</w:t>
      </w:r>
    </w:p>
    <w:p>
      <w:pPr>
        <w:pStyle w:val="ListParagraph"/>
        <w:numPr>
          <w:ilvl w:val="0"/>
          <w:numId w:val="2"/>
        </w:numPr>
        <w:spacing w:after="80"/>
      </w:pPr>
      <w:r>
        <w:rPr>
          <w:rFonts w:ascii="Arial" w:cs="Arial" w:eastAsia="Arial" w:hAnsi="Arial"/>
          <w:b w:val="false"/>
          <w:bCs w:val="false"/>
          <w:color w:val="334155"/>
          <w:sz w:val="22"/>
          <w:szCs w:val="22"/>
        </w:rPr>
        <w:t xml:space="preserve">Implement anomaly-based alerting rules</w:t>
      </w:r>
    </w:p>
    <w:p>
      <w:pPr>
        <w:pStyle w:val="ListParagraph"/>
        <w:numPr>
          <w:ilvl w:val="0"/>
          <w:numId w:val="2"/>
        </w:numPr>
        <w:spacing w:after="80"/>
      </w:pPr>
      <w:r>
        <w:rPr>
          <w:rFonts w:ascii="Arial" w:cs="Arial" w:eastAsia="Arial" w:hAnsi="Arial"/>
          <w:b w:val="false"/>
          <w:bCs w:val="false"/>
          <w:color w:val="334155"/>
          <w:sz w:val="22"/>
          <w:szCs w:val="22"/>
        </w:rPr>
        <w:t xml:space="preserve">Add Kubernetes events monitoring</w:t>
      </w:r>
    </w:p>
    <w:p>
      <w:pPr>
        <w:spacing w:after="80"/>
      </w:pPr>
      <w:r>
        <w:t xml:space="preserve"/>
      </w:r>
    </w:p>
    <w:p>
      <w:pPr>
        <w:pStyle w:val="Heading2"/>
        <w:spacing w:before="280" w:after="140"/>
      </w:pPr>
      <w:r>
        <w:rPr>
          <w:rFonts w:ascii="Arial" w:cs="Arial" w:eastAsia="Arial" w:hAnsi="Arial"/>
          <w:b/>
          <w:bCs/>
          <w:color w:val="0D7377"/>
          <w:sz w:val="26"/>
          <w:szCs w:val="26"/>
        </w:rPr>
        <w:t xml:space="preserve">Phase 3 — Scale Readiness (Weeks 9-12)</w:t>
      </w:r>
    </w:p>
    <w:p>
      <w:pPr>
        <w:pStyle w:val="ListParagraph"/>
        <w:numPr>
          <w:ilvl w:val="0"/>
          <w:numId w:val="2"/>
        </w:numPr>
        <w:spacing w:after="80"/>
      </w:pPr>
      <w:r>
        <w:rPr>
          <w:rFonts w:ascii="Arial" w:cs="Arial" w:eastAsia="Arial" w:hAnsi="Arial"/>
          <w:b w:val="false"/>
          <w:bCs w:val="false"/>
          <w:color w:val="334155"/>
          <w:sz w:val="22"/>
          <w:szCs w:val="22"/>
        </w:rPr>
        <w:t xml:space="preserve">Performance test at 100K logs/sec sustained load</w:t>
      </w:r>
    </w:p>
    <w:p>
      <w:pPr>
        <w:pStyle w:val="ListParagraph"/>
        <w:numPr>
          <w:ilvl w:val="0"/>
          <w:numId w:val="2"/>
        </w:numPr>
        <w:spacing w:after="80"/>
      </w:pPr>
      <w:r>
        <w:rPr>
          <w:rFonts w:ascii="Arial" w:cs="Arial" w:eastAsia="Arial" w:hAnsi="Arial"/>
          <w:b w:val="false"/>
          <w:bCs w:val="false"/>
          <w:color w:val="334155"/>
          <w:sz w:val="22"/>
          <w:szCs w:val="22"/>
        </w:rPr>
        <w:t xml:space="preserve">Document runbooks for all P0/P1 alert scenarios</w:t>
      </w:r>
    </w:p>
    <w:p>
      <w:pPr>
        <w:pStyle w:val="ListParagraph"/>
        <w:numPr>
          <w:ilvl w:val="0"/>
          <w:numId w:val="2"/>
        </w:numPr>
        <w:spacing w:after="80"/>
      </w:pPr>
      <w:r>
        <w:rPr>
          <w:rFonts w:ascii="Arial" w:cs="Arial" w:eastAsia="Arial" w:hAnsi="Arial"/>
          <w:b w:val="false"/>
          <w:bCs w:val="false"/>
          <w:color w:val="334155"/>
          <w:sz w:val="22"/>
          <w:szCs w:val="22"/>
        </w:rPr>
        <w:t xml:space="preserve">Add ClickHouse for SEBI compliance reporting queries</w:t>
      </w:r>
    </w:p>
    <w:p>
      <w:pPr>
        <w:pStyle w:val="ListParagraph"/>
        <w:numPr>
          <w:ilvl w:val="0"/>
          <w:numId w:val="2"/>
        </w:numPr>
        <w:spacing w:after="80"/>
      </w:pPr>
      <w:r>
        <w:rPr>
          <w:rFonts w:ascii="Arial" w:cs="Arial" w:eastAsia="Arial" w:hAnsi="Arial"/>
          <w:b w:val="false"/>
          <w:bCs w:val="false"/>
          <w:color w:val="334155"/>
          <w:sz w:val="22"/>
          <w:szCs w:val="22"/>
        </w:rPr>
        <w:t xml:space="preserve">Train all service teams on observability best practices</w:t>
      </w:r>
    </w:p>
    <w:p>
      <w:pPr>
        <w:pStyle w:val="ListParagraph"/>
        <w:numPr>
          <w:ilvl w:val="0"/>
          <w:numId w:val="2"/>
        </w:numPr>
        <w:spacing w:after="80"/>
      </w:pPr>
      <w:r>
        <w:rPr>
          <w:rFonts w:ascii="Arial" w:cs="Arial" w:eastAsia="Arial" w:hAnsi="Arial"/>
          <w:b w:val="false"/>
          <w:bCs w:val="false"/>
          <w:color w:val="334155"/>
          <w:sz w:val="22"/>
          <w:szCs w:val="22"/>
        </w:rPr>
        <w:t xml:space="preserve">Establish SLOs and error budgets for all services</w:t>
      </w:r>
    </w:p>
    <w:p>
      <w:pPr>
        <w:pStyle w:val="ListParagraph"/>
        <w:numPr>
          <w:ilvl w:val="0"/>
          <w:numId w:val="2"/>
        </w:numPr>
        <w:spacing w:after="80"/>
      </w:pPr>
      <w:r>
        <w:rPr>
          <w:rFonts w:ascii="Arial" w:cs="Arial" w:eastAsia="Arial" w:hAnsi="Arial"/>
          <w:b w:val="false"/>
          <w:bCs w:val="false"/>
          <w:color w:val="334155"/>
          <w:sz w:val="22"/>
          <w:szCs w:val="22"/>
        </w:rPr>
        <w:t xml:space="preserve">Implement capacity planning dashboards</w:t>
      </w:r>
    </w:p>
    <w:p>
      <w:pPr>
        <w:spacing w:after="200"/>
      </w:pPr>
      <w:r>
        <w:t xml:space="preserve"/>
      </w:r>
    </w:p>
    <w:p>
      <w:r>
        <w:br w:type="page"/>
      </w:r>
    </w:p>
    <w:p>
      <w:pPr>
        <w:pStyle w:val="Heading1"/>
        <w:pBdr>
          <w:bottom w:val="single" w:color="0D7377" w:sz="4" w:space="4"/>
        </w:pBdr>
        <w:spacing w:before="360" w:after="200"/>
      </w:pPr>
      <w:r>
        <w:rPr>
          <w:rFonts w:ascii="Arial" w:cs="Arial" w:eastAsia="Arial" w:hAnsi="Arial"/>
          <w:b/>
          <w:bCs/>
          <w:color w:val="1E3A5F"/>
          <w:sz w:val="32"/>
          <w:szCs w:val="32"/>
        </w:rPr>
        <w:t xml:space="preserve">11. Conclusion &amp; Recommendation</w:t>
      </w:r>
    </w:p>
    <w:p>
      <w:pPr>
        <w:spacing w:after="120"/>
      </w:pPr>
      <w:r>
        <w:rPr>
          <w:rFonts w:ascii="Arial" w:cs="Arial" w:eastAsia="Arial" w:hAnsi="Arial"/>
          <w:color w:val="334155"/>
          <w:sz w:val="22"/>
          <w:szCs w:val="22"/>
        </w:rPr>
        <w:t xml:space="preserve">The proposed observability architecture provides Centricity Wealth Tech with a production-grade, SEBI-compliant, full-stack observability platform that:</w:t>
      </w:r>
    </w:p>
    <w:p>
      <w:pPr>
        <w:spacing w:after="60"/>
      </w:pPr>
      <w:r>
        <w:t xml:space="preserve"/>
      </w:r>
    </w:p>
    <w:p>
      <w:pPr>
        <w:pStyle w:val="ListParagraph"/>
        <w:numPr>
          <w:ilvl w:val="0"/>
          <w:numId w:val="2"/>
        </w:numPr>
        <w:spacing w:after="80"/>
      </w:pPr>
      <w:r>
        <w:rPr>
          <w:rFonts w:ascii="Arial" w:cs="Arial" w:eastAsia="Arial" w:hAnsi="Arial"/>
          <w:b/>
          <w:bCs/>
          <w:color w:val="334155"/>
          <w:sz w:val="22"/>
          <w:szCs w:val="22"/>
        </w:rPr>
        <w:t xml:space="preserve">Covers all 10 current services and all their dependencies (PostgreSQL, Redis, Kafka, NGINX)</w:t>
      </w:r>
    </w:p>
    <w:p>
      <w:pPr>
        <w:pStyle w:val="ListParagraph"/>
        <w:numPr>
          <w:ilvl w:val="0"/>
          <w:numId w:val="2"/>
        </w:numPr>
        <w:spacing w:after="80"/>
      </w:pPr>
      <w:r>
        <w:rPr>
          <w:rFonts w:ascii="Arial" w:cs="Arial" w:eastAsia="Arial" w:hAnsi="Arial"/>
          <w:b/>
          <w:bCs/>
          <w:color w:val="334155"/>
          <w:sz w:val="22"/>
          <w:szCs w:val="22"/>
        </w:rPr>
        <w:t xml:space="preserve">Scales transparently to 50+ services without architectural changes</w:t>
      </w:r>
    </w:p>
    <w:p>
      <w:pPr>
        <w:pStyle w:val="ListParagraph"/>
        <w:numPr>
          <w:ilvl w:val="0"/>
          <w:numId w:val="2"/>
        </w:numPr>
        <w:spacing w:after="80"/>
      </w:pPr>
      <w:r>
        <w:rPr>
          <w:rFonts w:ascii="Arial" w:cs="Arial" w:eastAsia="Arial" w:hAnsi="Arial"/>
          <w:b/>
          <w:bCs/>
          <w:color w:val="334155"/>
          <w:sz w:val="22"/>
          <w:szCs w:val="22"/>
        </w:rPr>
        <w:t xml:space="preserve">Costs ~$370/month vs $15,000-25,000/month for equivalent SaaS coverage</w:t>
      </w:r>
    </w:p>
    <w:p>
      <w:pPr>
        <w:pStyle w:val="ListParagraph"/>
        <w:numPr>
          <w:ilvl w:val="0"/>
          <w:numId w:val="2"/>
        </w:numPr>
        <w:spacing w:after="80"/>
      </w:pPr>
      <w:r>
        <w:rPr>
          <w:rFonts w:ascii="Arial" w:cs="Arial" w:eastAsia="Arial" w:hAnsi="Arial"/>
          <w:b/>
          <w:bCs/>
          <w:color w:val="334155"/>
          <w:sz w:val="22"/>
          <w:szCs w:val="22"/>
        </w:rPr>
        <w:t xml:space="preserve">Keeps all financial data within Indian jurisdiction — critical for SEBI compliance</w:t>
      </w:r>
    </w:p>
    <w:p>
      <w:pPr>
        <w:pStyle w:val="ListParagraph"/>
        <w:numPr>
          <w:ilvl w:val="0"/>
          <w:numId w:val="2"/>
        </w:numPr>
        <w:spacing w:after="80"/>
      </w:pPr>
      <w:r>
        <w:rPr>
          <w:rFonts w:ascii="Arial" w:cs="Arial" w:eastAsia="Arial" w:hAnsi="Arial"/>
          <w:b/>
          <w:bCs/>
          <w:color w:val="334155"/>
          <w:sz w:val="22"/>
          <w:szCs w:val="22"/>
        </w:rPr>
        <w:t xml:space="preserve">Provides built-in PII masking, DDL audit trails, and 7-year retention capability</w:t>
      </w:r>
    </w:p>
    <w:p>
      <w:pPr>
        <w:pStyle w:val="ListParagraph"/>
        <w:numPr>
          <w:ilvl w:val="0"/>
          <w:numId w:val="2"/>
        </w:numPr>
        <w:spacing w:after="80"/>
      </w:pPr>
      <w:r>
        <w:rPr>
          <w:rFonts w:ascii="Arial" w:cs="Arial" w:eastAsia="Arial" w:hAnsi="Arial"/>
          <w:b/>
          <w:bCs/>
          <w:color w:val="334155"/>
          <w:sz w:val="22"/>
          <w:szCs w:val="22"/>
        </w:rPr>
        <w:t xml:space="preserve">Uses GitOps for centralized, auditable configuration management across all nodes</w:t>
      </w:r>
    </w:p>
    <w:p>
      <w:pPr>
        <w:pStyle w:val="ListParagraph"/>
        <w:numPr>
          <w:ilvl w:val="0"/>
          <w:numId w:val="2"/>
        </w:numPr>
        <w:spacing w:after="80"/>
      </w:pPr>
      <w:r>
        <w:rPr>
          <w:rFonts w:ascii="Arial" w:cs="Arial" w:eastAsia="Arial" w:hAnsi="Arial"/>
          <w:b/>
          <w:bCs/>
          <w:color w:val="334155"/>
          <w:sz w:val="22"/>
          <w:szCs w:val="22"/>
        </w:rPr>
        <w:t xml:space="preserve">Automatically handles Kubernetes autoscaling — new nodes are observable in &lt; 60 seconds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E8F4FD"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Recommendation</w:t>
            </w:r>
          </w:p>
          <w:p>
            <w:r>
              <w:rPr>
                <w:rFonts w:ascii="Arial" w:cs="Arial" w:eastAsia="Arial" w:hAnsi="Arial"/>
                <w:color w:val="334155"/>
                <w:sz w:val="20"/>
                <w:szCs w:val="20"/>
              </w:rPr>
              <w:t xml:space="preserve">Approve Phase 1 implementation immediately. The Platform Engineering team can have the foundational stack running within 2 weeks. The investment in this infrastructure pays back within the first production incident it helps resolve — which at our current growth rate is likely within the first month of operation.</w:t>
            </w:r>
          </w:p>
        </w:tc>
      </w:tr>
    </w:tbl>
    <w:p>
      <w:pPr>
        <w:spacing w:after="120"/>
      </w:pPr>
      <w:r>
        <w:t xml:space="preserve"/>
      </w:r>
    </w:p>
    <w:p>
      <w:pPr>
        <w:spacing w:after="120"/>
      </w:pPr>
      <w:r>
        <w:rPr>
          <w:rFonts w:ascii="Arial" w:cs="Arial" w:eastAsia="Arial" w:hAnsi="Arial"/>
          <w:color w:val="334155"/>
          <w:sz w:val="22"/>
          <w:szCs w:val="22"/>
        </w:rPr>
        <w:t xml:space="preserve">Questions or clarifications can be directed to the Platform Modernization Team.</w:t>
      </w:r>
    </w:p>
    <w:p>
      <w:pPr>
        <w:spacing w:after="400"/>
      </w:pPr>
      <w:r>
        <w:t xml:space="preserve"/>
      </w:r>
    </w:p>
    <w:p>
      <w:pPr>
        <w:jc w:val="center"/>
      </w:pPr>
      <w:r>
        <w:rPr>
          <w:rFonts w:ascii="Arial" w:cs="Arial" w:eastAsia="Arial" w:hAnsi="Arial"/>
          <w:i/>
          <w:iCs/>
          <w:color w:val="94A3B8"/>
          <w:sz w:val="18"/>
          <w:szCs w:val="18"/>
        </w:rPr>
        <w:t xml:space="preserve">Document prepared by Platform Engineering — Centricity Wealth Tech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94A3B8"/>
        <w:sz w:val="16"/>
        <w:szCs w:val="16"/>
      </w:rPr>
      <w:t xml:space="preserve">Confidential — Centricity Wealth Tech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jc w:val="right"/>
    </w:pPr>
    <w:r>
      <w:rPr>
        <w:rFonts w:ascii="Arial" w:cs="Arial" w:eastAsia="Arial" w:hAnsi="Arial"/>
        <w:color w:val="94A3B8"/>
        <w:sz w:val="18"/>
        <w:szCs w:val="18"/>
      </w:rPr>
      <w:t xml:space="preserve">Centricity Wealth Tech  |  Platform Observability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0D737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2026-02-22T21:28:01.987Z</dcterms:created>
  <dcterms:modified xsi:type="dcterms:W3CDTF">2026-02-22T21:28:01.988Z</dcterms:modified>
</cp:coreProperties>
</file>

<file path=docProps/custom.xml><?xml version="1.0" encoding="utf-8"?>
<Properties xmlns="http://schemas.openxmlformats.org/officeDocument/2006/custom-properties" xmlns:vt="http://schemas.openxmlformats.org/officeDocument/2006/docPropsVTypes"/>
</file>