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A60AD5" w14:textId="77777777" w:rsidR="00BE2090" w:rsidRPr="00BE2090" w:rsidRDefault="00BE2090" w:rsidP="00FD4D8D">
      <w:pPr>
        <w:pStyle w:val="Sinespaciado"/>
        <w:jc w:val="center"/>
        <w:rPr>
          <w:b/>
          <w:bCs/>
          <w:sz w:val="36"/>
          <w:szCs w:val="36"/>
        </w:rPr>
      </w:pPr>
      <w:r w:rsidRPr="00BE2090">
        <w:rPr>
          <w:b/>
          <w:bCs/>
          <w:sz w:val="36"/>
          <w:szCs w:val="36"/>
        </w:rPr>
        <w:t>Informe Ejecutivo: Modernización Integral del Centro de Monitoreo Municipal – San Salvador Sur</w:t>
      </w:r>
    </w:p>
    <w:p w14:paraId="1AAFBD71" w14:textId="77777777" w:rsidR="00BE2090" w:rsidRDefault="00BE2090" w:rsidP="00FD4D8D">
      <w:pPr>
        <w:pStyle w:val="Sinespaciado"/>
        <w:jc w:val="both"/>
        <w:rPr>
          <w:b/>
          <w:bCs/>
        </w:rPr>
      </w:pPr>
    </w:p>
    <w:p w14:paraId="326B1376" w14:textId="163FB177" w:rsidR="00BE2090" w:rsidRDefault="00BE2090" w:rsidP="00FD4D8D">
      <w:pPr>
        <w:pStyle w:val="Sinespaciado"/>
        <w:jc w:val="both"/>
      </w:pPr>
      <w:r>
        <w:rPr>
          <w:b/>
          <w:bCs/>
        </w:rPr>
        <w:t>DIRIGIDO A</w:t>
      </w:r>
      <w:r w:rsidRPr="00BE2090">
        <w:rPr>
          <w:b/>
          <w:bCs/>
        </w:rPr>
        <w:t>:</w:t>
      </w:r>
      <w:r w:rsidRPr="00BE2090">
        <w:t xml:space="preserve"> Honorable </w:t>
      </w:r>
      <w:proofErr w:type="gramStart"/>
      <w:r w:rsidRPr="00BE2090">
        <w:t>Alcalde</w:t>
      </w:r>
      <w:proofErr w:type="gramEnd"/>
      <w:r w:rsidRPr="00BE2090">
        <w:t xml:space="preserve"> </w:t>
      </w:r>
      <w:r>
        <w:t>Lic. Mario Roberto Vásquez.</w:t>
      </w:r>
    </w:p>
    <w:p w14:paraId="279268DF" w14:textId="77777777" w:rsidR="00BE2090" w:rsidRDefault="00BE2090" w:rsidP="00FD4D8D">
      <w:pPr>
        <w:pStyle w:val="Sinespaciado"/>
        <w:jc w:val="both"/>
      </w:pPr>
      <w:r w:rsidRPr="00BE2090">
        <w:rPr>
          <w:b/>
          <w:bCs/>
        </w:rPr>
        <w:t>ASUNTO:</w:t>
      </w:r>
      <w:r w:rsidRPr="00BE2090">
        <w:t xml:space="preserve"> Propuesta Estratégica para la Modernización del Centro de Monitoreo (SSS)</w:t>
      </w:r>
    </w:p>
    <w:p w14:paraId="16FA84BE" w14:textId="42873F32" w:rsidR="00BE2090" w:rsidRDefault="00BE2090" w:rsidP="00FD4D8D">
      <w:pPr>
        <w:pStyle w:val="Sinespaciado"/>
        <w:jc w:val="both"/>
      </w:pPr>
      <w:r w:rsidRPr="00BE2090">
        <w:rPr>
          <w:b/>
          <w:bCs/>
        </w:rPr>
        <w:t>FECHA:</w:t>
      </w:r>
      <w:r w:rsidRPr="00BE2090">
        <w:t xml:space="preserve"> Julio de 2026</w:t>
      </w:r>
    </w:p>
    <w:p w14:paraId="59904B69" w14:textId="77777777" w:rsidR="00BE2090" w:rsidRPr="00BE2090" w:rsidRDefault="00BE2090" w:rsidP="00FD4D8D">
      <w:pPr>
        <w:pStyle w:val="Sinespaciado"/>
        <w:jc w:val="both"/>
      </w:pPr>
    </w:p>
    <w:p w14:paraId="23C32E10" w14:textId="77777777" w:rsidR="00BE2090" w:rsidRPr="00BE2090" w:rsidRDefault="00BE2090" w:rsidP="00FD4D8D">
      <w:pPr>
        <w:pStyle w:val="Sinespaciado"/>
        <w:jc w:val="both"/>
        <w:rPr>
          <w:b/>
          <w:bCs/>
        </w:rPr>
      </w:pPr>
      <w:r w:rsidRPr="00BE2090">
        <w:rPr>
          <w:b/>
          <w:bCs/>
        </w:rPr>
        <w:t>1. Propósito y Alcance del Proyecto</w:t>
      </w:r>
    </w:p>
    <w:p w14:paraId="11CAE8C4" w14:textId="77777777" w:rsidR="00BE2090" w:rsidRPr="00BE2090" w:rsidRDefault="00BE2090" w:rsidP="00FD4D8D">
      <w:pPr>
        <w:pStyle w:val="Sinespaciado"/>
        <w:jc w:val="both"/>
      </w:pPr>
      <w:r w:rsidRPr="00BE2090">
        <w:t xml:space="preserve">El proyecto de modernización del </w:t>
      </w:r>
      <w:r w:rsidRPr="00BE2090">
        <w:rPr>
          <w:b/>
          <w:bCs/>
        </w:rPr>
        <w:t>Centro de Monitoreo de San Salvador Sur (</w:t>
      </w:r>
      <w:proofErr w:type="spellStart"/>
      <w:r w:rsidRPr="00BE2090">
        <w:rPr>
          <w:b/>
          <w:bCs/>
        </w:rPr>
        <w:t>SSSur</w:t>
      </w:r>
      <w:proofErr w:type="spellEnd"/>
      <w:r w:rsidRPr="00BE2090">
        <w:rPr>
          <w:b/>
          <w:bCs/>
        </w:rPr>
        <w:t>)</w:t>
      </w:r>
      <w:r w:rsidRPr="00BE2090">
        <w:t xml:space="preserve"> tiene como objetivo central consolidar la soberanía operativa de la municipalidad mediante una infraestructura digital de misión crítica. La meta es centralizar la gestión de denuncias, las intervenciones de campo y el seguimiento de cuadrillas en una plataforma única, eliminando la fragmentación de la información.</w:t>
      </w:r>
    </w:p>
    <w:p w14:paraId="30506F96" w14:textId="2487D256" w:rsidR="00BE2090" w:rsidRDefault="00BE2090" w:rsidP="00FD4D8D">
      <w:pPr>
        <w:pStyle w:val="Sinespaciado"/>
        <w:jc w:val="both"/>
      </w:pPr>
      <w:r w:rsidRPr="00BE2090">
        <w:t xml:space="preserve">Este sistema transforma la administración pública del municipio hacia un modelo de gestión inteligente del territorio, permitiendo que cada intervención cuente con trazabilidad total. En esta fase inicial, el sistema está diseñado para </w:t>
      </w:r>
      <w:r w:rsidRPr="00BE2090">
        <w:rPr>
          <w:b/>
          <w:bCs/>
        </w:rPr>
        <w:t>Uso Interno Exclusivo</w:t>
      </w:r>
      <w:r w:rsidRPr="00BE2090">
        <w:t>, garantizando que el personal municipal valide los flujos operativos antes de cualquier apertura externa.</w:t>
      </w:r>
    </w:p>
    <w:p w14:paraId="099CF840" w14:textId="77777777" w:rsidR="00BE2090" w:rsidRPr="00BE2090" w:rsidRDefault="00BE2090" w:rsidP="00FD4D8D">
      <w:pPr>
        <w:pStyle w:val="Sinespaciado"/>
        <w:jc w:val="both"/>
      </w:pPr>
    </w:p>
    <w:p w14:paraId="18D592CE" w14:textId="77777777" w:rsidR="00BE2090" w:rsidRPr="00BE2090" w:rsidRDefault="00BE2090" w:rsidP="00FD4D8D">
      <w:pPr>
        <w:pStyle w:val="Sinespaciado"/>
        <w:jc w:val="both"/>
        <w:rPr>
          <w:b/>
          <w:bCs/>
        </w:rPr>
      </w:pPr>
      <w:r w:rsidRPr="00BE2090">
        <w:rPr>
          <w:b/>
          <w:bCs/>
        </w:rPr>
        <w:t>2. Arquitectura de la Solución: Centralización Operativa</w:t>
      </w:r>
    </w:p>
    <w:p w14:paraId="69C90AA8" w14:textId="046F8183" w:rsidR="00BE2090" w:rsidRPr="00BE2090" w:rsidRDefault="00BE2090" w:rsidP="00FD4D8D">
      <w:pPr>
        <w:pStyle w:val="Sinespaciado"/>
        <w:jc w:val="both"/>
      </w:pPr>
      <w:r w:rsidRPr="00BE2090">
        <w:t>La arquitectura se divide en dos pilares tecnológicos que actúan de forma sincronizada para optimizar el despliegue en el territorio:</w:t>
      </w:r>
    </w:p>
    <w:p w14:paraId="0C2C5993" w14:textId="77777777" w:rsidR="00BE2090" w:rsidRPr="00BE2090" w:rsidRDefault="00BE2090" w:rsidP="00FD4D8D">
      <w:pPr>
        <w:pStyle w:val="Sinespaciado"/>
        <w:numPr>
          <w:ilvl w:val="0"/>
          <w:numId w:val="6"/>
        </w:numPr>
        <w:jc w:val="both"/>
      </w:pPr>
      <w:r w:rsidRPr="00BE2090">
        <w:rPr>
          <w:b/>
          <w:bCs/>
        </w:rPr>
        <w:t>Panel de Administración (Centro de Monitoreo):</w:t>
      </w:r>
    </w:p>
    <w:p w14:paraId="1C7510B4" w14:textId="77777777" w:rsidR="00BE2090" w:rsidRPr="00BE2090" w:rsidRDefault="00BE2090" w:rsidP="00FD4D8D">
      <w:pPr>
        <w:pStyle w:val="Sinespaciado"/>
        <w:numPr>
          <w:ilvl w:val="1"/>
          <w:numId w:val="6"/>
        </w:numPr>
        <w:jc w:val="both"/>
      </w:pPr>
      <w:r w:rsidRPr="00BE2090">
        <w:rPr>
          <w:b/>
          <w:bCs/>
        </w:rPr>
        <w:t>Dashboard de Control:</w:t>
      </w:r>
      <w:r w:rsidRPr="00BE2090">
        <w:t xml:space="preserve"> Visualización de </w:t>
      </w:r>
      <w:proofErr w:type="spellStart"/>
      <w:r w:rsidRPr="00BE2090">
        <w:t>KPIs</w:t>
      </w:r>
      <w:proofErr w:type="spellEnd"/>
      <w:r w:rsidRPr="00BE2090">
        <w:t xml:space="preserve"> y analítica para la toma de decisiones basada en datos reales.</w:t>
      </w:r>
    </w:p>
    <w:p w14:paraId="520E9AFD" w14:textId="77777777" w:rsidR="00BE2090" w:rsidRPr="00BE2090" w:rsidRDefault="00BE2090" w:rsidP="00FD4D8D">
      <w:pPr>
        <w:pStyle w:val="Sinespaciado"/>
        <w:numPr>
          <w:ilvl w:val="1"/>
          <w:numId w:val="6"/>
        </w:numPr>
        <w:jc w:val="both"/>
      </w:pPr>
      <w:r w:rsidRPr="00BE2090">
        <w:rPr>
          <w:b/>
          <w:bCs/>
        </w:rPr>
        <w:t>Mapa GIS Avanzado:</w:t>
      </w:r>
      <w:r w:rsidRPr="00BE2090">
        <w:t xml:space="preserve"> Equipado con mapas de calor para identificar "</w:t>
      </w:r>
      <w:proofErr w:type="spellStart"/>
      <w:r w:rsidRPr="00BE2090">
        <w:t>hotspots</w:t>
      </w:r>
      <w:proofErr w:type="spellEnd"/>
      <w:r w:rsidRPr="00BE2090">
        <w:t>" de incidencias, herramientas de medición de distancias y polígonos distritales.</w:t>
      </w:r>
    </w:p>
    <w:p w14:paraId="12CBEEC2" w14:textId="198452F7" w:rsidR="00BE2090" w:rsidRPr="00BE2090" w:rsidRDefault="00BE2090" w:rsidP="00FD4D8D">
      <w:pPr>
        <w:pStyle w:val="Sinespaciado"/>
        <w:numPr>
          <w:ilvl w:val="1"/>
          <w:numId w:val="6"/>
        </w:numPr>
        <w:jc w:val="both"/>
      </w:pPr>
      <w:r w:rsidRPr="00BE2090">
        <w:rPr>
          <w:b/>
          <w:bCs/>
        </w:rPr>
        <w:t>Gestión Centralizada:</w:t>
      </w:r>
      <w:r w:rsidRPr="00BE2090">
        <w:t xml:space="preserve"> Supervisión en tiempo real de intervenciones y auditoría de personal.</w:t>
      </w:r>
    </w:p>
    <w:p w14:paraId="1F98C53A" w14:textId="77777777" w:rsidR="00BE2090" w:rsidRPr="00BE2090" w:rsidRDefault="00BE2090" w:rsidP="00FD4D8D">
      <w:pPr>
        <w:pStyle w:val="Sinespaciado"/>
        <w:numPr>
          <w:ilvl w:val="0"/>
          <w:numId w:val="6"/>
        </w:numPr>
        <w:jc w:val="both"/>
      </w:pPr>
      <w:r w:rsidRPr="00BE2090">
        <w:rPr>
          <w:b/>
          <w:bCs/>
        </w:rPr>
        <w:t>PWA para Empleados de Campo (Cuadrillas):</w:t>
      </w:r>
    </w:p>
    <w:p w14:paraId="42D30D73" w14:textId="77777777" w:rsidR="00BE2090" w:rsidRPr="00BE2090" w:rsidRDefault="00BE2090" w:rsidP="00FD4D8D">
      <w:pPr>
        <w:pStyle w:val="Sinespaciado"/>
        <w:numPr>
          <w:ilvl w:val="1"/>
          <w:numId w:val="6"/>
        </w:numPr>
        <w:jc w:val="both"/>
      </w:pPr>
      <w:r w:rsidRPr="00BE2090">
        <w:rPr>
          <w:b/>
          <w:bCs/>
        </w:rPr>
        <w:t>Movilidad Total:</w:t>
      </w:r>
      <w:r w:rsidRPr="00BE2090">
        <w:t xml:space="preserve"> Aplicación móvil diseñada para la recepción inmediata de tareas y navegación GPS.</w:t>
      </w:r>
    </w:p>
    <w:p w14:paraId="35B7C447" w14:textId="77777777" w:rsidR="00BE2090" w:rsidRPr="00BE2090" w:rsidRDefault="00BE2090" w:rsidP="00FD4D8D">
      <w:pPr>
        <w:pStyle w:val="Sinespaciado"/>
        <w:numPr>
          <w:ilvl w:val="1"/>
          <w:numId w:val="6"/>
        </w:numPr>
        <w:jc w:val="both"/>
      </w:pPr>
      <w:r w:rsidRPr="00BE2090">
        <w:rPr>
          <w:b/>
          <w:bCs/>
        </w:rPr>
        <w:t>Buzón Offline:</w:t>
      </w:r>
      <w:r w:rsidRPr="00BE2090">
        <w:t xml:space="preserve"> Herramienta crítica para la topografía de San Salvador Sur, permitiendo que el personal registre datos en zonas de baja cobertura y los sincronice automáticamente al recuperar señal.</w:t>
      </w:r>
    </w:p>
    <w:p w14:paraId="65F1A6EA" w14:textId="65EC5BE8" w:rsidR="00BE2090" w:rsidRDefault="00BE2090" w:rsidP="00FD4D8D">
      <w:pPr>
        <w:pStyle w:val="Sinespaciado"/>
        <w:numPr>
          <w:ilvl w:val="1"/>
          <w:numId w:val="6"/>
        </w:numPr>
        <w:jc w:val="both"/>
      </w:pPr>
      <w:r w:rsidRPr="00BE2090">
        <w:rPr>
          <w:b/>
          <w:bCs/>
        </w:rPr>
        <w:t>Evidencia In Situ:</w:t>
      </w:r>
      <w:r w:rsidRPr="00BE2090">
        <w:t xml:space="preserve"> Recolección obligatoria de pruebas fotográficas para documentar la resolución de cada incidente.</w:t>
      </w:r>
    </w:p>
    <w:p w14:paraId="378EB703" w14:textId="77777777" w:rsidR="00BE2090" w:rsidRPr="00BE2090" w:rsidRDefault="00BE2090" w:rsidP="00FD4D8D">
      <w:pPr>
        <w:pStyle w:val="Sinespaciado"/>
        <w:jc w:val="both"/>
      </w:pPr>
    </w:p>
    <w:p w14:paraId="029D5805" w14:textId="77777777" w:rsidR="00BE2090" w:rsidRPr="00BE2090" w:rsidRDefault="00BE2090" w:rsidP="00FD4D8D">
      <w:pPr>
        <w:pStyle w:val="Sinespaciado"/>
        <w:jc w:val="both"/>
        <w:rPr>
          <w:b/>
          <w:bCs/>
        </w:rPr>
      </w:pPr>
      <w:r w:rsidRPr="00BE2090">
        <w:rPr>
          <w:b/>
          <w:bCs/>
        </w:rPr>
        <w:t>3. Eficiencia en la Gestión de Incidentes y Denuncias</w:t>
      </w:r>
    </w:p>
    <w:p w14:paraId="694678B4" w14:textId="790FBEDC" w:rsidR="00BE2090" w:rsidRDefault="00BE2090" w:rsidP="00FD4D8D">
      <w:pPr>
        <w:pStyle w:val="Sinespaciado"/>
        <w:jc w:val="both"/>
      </w:pPr>
      <w:r w:rsidRPr="00BE2090">
        <w:t xml:space="preserve">La modernización introduce un flujo de trabajo optimizado que clasifica automáticamente las problemáticas municipales para una respuesta ágil. El sistema ya integra categorías específicas adaptadas a la realidad local, tales como </w:t>
      </w:r>
      <w:r w:rsidRPr="00BE2090">
        <w:rPr>
          <w:b/>
          <w:bCs/>
        </w:rPr>
        <w:t>Peligro de Derrumbe</w:t>
      </w:r>
      <w:r w:rsidRPr="00BE2090">
        <w:t xml:space="preserve">, </w:t>
      </w:r>
      <w:r w:rsidRPr="00BE2090">
        <w:rPr>
          <w:b/>
          <w:bCs/>
        </w:rPr>
        <w:t>Árbol o Rama Peligrosa</w:t>
      </w:r>
      <w:r w:rsidRPr="00BE2090">
        <w:t xml:space="preserve">, </w:t>
      </w:r>
      <w:r w:rsidRPr="00BE2090">
        <w:rPr>
          <w:b/>
          <w:bCs/>
        </w:rPr>
        <w:t>Inestabilidad de Terreno</w:t>
      </w:r>
      <w:r w:rsidRPr="00BE2090">
        <w:t xml:space="preserve"> y </w:t>
      </w:r>
      <w:r w:rsidRPr="00BE2090">
        <w:rPr>
          <w:b/>
          <w:bCs/>
        </w:rPr>
        <w:t>Venta Ilegal de Alcohol</w:t>
      </w:r>
      <w:r w:rsidRPr="00BE2090">
        <w:t>.</w:t>
      </w:r>
    </w:p>
    <w:p w14:paraId="71BC00C8" w14:textId="5476E9CC" w:rsidR="00BE2090" w:rsidRDefault="00BE2090" w:rsidP="00FD4D8D">
      <w:pPr>
        <w:pStyle w:val="Sinespaciado"/>
        <w:jc w:val="both"/>
      </w:pPr>
    </w:p>
    <w:p w14:paraId="4F9176C5" w14:textId="77777777" w:rsidR="00BE2090" w:rsidRPr="00BE2090" w:rsidRDefault="00BE2090" w:rsidP="00FD4D8D">
      <w:pPr>
        <w:pStyle w:val="Sinespaciado"/>
        <w:jc w:val="both"/>
        <w:rPr>
          <w:b/>
          <w:bCs/>
        </w:rPr>
      </w:pPr>
      <w:r w:rsidRPr="00BE2090">
        <w:rPr>
          <w:b/>
          <w:bCs/>
        </w:rPr>
        <w:t>Comparativa de Gestión Territorial</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98"/>
        <w:gridCol w:w="4375"/>
        <w:gridCol w:w="4611"/>
      </w:tblGrid>
      <w:tr w:rsidR="00BE2090" w:rsidRPr="00BE2090" w14:paraId="165753F1" w14:textId="77777777" w:rsidTr="00BE2090">
        <w:tc>
          <w:tcPr>
            <w:tcW w:w="0" w:type="auto"/>
            <w:tcBorders>
              <w:top w:val="outset" w:sz="6" w:space="0" w:color="auto"/>
              <w:left w:val="outset" w:sz="6" w:space="0" w:color="auto"/>
              <w:bottom w:val="outset" w:sz="6" w:space="0" w:color="auto"/>
              <w:right w:val="outset" w:sz="6" w:space="0" w:color="auto"/>
            </w:tcBorders>
            <w:vAlign w:val="center"/>
            <w:hideMark/>
          </w:tcPr>
          <w:p w14:paraId="1A864B32" w14:textId="77777777" w:rsidR="00BE2090" w:rsidRPr="00BE2090" w:rsidRDefault="00BE2090" w:rsidP="00FD4D8D">
            <w:pPr>
              <w:pStyle w:val="Sinespaciado"/>
              <w:jc w:val="both"/>
              <w:rPr>
                <w:sz w:val="20"/>
                <w:szCs w:val="20"/>
              </w:rPr>
            </w:pPr>
            <w:r w:rsidRPr="00BE2090">
              <w:rPr>
                <w:sz w:val="20"/>
                <w:szCs w:val="20"/>
              </w:rPr>
              <w:t>Característica</w:t>
            </w:r>
          </w:p>
        </w:tc>
        <w:tc>
          <w:tcPr>
            <w:tcW w:w="0" w:type="auto"/>
            <w:tcBorders>
              <w:top w:val="outset" w:sz="6" w:space="0" w:color="auto"/>
              <w:left w:val="outset" w:sz="6" w:space="0" w:color="auto"/>
              <w:bottom w:val="outset" w:sz="6" w:space="0" w:color="auto"/>
              <w:right w:val="outset" w:sz="6" w:space="0" w:color="auto"/>
            </w:tcBorders>
            <w:vAlign w:val="center"/>
            <w:hideMark/>
          </w:tcPr>
          <w:p w14:paraId="2CFF78A9" w14:textId="77777777" w:rsidR="00BE2090" w:rsidRPr="00BE2090" w:rsidRDefault="00BE2090" w:rsidP="00FD4D8D">
            <w:pPr>
              <w:pStyle w:val="Sinespaciado"/>
              <w:jc w:val="both"/>
              <w:rPr>
                <w:sz w:val="20"/>
                <w:szCs w:val="20"/>
              </w:rPr>
            </w:pPr>
            <w:r w:rsidRPr="00BE2090">
              <w:rPr>
                <w:sz w:val="20"/>
                <w:szCs w:val="20"/>
              </w:rPr>
              <w:t>Gestión Tradicional (Manual/Fraccionada)</w:t>
            </w:r>
          </w:p>
        </w:tc>
        <w:tc>
          <w:tcPr>
            <w:tcW w:w="0" w:type="auto"/>
            <w:tcBorders>
              <w:top w:val="outset" w:sz="6" w:space="0" w:color="auto"/>
              <w:left w:val="outset" w:sz="6" w:space="0" w:color="auto"/>
              <w:bottom w:val="outset" w:sz="6" w:space="0" w:color="auto"/>
              <w:right w:val="outset" w:sz="6" w:space="0" w:color="auto"/>
            </w:tcBorders>
            <w:vAlign w:val="center"/>
            <w:hideMark/>
          </w:tcPr>
          <w:p w14:paraId="5FC4A769" w14:textId="77777777" w:rsidR="00BE2090" w:rsidRPr="00BE2090" w:rsidRDefault="00BE2090" w:rsidP="00FD4D8D">
            <w:pPr>
              <w:pStyle w:val="Sinespaciado"/>
              <w:jc w:val="both"/>
              <w:rPr>
                <w:sz w:val="20"/>
                <w:szCs w:val="20"/>
              </w:rPr>
            </w:pPr>
            <w:r w:rsidRPr="00BE2090">
              <w:rPr>
                <w:sz w:val="20"/>
                <w:szCs w:val="20"/>
              </w:rPr>
              <w:t>Gestión Modernizada (Digital/Centralizada)</w:t>
            </w:r>
          </w:p>
        </w:tc>
      </w:tr>
      <w:tr w:rsidR="00BE2090" w:rsidRPr="00BE2090" w14:paraId="432A98CA" w14:textId="77777777" w:rsidTr="00BE2090">
        <w:tc>
          <w:tcPr>
            <w:tcW w:w="0" w:type="auto"/>
            <w:tcBorders>
              <w:top w:val="outset" w:sz="6" w:space="0" w:color="auto"/>
              <w:left w:val="outset" w:sz="6" w:space="0" w:color="auto"/>
              <w:bottom w:val="outset" w:sz="6" w:space="0" w:color="auto"/>
              <w:right w:val="outset" w:sz="6" w:space="0" w:color="auto"/>
            </w:tcBorders>
            <w:vAlign w:val="center"/>
            <w:hideMark/>
          </w:tcPr>
          <w:p w14:paraId="2F3C1480" w14:textId="77777777" w:rsidR="00BE2090" w:rsidRPr="00BE2090" w:rsidRDefault="00BE2090" w:rsidP="00FD4D8D">
            <w:pPr>
              <w:pStyle w:val="Sinespaciado"/>
              <w:jc w:val="both"/>
              <w:rPr>
                <w:sz w:val="20"/>
                <w:szCs w:val="20"/>
              </w:rPr>
            </w:pPr>
            <w:r w:rsidRPr="00BE2090">
              <w:rPr>
                <w:b/>
                <w:bCs/>
                <w:sz w:val="20"/>
                <w:szCs w:val="20"/>
              </w:rPr>
              <w:t>Registro de Datos</w:t>
            </w:r>
          </w:p>
        </w:tc>
        <w:tc>
          <w:tcPr>
            <w:tcW w:w="0" w:type="auto"/>
            <w:tcBorders>
              <w:top w:val="outset" w:sz="6" w:space="0" w:color="auto"/>
              <w:left w:val="outset" w:sz="6" w:space="0" w:color="auto"/>
              <w:bottom w:val="outset" w:sz="6" w:space="0" w:color="auto"/>
              <w:right w:val="outset" w:sz="6" w:space="0" w:color="auto"/>
            </w:tcBorders>
            <w:vAlign w:val="center"/>
            <w:hideMark/>
          </w:tcPr>
          <w:p w14:paraId="2EEB4513" w14:textId="77777777" w:rsidR="00BE2090" w:rsidRPr="00BE2090" w:rsidRDefault="00BE2090" w:rsidP="00FD4D8D">
            <w:pPr>
              <w:pStyle w:val="Sinespaciado"/>
              <w:jc w:val="both"/>
              <w:rPr>
                <w:sz w:val="20"/>
                <w:szCs w:val="20"/>
              </w:rPr>
            </w:pPr>
            <w:r w:rsidRPr="00BE2090">
              <w:rPr>
                <w:sz w:val="20"/>
                <w:szCs w:val="20"/>
              </w:rPr>
              <w:t>Reportes aislados o en papel.</w:t>
            </w:r>
          </w:p>
        </w:tc>
        <w:tc>
          <w:tcPr>
            <w:tcW w:w="0" w:type="auto"/>
            <w:tcBorders>
              <w:top w:val="outset" w:sz="6" w:space="0" w:color="auto"/>
              <w:left w:val="outset" w:sz="6" w:space="0" w:color="auto"/>
              <w:bottom w:val="outset" w:sz="6" w:space="0" w:color="auto"/>
              <w:right w:val="outset" w:sz="6" w:space="0" w:color="auto"/>
            </w:tcBorders>
            <w:vAlign w:val="center"/>
            <w:hideMark/>
          </w:tcPr>
          <w:p w14:paraId="12C5A3D3" w14:textId="77777777" w:rsidR="00BE2090" w:rsidRPr="00BE2090" w:rsidRDefault="00BE2090" w:rsidP="00FD4D8D">
            <w:pPr>
              <w:pStyle w:val="Sinespaciado"/>
              <w:jc w:val="both"/>
              <w:rPr>
                <w:sz w:val="20"/>
                <w:szCs w:val="20"/>
              </w:rPr>
            </w:pPr>
            <w:r w:rsidRPr="00BE2090">
              <w:rPr>
                <w:sz w:val="20"/>
                <w:szCs w:val="20"/>
              </w:rPr>
              <w:t>Base de Datos única (Fuente de Verdad).</w:t>
            </w:r>
          </w:p>
        </w:tc>
      </w:tr>
      <w:tr w:rsidR="00BE2090" w:rsidRPr="00BE2090" w14:paraId="492A5DD6" w14:textId="77777777" w:rsidTr="00BE2090">
        <w:tc>
          <w:tcPr>
            <w:tcW w:w="0" w:type="auto"/>
            <w:tcBorders>
              <w:top w:val="outset" w:sz="6" w:space="0" w:color="auto"/>
              <w:left w:val="outset" w:sz="6" w:space="0" w:color="auto"/>
              <w:bottom w:val="outset" w:sz="6" w:space="0" w:color="auto"/>
              <w:right w:val="outset" w:sz="6" w:space="0" w:color="auto"/>
            </w:tcBorders>
            <w:vAlign w:val="center"/>
            <w:hideMark/>
          </w:tcPr>
          <w:p w14:paraId="54344DA1" w14:textId="77777777" w:rsidR="00BE2090" w:rsidRPr="00BE2090" w:rsidRDefault="00BE2090" w:rsidP="00FD4D8D">
            <w:pPr>
              <w:pStyle w:val="Sinespaciado"/>
              <w:jc w:val="both"/>
              <w:rPr>
                <w:sz w:val="20"/>
                <w:szCs w:val="20"/>
              </w:rPr>
            </w:pPr>
            <w:r w:rsidRPr="00BE2090">
              <w:rPr>
                <w:b/>
                <w:bCs/>
                <w:sz w:val="20"/>
                <w:szCs w:val="20"/>
              </w:rPr>
              <w:t>Ubicación</w:t>
            </w:r>
          </w:p>
        </w:tc>
        <w:tc>
          <w:tcPr>
            <w:tcW w:w="0" w:type="auto"/>
            <w:tcBorders>
              <w:top w:val="outset" w:sz="6" w:space="0" w:color="auto"/>
              <w:left w:val="outset" w:sz="6" w:space="0" w:color="auto"/>
              <w:bottom w:val="outset" w:sz="6" w:space="0" w:color="auto"/>
              <w:right w:val="outset" w:sz="6" w:space="0" w:color="auto"/>
            </w:tcBorders>
            <w:vAlign w:val="center"/>
            <w:hideMark/>
          </w:tcPr>
          <w:p w14:paraId="759307EE" w14:textId="77777777" w:rsidR="00BE2090" w:rsidRPr="00BE2090" w:rsidRDefault="00BE2090" w:rsidP="00FD4D8D">
            <w:pPr>
              <w:pStyle w:val="Sinespaciado"/>
              <w:jc w:val="both"/>
              <w:rPr>
                <w:sz w:val="20"/>
                <w:szCs w:val="20"/>
              </w:rPr>
            </w:pPr>
            <w:r w:rsidRPr="00BE2090">
              <w:rPr>
                <w:sz w:val="20"/>
                <w:szCs w:val="20"/>
              </w:rPr>
              <w:t>Referencias verbales imprecisas.</w:t>
            </w:r>
          </w:p>
        </w:tc>
        <w:tc>
          <w:tcPr>
            <w:tcW w:w="0" w:type="auto"/>
            <w:tcBorders>
              <w:top w:val="outset" w:sz="6" w:space="0" w:color="auto"/>
              <w:left w:val="outset" w:sz="6" w:space="0" w:color="auto"/>
              <w:bottom w:val="outset" w:sz="6" w:space="0" w:color="auto"/>
              <w:right w:val="outset" w:sz="6" w:space="0" w:color="auto"/>
            </w:tcBorders>
            <w:vAlign w:val="center"/>
            <w:hideMark/>
          </w:tcPr>
          <w:p w14:paraId="24A42BA0" w14:textId="77777777" w:rsidR="00BE2090" w:rsidRPr="00BE2090" w:rsidRDefault="00BE2090" w:rsidP="00FD4D8D">
            <w:pPr>
              <w:pStyle w:val="Sinespaciado"/>
              <w:jc w:val="both"/>
              <w:rPr>
                <w:sz w:val="20"/>
                <w:szCs w:val="20"/>
              </w:rPr>
            </w:pPr>
            <w:r w:rsidRPr="00BE2090">
              <w:rPr>
                <w:sz w:val="20"/>
                <w:szCs w:val="20"/>
              </w:rPr>
              <w:t>Geolocalización exacta mediante GPS.</w:t>
            </w:r>
          </w:p>
        </w:tc>
      </w:tr>
      <w:tr w:rsidR="00BE2090" w:rsidRPr="00BE2090" w14:paraId="25732D2A" w14:textId="77777777" w:rsidTr="00BE2090">
        <w:tc>
          <w:tcPr>
            <w:tcW w:w="0" w:type="auto"/>
            <w:tcBorders>
              <w:top w:val="outset" w:sz="6" w:space="0" w:color="auto"/>
              <w:left w:val="outset" w:sz="6" w:space="0" w:color="auto"/>
              <w:bottom w:val="outset" w:sz="6" w:space="0" w:color="auto"/>
              <w:right w:val="outset" w:sz="6" w:space="0" w:color="auto"/>
            </w:tcBorders>
            <w:vAlign w:val="center"/>
            <w:hideMark/>
          </w:tcPr>
          <w:p w14:paraId="795EA3DE" w14:textId="77777777" w:rsidR="00BE2090" w:rsidRPr="00BE2090" w:rsidRDefault="00BE2090" w:rsidP="00FD4D8D">
            <w:pPr>
              <w:pStyle w:val="Sinespaciado"/>
              <w:jc w:val="both"/>
              <w:rPr>
                <w:sz w:val="20"/>
                <w:szCs w:val="20"/>
              </w:rPr>
            </w:pPr>
            <w:r w:rsidRPr="00BE2090">
              <w:rPr>
                <w:b/>
                <w:bCs/>
                <w:sz w:val="20"/>
                <w:szCs w:val="20"/>
              </w:rPr>
              <w:t>Auditoría</w:t>
            </w:r>
          </w:p>
        </w:tc>
        <w:tc>
          <w:tcPr>
            <w:tcW w:w="0" w:type="auto"/>
            <w:tcBorders>
              <w:top w:val="outset" w:sz="6" w:space="0" w:color="auto"/>
              <w:left w:val="outset" w:sz="6" w:space="0" w:color="auto"/>
              <w:bottom w:val="outset" w:sz="6" w:space="0" w:color="auto"/>
              <w:right w:val="outset" w:sz="6" w:space="0" w:color="auto"/>
            </w:tcBorders>
            <w:vAlign w:val="center"/>
            <w:hideMark/>
          </w:tcPr>
          <w:p w14:paraId="3EC186A4" w14:textId="77777777" w:rsidR="00BE2090" w:rsidRPr="00BE2090" w:rsidRDefault="00BE2090" w:rsidP="00FD4D8D">
            <w:pPr>
              <w:pStyle w:val="Sinespaciado"/>
              <w:jc w:val="both"/>
              <w:rPr>
                <w:sz w:val="20"/>
                <w:szCs w:val="20"/>
              </w:rPr>
            </w:pPr>
            <w:r w:rsidRPr="00BE2090">
              <w:rPr>
                <w:sz w:val="20"/>
                <w:szCs w:val="20"/>
              </w:rPr>
              <w:t xml:space="preserve">Reportes alterables o </w:t>
            </w:r>
            <w:proofErr w:type="spellStart"/>
            <w:r w:rsidRPr="00BE2090">
              <w:rPr>
                <w:sz w:val="20"/>
                <w:szCs w:val="20"/>
              </w:rPr>
              <w:t>extraviables</w:t>
            </w:r>
            <w:proofErr w:type="spellEnd"/>
            <w:r w:rsidRPr="00BE2090">
              <w:rPr>
                <w:sz w:val="20"/>
                <w:szCs w:val="20"/>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21571952" w14:textId="77777777" w:rsidR="00BE2090" w:rsidRPr="00BE2090" w:rsidRDefault="00BE2090" w:rsidP="00FD4D8D">
            <w:pPr>
              <w:pStyle w:val="Sinespaciado"/>
              <w:jc w:val="both"/>
              <w:rPr>
                <w:sz w:val="20"/>
                <w:szCs w:val="20"/>
              </w:rPr>
            </w:pPr>
            <w:r w:rsidRPr="00BE2090">
              <w:rPr>
                <w:b/>
                <w:bCs/>
                <w:sz w:val="20"/>
                <w:szCs w:val="20"/>
              </w:rPr>
              <w:t>Bitácora Inmutable</w:t>
            </w:r>
            <w:r w:rsidRPr="00BE2090">
              <w:rPr>
                <w:sz w:val="20"/>
                <w:szCs w:val="20"/>
              </w:rPr>
              <w:t xml:space="preserve"> (Registro imborrable).</w:t>
            </w:r>
          </w:p>
        </w:tc>
      </w:tr>
      <w:tr w:rsidR="00BE2090" w:rsidRPr="00BE2090" w14:paraId="15AD99B0" w14:textId="77777777" w:rsidTr="00BE2090">
        <w:tc>
          <w:tcPr>
            <w:tcW w:w="0" w:type="auto"/>
            <w:tcBorders>
              <w:top w:val="outset" w:sz="6" w:space="0" w:color="auto"/>
              <w:left w:val="outset" w:sz="6" w:space="0" w:color="auto"/>
              <w:bottom w:val="outset" w:sz="6" w:space="0" w:color="auto"/>
              <w:right w:val="outset" w:sz="6" w:space="0" w:color="auto"/>
            </w:tcBorders>
            <w:vAlign w:val="center"/>
            <w:hideMark/>
          </w:tcPr>
          <w:p w14:paraId="4E987DF2" w14:textId="77777777" w:rsidR="00BE2090" w:rsidRPr="00BE2090" w:rsidRDefault="00BE2090" w:rsidP="00FD4D8D">
            <w:pPr>
              <w:pStyle w:val="Sinespaciado"/>
              <w:jc w:val="both"/>
              <w:rPr>
                <w:sz w:val="20"/>
                <w:szCs w:val="20"/>
              </w:rPr>
            </w:pPr>
            <w:r w:rsidRPr="00BE2090">
              <w:rPr>
                <w:b/>
                <w:bCs/>
                <w:sz w:val="20"/>
                <w:szCs w:val="20"/>
              </w:rPr>
              <w:t>Evidencia</w:t>
            </w:r>
          </w:p>
        </w:tc>
        <w:tc>
          <w:tcPr>
            <w:tcW w:w="0" w:type="auto"/>
            <w:tcBorders>
              <w:top w:val="outset" w:sz="6" w:space="0" w:color="auto"/>
              <w:left w:val="outset" w:sz="6" w:space="0" w:color="auto"/>
              <w:bottom w:val="outset" w:sz="6" w:space="0" w:color="auto"/>
              <w:right w:val="outset" w:sz="6" w:space="0" w:color="auto"/>
            </w:tcBorders>
            <w:vAlign w:val="center"/>
            <w:hideMark/>
          </w:tcPr>
          <w:p w14:paraId="4B249703" w14:textId="77777777" w:rsidR="00BE2090" w:rsidRPr="00BE2090" w:rsidRDefault="00BE2090" w:rsidP="00FD4D8D">
            <w:pPr>
              <w:pStyle w:val="Sinespaciado"/>
              <w:jc w:val="both"/>
              <w:rPr>
                <w:sz w:val="20"/>
                <w:szCs w:val="20"/>
              </w:rPr>
            </w:pPr>
            <w:r w:rsidRPr="00BE2090">
              <w:rPr>
                <w:sz w:val="20"/>
                <w:szCs w:val="20"/>
              </w:rPr>
              <w:t>Documentación escasa o nula.</w:t>
            </w:r>
          </w:p>
        </w:tc>
        <w:tc>
          <w:tcPr>
            <w:tcW w:w="0" w:type="auto"/>
            <w:tcBorders>
              <w:top w:val="outset" w:sz="6" w:space="0" w:color="auto"/>
              <w:left w:val="outset" w:sz="6" w:space="0" w:color="auto"/>
              <w:bottom w:val="outset" w:sz="6" w:space="0" w:color="auto"/>
              <w:right w:val="outset" w:sz="6" w:space="0" w:color="auto"/>
            </w:tcBorders>
            <w:vAlign w:val="center"/>
            <w:hideMark/>
          </w:tcPr>
          <w:p w14:paraId="55C22FB8" w14:textId="77777777" w:rsidR="00BE2090" w:rsidRPr="00BE2090" w:rsidRDefault="00BE2090" w:rsidP="00FD4D8D">
            <w:pPr>
              <w:pStyle w:val="Sinespaciado"/>
              <w:jc w:val="both"/>
              <w:rPr>
                <w:sz w:val="20"/>
                <w:szCs w:val="20"/>
              </w:rPr>
            </w:pPr>
            <w:r w:rsidRPr="00BE2090">
              <w:rPr>
                <w:sz w:val="20"/>
                <w:szCs w:val="20"/>
              </w:rPr>
              <w:t>Respaldo fotográfico obligatorio por sistema.</w:t>
            </w:r>
          </w:p>
        </w:tc>
      </w:tr>
      <w:tr w:rsidR="00BE2090" w:rsidRPr="00BE2090" w14:paraId="52BCE29C" w14:textId="77777777" w:rsidTr="00BE2090">
        <w:tc>
          <w:tcPr>
            <w:tcW w:w="0" w:type="auto"/>
            <w:tcBorders>
              <w:top w:val="outset" w:sz="6" w:space="0" w:color="auto"/>
              <w:left w:val="outset" w:sz="6" w:space="0" w:color="auto"/>
              <w:bottom w:val="outset" w:sz="6" w:space="0" w:color="auto"/>
              <w:right w:val="outset" w:sz="6" w:space="0" w:color="auto"/>
            </w:tcBorders>
            <w:vAlign w:val="center"/>
            <w:hideMark/>
          </w:tcPr>
          <w:p w14:paraId="3FEDA15F" w14:textId="77777777" w:rsidR="00BE2090" w:rsidRPr="00BE2090" w:rsidRDefault="00BE2090" w:rsidP="00FD4D8D">
            <w:pPr>
              <w:pStyle w:val="Sinespaciado"/>
              <w:jc w:val="both"/>
              <w:rPr>
                <w:sz w:val="20"/>
                <w:szCs w:val="20"/>
              </w:rPr>
            </w:pPr>
            <w:r w:rsidRPr="00BE2090">
              <w:rPr>
                <w:b/>
                <w:bCs/>
                <w:sz w:val="20"/>
                <w:szCs w:val="20"/>
              </w:rPr>
              <w:t>Resiliencia</w:t>
            </w:r>
          </w:p>
        </w:tc>
        <w:tc>
          <w:tcPr>
            <w:tcW w:w="0" w:type="auto"/>
            <w:tcBorders>
              <w:top w:val="outset" w:sz="6" w:space="0" w:color="auto"/>
              <w:left w:val="outset" w:sz="6" w:space="0" w:color="auto"/>
              <w:bottom w:val="outset" w:sz="6" w:space="0" w:color="auto"/>
              <w:right w:val="outset" w:sz="6" w:space="0" w:color="auto"/>
            </w:tcBorders>
            <w:vAlign w:val="center"/>
            <w:hideMark/>
          </w:tcPr>
          <w:p w14:paraId="1A548857" w14:textId="77777777" w:rsidR="00BE2090" w:rsidRPr="00BE2090" w:rsidRDefault="00BE2090" w:rsidP="00FD4D8D">
            <w:pPr>
              <w:pStyle w:val="Sinespaciado"/>
              <w:jc w:val="both"/>
              <w:rPr>
                <w:sz w:val="20"/>
                <w:szCs w:val="20"/>
              </w:rPr>
            </w:pPr>
            <w:r w:rsidRPr="00BE2090">
              <w:rPr>
                <w:sz w:val="20"/>
                <w:szCs w:val="20"/>
              </w:rPr>
              <w:t>Trabajo paralizado sin señal.</w:t>
            </w:r>
          </w:p>
        </w:tc>
        <w:tc>
          <w:tcPr>
            <w:tcW w:w="0" w:type="auto"/>
            <w:tcBorders>
              <w:top w:val="outset" w:sz="6" w:space="0" w:color="auto"/>
              <w:left w:val="outset" w:sz="6" w:space="0" w:color="auto"/>
              <w:bottom w:val="outset" w:sz="6" w:space="0" w:color="auto"/>
              <w:right w:val="outset" w:sz="6" w:space="0" w:color="auto"/>
            </w:tcBorders>
            <w:vAlign w:val="center"/>
            <w:hideMark/>
          </w:tcPr>
          <w:p w14:paraId="37FF2861" w14:textId="77777777" w:rsidR="00BE2090" w:rsidRPr="00BE2090" w:rsidRDefault="00BE2090" w:rsidP="00FD4D8D">
            <w:pPr>
              <w:pStyle w:val="Sinespaciado"/>
              <w:jc w:val="both"/>
              <w:rPr>
                <w:sz w:val="20"/>
                <w:szCs w:val="20"/>
              </w:rPr>
            </w:pPr>
            <w:r w:rsidRPr="00BE2090">
              <w:rPr>
                <w:b/>
                <w:bCs/>
                <w:sz w:val="20"/>
                <w:szCs w:val="20"/>
              </w:rPr>
              <w:t>Buzón Offline</w:t>
            </w:r>
            <w:r w:rsidRPr="00BE2090">
              <w:rPr>
                <w:sz w:val="20"/>
                <w:szCs w:val="20"/>
              </w:rPr>
              <w:t xml:space="preserve"> para zonas rurales/difíciles.</w:t>
            </w:r>
          </w:p>
        </w:tc>
      </w:tr>
    </w:tbl>
    <w:p w14:paraId="21E1D313" w14:textId="77777777" w:rsidR="00BE2090" w:rsidRDefault="00BE2090" w:rsidP="00FD4D8D">
      <w:pPr>
        <w:pStyle w:val="Sinespaciado"/>
        <w:jc w:val="both"/>
        <w:rPr>
          <w:b/>
          <w:bCs/>
        </w:rPr>
      </w:pPr>
    </w:p>
    <w:p w14:paraId="334E5E8D" w14:textId="5FD8F953" w:rsidR="00BE2090" w:rsidRPr="00BE2090" w:rsidRDefault="00BE2090" w:rsidP="00FD4D8D">
      <w:pPr>
        <w:pStyle w:val="Sinespaciado"/>
        <w:jc w:val="both"/>
        <w:rPr>
          <w:b/>
          <w:bCs/>
        </w:rPr>
      </w:pPr>
      <w:r w:rsidRPr="00BE2090">
        <w:rPr>
          <w:b/>
          <w:bCs/>
        </w:rPr>
        <w:lastRenderedPageBreak/>
        <w:t>4. Seguridad de los Datos y Modelo de Confianza Cero (Zero Trust)</w:t>
      </w:r>
    </w:p>
    <w:p w14:paraId="608E25EE" w14:textId="77777777" w:rsidR="00BE2090" w:rsidRPr="00BE2090" w:rsidRDefault="00BE2090" w:rsidP="00FD4D8D">
      <w:pPr>
        <w:pStyle w:val="Sinespaciado"/>
        <w:jc w:val="both"/>
      </w:pPr>
      <w:r w:rsidRPr="00BE2090">
        <w:t xml:space="preserve">Para proteger la integridad institucional, el sistema implementa un modelo de </w:t>
      </w:r>
      <w:r w:rsidRPr="00BE2090">
        <w:rPr>
          <w:b/>
          <w:bCs/>
        </w:rPr>
        <w:t>Confianza Cero (Zero Trust)</w:t>
      </w:r>
      <w:r w:rsidRPr="00BE2090">
        <w:t>. A diferencia de sistemas convencionales, la seguridad no reside en la aplicación, sino que está blindada a nivel de Base de Datos:</w:t>
      </w:r>
    </w:p>
    <w:p w14:paraId="48520C14" w14:textId="77777777" w:rsidR="00BE2090" w:rsidRPr="00BE2090" w:rsidRDefault="00BE2090" w:rsidP="00FD4D8D">
      <w:pPr>
        <w:pStyle w:val="Sinespaciado"/>
        <w:numPr>
          <w:ilvl w:val="0"/>
          <w:numId w:val="7"/>
        </w:numPr>
        <w:jc w:val="both"/>
      </w:pPr>
      <w:r w:rsidRPr="00BE2090">
        <w:rPr>
          <w:b/>
          <w:bCs/>
        </w:rPr>
        <w:t>Validación Geográfica Estricta:</w:t>
      </w:r>
      <w:r w:rsidRPr="00BE2090">
        <w:t xml:space="preserve"> La base de datos rechaza automáticamente cualquier intento de registro fuera del "</w:t>
      </w:r>
      <w:proofErr w:type="spellStart"/>
      <w:r w:rsidRPr="00BE2090">
        <w:t>bounding</w:t>
      </w:r>
      <w:proofErr w:type="spellEnd"/>
      <w:r w:rsidRPr="00BE2090">
        <w:t xml:space="preserve"> box" del municipio (</w:t>
      </w:r>
      <w:proofErr w:type="spellStart"/>
      <w:r w:rsidRPr="00BE2090">
        <w:t>Lat</w:t>
      </w:r>
      <w:proofErr w:type="spellEnd"/>
      <w:r w:rsidRPr="00BE2090">
        <w:t xml:space="preserve"> 13.60–13.80, </w:t>
      </w:r>
      <w:proofErr w:type="spellStart"/>
      <w:r w:rsidRPr="00BE2090">
        <w:t>Lng</w:t>
      </w:r>
      <w:proofErr w:type="spellEnd"/>
      <w:r w:rsidRPr="00BE2090">
        <w:t xml:space="preserve"> -89.30 a -89.10). Esto garantiza que no se procesen datos ajenos a San Salvador Sur.</w:t>
      </w:r>
    </w:p>
    <w:p w14:paraId="0EA63555" w14:textId="77777777" w:rsidR="00BE2090" w:rsidRPr="00BE2090" w:rsidRDefault="00BE2090" w:rsidP="00FD4D8D">
      <w:pPr>
        <w:pStyle w:val="Sinespaciado"/>
        <w:numPr>
          <w:ilvl w:val="0"/>
          <w:numId w:val="7"/>
        </w:numPr>
        <w:jc w:val="both"/>
      </w:pPr>
      <w:r w:rsidRPr="00BE2090">
        <w:rPr>
          <w:b/>
          <w:bCs/>
        </w:rPr>
        <w:t>Bitácora de Auditoría Inmutable:</w:t>
      </w:r>
      <w:r w:rsidRPr="00BE2090">
        <w:t xml:space="preserve"> Cada acción (quién, cuándo y qué se modificó) queda registrada automáticamente en un historial protegido que no puede ser alterado ni por administradores, asegurando transparencia total.</w:t>
      </w:r>
    </w:p>
    <w:p w14:paraId="1958BE18" w14:textId="6F6B4549" w:rsidR="00BE2090" w:rsidRDefault="00BE2090" w:rsidP="00FD4D8D">
      <w:pPr>
        <w:pStyle w:val="Sinespaciado"/>
        <w:numPr>
          <w:ilvl w:val="0"/>
          <w:numId w:val="7"/>
        </w:numPr>
        <w:jc w:val="both"/>
      </w:pPr>
      <w:r w:rsidRPr="00BE2090">
        <w:rPr>
          <w:b/>
          <w:bCs/>
        </w:rPr>
        <w:t>Privacidad Blindada:</w:t>
      </w:r>
      <w:r w:rsidRPr="00BE2090">
        <w:t xml:space="preserve"> Los datos sensibles, como números de contacto, están protegidos mediante capas de seguridad que solo el personal autorizado puede visualizar.</w:t>
      </w:r>
    </w:p>
    <w:p w14:paraId="014DE301" w14:textId="77777777" w:rsidR="00BE2090" w:rsidRPr="00BE2090" w:rsidRDefault="00BE2090" w:rsidP="00FD4D8D">
      <w:pPr>
        <w:pStyle w:val="Sinespaciado"/>
        <w:jc w:val="both"/>
      </w:pPr>
    </w:p>
    <w:p w14:paraId="7C816BBE" w14:textId="77777777" w:rsidR="00BE2090" w:rsidRPr="00BE2090" w:rsidRDefault="00BE2090" w:rsidP="00FD4D8D">
      <w:pPr>
        <w:pStyle w:val="Sinespaciado"/>
        <w:jc w:val="both"/>
        <w:rPr>
          <w:b/>
          <w:bCs/>
        </w:rPr>
      </w:pPr>
      <w:r w:rsidRPr="00BE2090">
        <w:rPr>
          <w:b/>
          <w:bCs/>
        </w:rPr>
        <w:t>5. Estrategia de Implementación: De Prototipo a Producción</w:t>
      </w:r>
    </w:p>
    <w:p w14:paraId="0C0F4DBD" w14:textId="77777777" w:rsidR="00BE2090" w:rsidRPr="00BE2090" w:rsidRDefault="00BE2090" w:rsidP="00FD4D8D">
      <w:pPr>
        <w:pStyle w:val="Sinespaciado"/>
        <w:jc w:val="both"/>
      </w:pPr>
      <w:r w:rsidRPr="00BE2090">
        <w:t xml:space="preserve">La estrategia de implementación se basa en una </w:t>
      </w:r>
      <w:r w:rsidRPr="00BE2090">
        <w:rPr>
          <w:b/>
          <w:bCs/>
        </w:rPr>
        <w:t>Arquitectura Híbrida</w:t>
      </w:r>
      <w:r w:rsidRPr="00BE2090">
        <w:t xml:space="preserve"> para maximizar la eficiencia de los recursos ya pagados por la municipalidad:</w:t>
      </w:r>
    </w:p>
    <w:p w14:paraId="42260CEC" w14:textId="77777777" w:rsidR="00BE2090" w:rsidRPr="00BE2090" w:rsidRDefault="00BE2090" w:rsidP="00FD4D8D">
      <w:pPr>
        <w:pStyle w:val="Sinespaciado"/>
        <w:numPr>
          <w:ilvl w:val="0"/>
          <w:numId w:val="8"/>
        </w:numPr>
        <w:jc w:val="both"/>
      </w:pPr>
      <w:r w:rsidRPr="00BE2090">
        <w:rPr>
          <w:b/>
          <w:bCs/>
        </w:rPr>
        <w:t>Analogía Estratégica:</w:t>
      </w:r>
      <w:r w:rsidRPr="00BE2090">
        <w:t xml:space="preserve"> Implementar este sistema mediante </w:t>
      </w:r>
      <w:proofErr w:type="spellStart"/>
      <w:r w:rsidRPr="00BE2090">
        <w:rPr>
          <w:b/>
          <w:bCs/>
        </w:rPr>
        <w:t>Supabase</w:t>
      </w:r>
      <w:proofErr w:type="spellEnd"/>
      <w:r w:rsidRPr="00BE2090">
        <w:t xml:space="preserve"> es equivalente a adquirir un vehículo de alta gama con mantenimiento incluido. Construir un servidor propio (VPS) equivaldría a intentar montar una fábrica de autos solo para obtener un vehículo; el costo y el riesgo técnico no se justifican para la escala municipal.</w:t>
      </w:r>
    </w:p>
    <w:p w14:paraId="48CA9B97" w14:textId="77777777" w:rsidR="00BE2090" w:rsidRPr="00BE2090" w:rsidRDefault="00BE2090" w:rsidP="00FD4D8D">
      <w:pPr>
        <w:pStyle w:val="Sinespaciado"/>
        <w:numPr>
          <w:ilvl w:val="0"/>
          <w:numId w:val="8"/>
        </w:numPr>
        <w:jc w:val="both"/>
      </w:pPr>
      <w:r w:rsidRPr="00BE2090">
        <w:rPr>
          <w:b/>
          <w:bCs/>
        </w:rPr>
        <w:t>Fase de Validación:</w:t>
      </w:r>
      <w:r w:rsidRPr="00BE2090">
        <w:t xml:space="preserve"> Actualmente operamos con </w:t>
      </w:r>
      <w:proofErr w:type="spellStart"/>
      <w:r w:rsidRPr="00BE2090">
        <w:rPr>
          <w:b/>
          <w:bCs/>
        </w:rPr>
        <w:t>Supabase</w:t>
      </w:r>
      <w:proofErr w:type="spellEnd"/>
      <w:r w:rsidRPr="00BE2090">
        <w:rPr>
          <w:b/>
          <w:bCs/>
        </w:rPr>
        <w:t xml:space="preserve"> FREE</w:t>
      </w:r>
      <w:r w:rsidRPr="00BE2090">
        <w:t xml:space="preserve"> para validar la experiencia de usuario sin costos iniciales.</w:t>
      </w:r>
    </w:p>
    <w:p w14:paraId="1FBFD23D" w14:textId="77777777" w:rsidR="00BE2090" w:rsidRPr="00BE2090" w:rsidRDefault="00BE2090" w:rsidP="00FD4D8D">
      <w:pPr>
        <w:pStyle w:val="Sinespaciado"/>
        <w:numPr>
          <w:ilvl w:val="0"/>
          <w:numId w:val="8"/>
        </w:numPr>
        <w:jc w:val="both"/>
      </w:pPr>
      <w:r w:rsidRPr="00BE2090">
        <w:rPr>
          <w:b/>
          <w:bCs/>
        </w:rPr>
        <w:t>Transición Crítica a Producción:</w:t>
      </w:r>
      <w:r w:rsidRPr="00BE2090">
        <w:t xml:space="preserve"> Es imperativo migrar a </w:t>
      </w:r>
      <w:proofErr w:type="spellStart"/>
      <w:r w:rsidRPr="00BE2090">
        <w:rPr>
          <w:b/>
          <w:bCs/>
        </w:rPr>
        <w:t>Supabase</w:t>
      </w:r>
      <w:proofErr w:type="spellEnd"/>
      <w:r w:rsidRPr="00BE2090">
        <w:rPr>
          <w:b/>
          <w:bCs/>
        </w:rPr>
        <w:t xml:space="preserve"> Pro ($25/mes)</w:t>
      </w:r>
      <w:r w:rsidRPr="00BE2090">
        <w:t>. La versión gratuita "entra en modo sueño" tras 7 días de inactividad, lo cual es inaceptable para un centro de monitoreo que debe operar 24/7.</w:t>
      </w:r>
    </w:p>
    <w:p w14:paraId="1CF13498" w14:textId="3A17329E" w:rsidR="00BE2090" w:rsidRDefault="00BE2090" w:rsidP="00FD4D8D">
      <w:pPr>
        <w:pStyle w:val="Sinespaciado"/>
        <w:numPr>
          <w:ilvl w:val="0"/>
          <w:numId w:val="8"/>
        </w:numPr>
        <w:jc w:val="both"/>
      </w:pPr>
      <w:r w:rsidRPr="00BE2090">
        <w:rPr>
          <w:b/>
          <w:bCs/>
        </w:rPr>
        <w:t>Uso Eficiente de Recursos (Híbrido):</w:t>
      </w:r>
      <w:r w:rsidRPr="00BE2090">
        <w:t xml:space="preserve"> Utilizaremos </w:t>
      </w:r>
      <w:proofErr w:type="spellStart"/>
      <w:r w:rsidRPr="00BE2090">
        <w:rPr>
          <w:b/>
          <w:bCs/>
        </w:rPr>
        <w:t>Supabase</w:t>
      </w:r>
      <w:proofErr w:type="spellEnd"/>
      <w:r w:rsidRPr="00BE2090">
        <w:rPr>
          <w:b/>
          <w:bCs/>
        </w:rPr>
        <w:t xml:space="preserve"> como el "Cerebro"</w:t>
      </w:r>
      <w:r w:rsidRPr="00BE2090">
        <w:t xml:space="preserve"> del sistema (datos en tiempo real) y el </w:t>
      </w:r>
      <w:proofErr w:type="spellStart"/>
      <w:r w:rsidRPr="00BE2090">
        <w:rPr>
          <w:b/>
          <w:bCs/>
        </w:rPr>
        <w:t>cPanel</w:t>
      </w:r>
      <w:proofErr w:type="spellEnd"/>
      <w:r w:rsidRPr="00BE2090">
        <w:rPr>
          <w:b/>
          <w:bCs/>
        </w:rPr>
        <w:t xml:space="preserve"> municipal como el "Archivo"</w:t>
      </w:r>
      <w:r w:rsidRPr="00BE2090">
        <w:t xml:space="preserve"> histórico de fotografías, optimizando el espacio y evitando costos extra de almacenamiento.</w:t>
      </w:r>
    </w:p>
    <w:p w14:paraId="26FD9F3F" w14:textId="77777777" w:rsidR="00BE2090" w:rsidRPr="00BE2090" w:rsidRDefault="00BE2090" w:rsidP="00FD4D8D">
      <w:pPr>
        <w:pStyle w:val="Sinespaciado"/>
        <w:jc w:val="both"/>
      </w:pPr>
    </w:p>
    <w:p w14:paraId="6C7B7B2A" w14:textId="77777777" w:rsidR="00BE2090" w:rsidRPr="00BE2090" w:rsidRDefault="00BE2090" w:rsidP="00FD4D8D">
      <w:pPr>
        <w:pStyle w:val="Sinespaciado"/>
        <w:jc w:val="both"/>
        <w:rPr>
          <w:b/>
          <w:bCs/>
        </w:rPr>
      </w:pPr>
      <w:r w:rsidRPr="00BE2090">
        <w:rPr>
          <w:b/>
          <w:bCs/>
        </w:rPr>
        <w:t>6. Análisis de Costo-Beneficio y Escalabilidad</w:t>
      </w:r>
    </w:p>
    <w:p w14:paraId="5830F331" w14:textId="77777777" w:rsidR="00BE2090" w:rsidRPr="00BE2090" w:rsidRDefault="00BE2090" w:rsidP="00FD4D8D">
      <w:pPr>
        <w:pStyle w:val="Sinespaciado"/>
        <w:jc w:val="both"/>
      </w:pPr>
      <w:r w:rsidRPr="00BE2090">
        <w:t>La comparativa financiera demuestra que la opción recomendada es la más responsable para el erario público a largo plazo:</w:t>
      </w:r>
    </w:p>
    <w:p w14:paraId="68EE7F3B" w14:textId="77777777" w:rsidR="00BE2090" w:rsidRPr="00BE2090" w:rsidRDefault="00BE2090" w:rsidP="00FD4D8D">
      <w:pPr>
        <w:pStyle w:val="Sinespaciado"/>
        <w:numPr>
          <w:ilvl w:val="0"/>
          <w:numId w:val="9"/>
        </w:numPr>
        <w:jc w:val="both"/>
      </w:pPr>
      <w:r w:rsidRPr="00BE2090">
        <w:rPr>
          <w:b/>
          <w:bCs/>
        </w:rPr>
        <w:t>Ahorro Operativo:</w:t>
      </w:r>
      <w:r w:rsidRPr="00BE2090">
        <w:t xml:space="preserve"> El Costo Total de Propiedad (TCO) a 5 años con </w:t>
      </w:r>
      <w:proofErr w:type="spellStart"/>
      <w:r w:rsidRPr="00BE2090">
        <w:rPr>
          <w:b/>
          <w:bCs/>
        </w:rPr>
        <w:t>Supabase</w:t>
      </w:r>
      <w:proofErr w:type="spellEnd"/>
      <w:r w:rsidRPr="00BE2090">
        <w:rPr>
          <w:b/>
          <w:bCs/>
        </w:rPr>
        <w:t xml:space="preserve"> Pro es de aprox. 7,800–9,300</w:t>
      </w:r>
      <w:r w:rsidRPr="00BE2090">
        <w:t xml:space="preserve">. Un servidor propio (VPS) con desarrollo a medida costaría entre </w:t>
      </w:r>
      <w:r w:rsidRPr="00BE2090">
        <w:rPr>
          <w:b/>
          <w:bCs/>
        </w:rPr>
        <w:t>$25,900 y $32,900</w:t>
      </w:r>
      <w:r w:rsidRPr="00BE2090">
        <w:t xml:space="preserve"> en el mismo periodo. Estamos garantizando un </w:t>
      </w:r>
      <w:r w:rsidRPr="00BE2090">
        <w:rPr>
          <w:b/>
          <w:bCs/>
        </w:rPr>
        <w:t>ahorro superior a los $20,000</w:t>
      </w:r>
      <w:r w:rsidRPr="00BE2090">
        <w:t>.</w:t>
      </w:r>
    </w:p>
    <w:p w14:paraId="2093F1DF" w14:textId="77777777" w:rsidR="00BE2090" w:rsidRPr="00BE2090" w:rsidRDefault="00BE2090" w:rsidP="00FD4D8D">
      <w:pPr>
        <w:pStyle w:val="Sinespaciado"/>
        <w:numPr>
          <w:ilvl w:val="0"/>
          <w:numId w:val="9"/>
        </w:numPr>
        <w:jc w:val="both"/>
      </w:pPr>
      <w:r w:rsidRPr="00BE2090">
        <w:rPr>
          <w:b/>
          <w:bCs/>
        </w:rPr>
        <w:t>Cero Mantenimiento:</w:t>
      </w:r>
      <w:r w:rsidRPr="00BE2090">
        <w:t xml:space="preserve"> La municipalidad no requiere contratar administradores de bases de datos ni expertos en ciberseguridad dedicados 24/7, ya que la infraestructura es gestionada por el proveedor.</w:t>
      </w:r>
    </w:p>
    <w:p w14:paraId="66B2C004" w14:textId="6AD305DB" w:rsidR="00BE2090" w:rsidRDefault="00BE2090" w:rsidP="00FD4D8D">
      <w:pPr>
        <w:pStyle w:val="Sinespaciado"/>
        <w:numPr>
          <w:ilvl w:val="0"/>
          <w:numId w:val="9"/>
        </w:numPr>
        <w:jc w:val="both"/>
      </w:pPr>
      <w:r w:rsidRPr="00BE2090">
        <w:rPr>
          <w:b/>
          <w:bCs/>
        </w:rPr>
        <w:t>Escalabilidad:</w:t>
      </w:r>
      <w:r w:rsidRPr="00BE2090">
        <w:t xml:space="preserve"> Aunque esta fase es de uso interno, el sistema está preparado para activar el </w:t>
      </w:r>
      <w:r w:rsidRPr="00BE2090">
        <w:rPr>
          <w:b/>
          <w:bCs/>
        </w:rPr>
        <w:t>Portal Ciudadano</w:t>
      </w:r>
      <w:r w:rsidRPr="00BE2090">
        <w:t xml:space="preserve"> en el futuro, sin necesidad de reescribir la plataforma.</w:t>
      </w:r>
    </w:p>
    <w:p w14:paraId="3C9497D2" w14:textId="77777777" w:rsidR="00BE2090" w:rsidRPr="00BE2090" w:rsidRDefault="00BE2090" w:rsidP="00FD4D8D">
      <w:pPr>
        <w:pStyle w:val="Sinespaciado"/>
        <w:jc w:val="both"/>
      </w:pPr>
    </w:p>
    <w:p w14:paraId="727D48A5" w14:textId="77777777" w:rsidR="00BE2090" w:rsidRPr="00BE2090" w:rsidRDefault="00BE2090" w:rsidP="00FD4D8D">
      <w:pPr>
        <w:pStyle w:val="Sinespaciado"/>
        <w:jc w:val="both"/>
        <w:rPr>
          <w:b/>
          <w:bCs/>
        </w:rPr>
      </w:pPr>
      <w:r w:rsidRPr="00BE2090">
        <w:rPr>
          <w:b/>
          <w:bCs/>
        </w:rPr>
        <w:t>7. Hoja de Ruta (</w:t>
      </w:r>
      <w:proofErr w:type="spellStart"/>
      <w:r w:rsidRPr="00BE2090">
        <w:rPr>
          <w:b/>
          <w:bCs/>
        </w:rPr>
        <w:t>Rollout</w:t>
      </w:r>
      <w:proofErr w:type="spellEnd"/>
      <w:r w:rsidRPr="00BE2090">
        <w:rPr>
          <w:b/>
          <w:bCs/>
        </w:rPr>
        <w:t xml:space="preserve"> de 5 Semanas)</w:t>
      </w:r>
    </w:p>
    <w:p w14:paraId="4B58D10F" w14:textId="77777777" w:rsidR="00BE2090" w:rsidRPr="00BE2090" w:rsidRDefault="00BE2090" w:rsidP="00FD4D8D">
      <w:pPr>
        <w:pStyle w:val="Sinespaciado"/>
        <w:jc w:val="both"/>
      </w:pPr>
      <w:r w:rsidRPr="00BE2090">
        <w:t xml:space="preserve">El despliegue definitivo se ejecutará en un plazo de </w:t>
      </w:r>
      <w:r w:rsidRPr="00BE2090">
        <w:rPr>
          <w:b/>
          <w:bCs/>
        </w:rPr>
        <w:t>cinco semanas</w:t>
      </w:r>
      <w:r w:rsidRPr="00BE2090">
        <w:t xml:space="preserve"> tras la aprobación:</w:t>
      </w:r>
    </w:p>
    <w:p w14:paraId="295914AD" w14:textId="77777777" w:rsidR="00BE2090" w:rsidRPr="00BE2090" w:rsidRDefault="00BE2090" w:rsidP="00FD4D8D">
      <w:pPr>
        <w:pStyle w:val="Sinespaciado"/>
        <w:numPr>
          <w:ilvl w:val="0"/>
          <w:numId w:val="10"/>
        </w:numPr>
        <w:jc w:val="both"/>
      </w:pPr>
      <w:r w:rsidRPr="00BE2090">
        <w:rPr>
          <w:b/>
          <w:bCs/>
        </w:rPr>
        <w:t>Semana 1:</w:t>
      </w:r>
      <w:r w:rsidRPr="00BE2090">
        <w:t xml:space="preserve"> Activación de </w:t>
      </w:r>
      <w:proofErr w:type="spellStart"/>
      <w:r w:rsidRPr="00BE2090">
        <w:t>Supabase</w:t>
      </w:r>
      <w:proofErr w:type="spellEnd"/>
      <w:r w:rsidRPr="00BE2090">
        <w:t xml:space="preserve"> Pro y configuración del esquema geográfico (</w:t>
      </w:r>
      <w:proofErr w:type="spellStart"/>
      <w:r w:rsidRPr="00BE2090">
        <w:t>PostGIS</w:t>
      </w:r>
      <w:proofErr w:type="spellEnd"/>
      <w:r w:rsidRPr="00BE2090">
        <w:t>).</w:t>
      </w:r>
    </w:p>
    <w:p w14:paraId="597AFDB9" w14:textId="77777777" w:rsidR="00BE2090" w:rsidRPr="00BE2090" w:rsidRDefault="00BE2090" w:rsidP="00FD4D8D">
      <w:pPr>
        <w:pStyle w:val="Sinespaciado"/>
        <w:numPr>
          <w:ilvl w:val="0"/>
          <w:numId w:val="10"/>
        </w:numPr>
        <w:jc w:val="both"/>
      </w:pPr>
      <w:r w:rsidRPr="00BE2090">
        <w:rPr>
          <w:b/>
          <w:bCs/>
        </w:rPr>
        <w:t>Semana 2:</w:t>
      </w:r>
      <w:r w:rsidRPr="00BE2090">
        <w:t xml:space="preserve"> Migración de la interfaz a datos reales y eliminación de simulaciones.</w:t>
      </w:r>
    </w:p>
    <w:p w14:paraId="5E6489FB" w14:textId="77777777" w:rsidR="00BE2090" w:rsidRPr="00BE2090" w:rsidRDefault="00BE2090" w:rsidP="00FD4D8D">
      <w:pPr>
        <w:pStyle w:val="Sinespaciado"/>
        <w:numPr>
          <w:ilvl w:val="0"/>
          <w:numId w:val="10"/>
        </w:numPr>
        <w:jc w:val="both"/>
      </w:pPr>
      <w:r w:rsidRPr="00BE2090">
        <w:rPr>
          <w:b/>
          <w:bCs/>
        </w:rPr>
        <w:t>Semana 3:</w:t>
      </w:r>
      <w:r w:rsidRPr="00BE2090">
        <w:t xml:space="preserve"> Pruebas de campo con cuadrillas y ajuste de la lógica de notificaciones en tiempo real.</w:t>
      </w:r>
    </w:p>
    <w:p w14:paraId="520E51FA" w14:textId="77777777" w:rsidR="00BE2090" w:rsidRPr="00BE2090" w:rsidRDefault="00BE2090" w:rsidP="00FD4D8D">
      <w:pPr>
        <w:pStyle w:val="Sinespaciado"/>
        <w:numPr>
          <w:ilvl w:val="0"/>
          <w:numId w:val="10"/>
        </w:numPr>
        <w:jc w:val="both"/>
      </w:pPr>
      <w:r w:rsidRPr="00BE2090">
        <w:rPr>
          <w:b/>
          <w:bCs/>
        </w:rPr>
        <w:t>Semana 4:</w:t>
      </w:r>
      <w:r w:rsidRPr="00BE2090">
        <w:t xml:space="preserve"> Implementación del sistema de respaldo histórico en el </w:t>
      </w:r>
      <w:proofErr w:type="spellStart"/>
      <w:r w:rsidRPr="00BE2090">
        <w:t>cPanel</w:t>
      </w:r>
      <w:proofErr w:type="spellEnd"/>
      <w:r w:rsidRPr="00BE2090">
        <w:t xml:space="preserve"> municipal.</w:t>
      </w:r>
    </w:p>
    <w:p w14:paraId="0A6BBDF6" w14:textId="2B913778" w:rsidR="00BE2090" w:rsidRDefault="00BE2090" w:rsidP="00FD4D8D">
      <w:pPr>
        <w:pStyle w:val="Sinespaciado"/>
        <w:numPr>
          <w:ilvl w:val="0"/>
          <w:numId w:val="10"/>
        </w:numPr>
        <w:jc w:val="both"/>
      </w:pPr>
      <w:r w:rsidRPr="00BE2090">
        <w:rPr>
          <w:b/>
          <w:bCs/>
        </w:rPr>
        <w:t>Semana 5:</w:t>
      </w:r>
      <w:r w:rsidRPr="00BE2090">
        <w:t xml:space="preserve"> Capacitación final al personal operativo y lanzamiento oficial.</w:t>
      </w:r>
    </w:p>
    <w:p w14:paraId="7D09CACF" w14:textId="7BB66DB1" w:rsidR="00BE2090" w:rsidRDefault="00BE2090" w:rsidP="00FD4D8D">
      <w:pPr>
        <w:pStyle w:val="Sinespaciado"/>
        <w:jc w:val="both"/>
      </w:pPr>
    </w:p>
    <w:p w14:paraId="209B214E" w14:textId="7A596681" w:rsidR="00BE2090" w:rsidRDefault="00BE2090" w:rsidP="00FD4D8D">
      <w:pPr>
        <w:pStyle w:val="Sinespaciado"/>
        <w:jc w:val="both"/>
      </w:pPr>
    </w:p>
    <w:p w14:paraId="52BE5368" w14:textId="6A929006" w:rsidR="00BE2090" w:rsidRDefault="00BE2090" w:rsidP="00FD4D8D">
      <w:pPr>
        <w:pStyle w:val="Sinespaciado"/>
        <w:jc w:val="both"/>
      </w:pPr>
    </w:p>
    <w:p w14:paraId="13AC2ED1" w14:textId="77777777" w:rsidR="00BE2090" w:rsidRPr="00BE2090" w:rsidRDefault="00BE2090" w:rsidP="00FD4D8D">
      <w:pPr>
        <w:pStyle w:val="Sinespaciado"/>
        <w:jc w:val="both"/>
      </w:pPr>
    </w:p>
    <w:p w14:paraId="62634D8C" w14:textId="77777777" w:rsidR="00BE2090" w:rsidRPr="00BE2090" w:rsidRDefault="00BE2090" w:rsidP="00FD4D8D">
      <w:pPr>
        <w:pStyle w:val="Sinespaciado"/>
        <w:jc w:val="both"/>
        <w:rPr>
          <w:b/>
          <w:bCs/>
        </w:rPr>
      </w:pPr>
      <w:r w:rsidRPr="00BE2090">
        <w:rPr>
          <w:b/>
          <w:bCs/>
        </w:rPr>
        <w:lastRenderedPageBreak/>
        <w:t>8. Conclusión y Recomendación</w:t>
      </w:r>
    </w:p>
    <w:p w14:paraId="16A2E321" w14:textId="4F8CCC56" w:rsidR="00BE2090" w:rsidRDefault="00BE2090" w:rsidP="00FD4D8D">
      <w:pPr>
        <w:pStyle w:val="Sinespaciado"/>
        <w:jc w:val="both"/>
      </w:pPr>
      <w:r w:rsidRPr="00BE2090">
        <w:t>La modernización del Centro de Monitoreo no es solo una mejora tecnológica; es un blindaje operativo para su administración. San Salvador Sur se posicionará como un referente de gestión transparente y auditable en El Salvador.</w:t>
      </w:r>
    </w:p>
    <w:p w14:paraId="6787D2DC" w14:textId="77777777" w:rsidR="00BE2090" w:rsidRPr="00BE2090" w:rsidRDefault="00BE2090" w:rsidP="00FD4D8D">
      <w:pPr>
        <w:pStyle w:val="Sinespaciado"/>
        <w:jc w:val="both"/>
      </w:pPr>
    </w:p>
    <w:p w14:paraId="46D28169" w14:textId="77777777" w:rsidR="00FD4D8D" w:rsidRDefault="00BE2090" w:rsidP="00FD4D8D">
      <w:pPr>
        <w:pStyle w:val="Sinespaciado"/>
        <w:jc w:val="both"/>
        <w:rPr>
          <w:b/>
          <w:bCs/>
        </w:rPr>
      </w:pPr>
      <w:r w:rsidRPr="00BE2090">
        <w:rPr>
          <w:b/>
          <w:bCs/>
        </w:rPr>
        <w:t>Recomendación Final</w:t>
      </w:r>
    </w:p>
    <w:p w14:paraId="01F038B7" w14:textId="557D6683" w:rsidR="00BE2090" w:rsidRPr="00BE2090" w:rsidRDefault="00BE2090" w:rsidP="00FD4D8D">
      <w:pPr>
        <w:pStyle w:val="Sinespaciado"/>
        <w:jc w:val="both"/>
      </w:pPr>
      <w:r w:rsidRPr="00BE2090">
        <w:t xml:space="preserve">Se solicita la aprobación inmediata para la contratación de </w:t>
      </w:r>
      <w:proofErr w:type="spellStart"/>
      <w:r w:rsidRPr="00BE2090">
        <w:rPr>
          <w:b/>
          <w:bCs/>
        </w:rPr>
        <w:t>Supabase</w:t>
      </w:r>
      <w:proofErr w:type="spellEnd"/>
      <w:r w:rsidRPr="00BE2090">
        <w:rPr>
          <w:b/>
          <w:bCs/>
        </w:rPr>
        <w:t xml:space="preserve"> Pro ($25/mes)</w:t>
      </w:r>
      <w:r w:rsidRPr="00BE2090">
        <w:t>. Sin esta mínima inversión, el sistema quedará inhabilitado por inactividad tras una semana, comprometiendo la continuidad del monitoreo municipal y la seguridad de los datos recolectados.</w:t>
      </w:r>
    </w:p>
    <w:p w14:paraId="60B3B908" w14:textId="77777777" w:rsidR="00897CB2" w:rsidRPr="00BE2090" w:rsidRDefault="00897CB2" w:rsidP="00FD4D8D">
      <w:pPr>
        <w:pStyle w:val="Sinespaciado"/>
        <w:jc w:val="both"/>
      </w:pPr>
    </w:p>
    <w:sectPr w:rsidR="00897CB2" w:rsidRPr="00BE2090" w:rsidSect="00BE2090">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683"/>
    <w:multiLevelType w:val="multilevel"/>
    <w:tmpl w:val="655A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42560"/>
    <w:multiLevelType w:val="multilevel"/>
    <w:tmpl w:val="F8CC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8285D"/>
    <w:multiLevelType w:val="multilevel"/>
    <w:tmpl w:val="4D58B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67771"/>
    <w:multiLevelType w:val="multilevel"/>
    <w:tmpl w:val="DA56B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2B3032"/>
    <w:multiLevelType w:val="multilevel"/>
    <w:tmpl w:val="3AF89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8A40B1"/>
    <w:multiLevelType w:val="multilevel"/>
    <w:tmpl w:val="F3E05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B842A8"/>
    <w:multiLevelType w:val="multilevel"/>
    <w:tmpl w:val="AC920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0E4014"/>
    <w:multiLevelType w:val="multilevel"/>
    <w:tmpl w:val="18246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4A1325"/>
    <w:multiLevelType w:val="multilevel"/>
    <w:tmpl w:val="460A5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CD6980"/>
    <w:multiLevelType w:val="multilevel"/>
    <w:tmpl w:val="5960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8"/>
  </w:num>
  <w:num w:numId="4">
    <w:abstractNumId w:val="5"/>
  </w:num>
  <w:num w:numId="5">
    <w:abstractNumId w:val="6"/>
  </w:num>
  <w:num w:numId="6">
    <w:abstractNumId w:val="3"/>
  </w:num>
  <w:num w:numId="7">
    <w:abstractNumId w:val="1"/>
  </w:num>
  <w:num w:numId="8">
    <w:abstractNumId w:val="7"/>
  </w:num>
  <w:num w:numId="9">
    <w:abstractNumId w:val="9"/>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090"/>
    <w:rsid w:val="00897CB2"/>
    <w:rsid w:val="00BE2090"/>
    <w:rsid w:val="00FD4D8D"/>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954A4"/>
  <w15:chartTrackingRefBased/>
  <w15:docId w15:val="{ADCF554F-E43A-4883-B4C3-681F4C2D2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SV"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BE2090"/>
    <w:pPr>
      <w:spacing w:after="0" w:line="240" w:lineRule="auto"/>
    </w:pPr>
    <w:rPr>
      <w:rFonts w:ascii="Century Gothic" w:hAnsi="Century Gothic"/>
    </w:rPr>
  </w:style>
  <w:style w:type="paragraph" w:styleId="Ttulo">
    <w:name w:val="Title"/>
    <w:basedOn w:val="Normal"/>
    <w:next w:val="Normal"/>
    <w:link w:val="TtuloCar"/>
    <w:uiPriority w:val="10"/>
    <w:qFormat/>
    <w:rsid w:val="00BE2090"/>
    <w:pPr>
      <w:spacing w:after="0" w:line="240" w:lineRule="auto"/>
      <w:contextualSpacing/>
      <w:jc w:val="center"/>
    </w:pPr>
    <w:rPr>
      <w:rFonts w:ascii="Century Gothic" w:eastAsiaTheme="majorEastAsia" w:hAnsi="Century Gothic" w:cstheme="majorBidi"/>
      <w:b/>
      <w:spacing w:val="-10"/>
      <w:kern w:val="28"/>
      <w:sz w:val="56"/>
      <w:szCs w:val="56"/>
    </w:rPr>
  </w:style>
  <w:style w:type="character" w:customStyle="1" w:styleId="TtuloCar">
    <w:name w:val="Título Car"/>
    <w:basedOn w:val="Fuentedeprrafopredeter"/>
    <w:link w:val="Ttulo"/>
    <w:uiPriority w:val="10"/>
    <w:rsid w:val="00BE2090"/>
    <w:rPr>
      <w:rFonts w:ascii="Century Gothic" w:eastAsiaTheme="majorEastAsia" w:hAnsi="Century Gothic" w:cstheme="majorBidi"/>
      <w:b/>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6685889">
      <w:bodyDiv w:val="1"/>
      <w:marLeft w:val="0"/>
      <w:marRight w:val="0"/>
      <w:marTop w:val="0"/>
      <w:marBottom w:val="0"/>
      <w:divBdr>
        <w:top w:val="none" w:sz="0" w:space="0" w:color="auto"/>
        <w:left w:val="none" w:sz="0" w:space="0" w:color="auto"/>
        <w:bottom w:val="none" w:sz="0" w:space="0" w:color="auto"/>
        <w:right w:val="none" w:sz="0" w:space="0" w:color="auto"/>
      </w:divBdr>
    </w:div>
    <w:div w:id="379745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1079</Words>
  <Characters>5939</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GTIM</dc:creator>
  <cp:keywords/>
  <dc:description/>
  <cp:lastModifiedBy>RICHARD GTIM</cp:lastModifiedBy>
  <cp:revision>1</cp:revision>
  <dcterms:created xsi:type="dcterms:W3CDTF">2026-07-28T16:59:00Z</dcterms:created>
  <dcterms:modified xsi:type="dcterms:W3CDTF">2026-07-28T17:10:00Z</dcterms:modified>
</cp:coreProperties>
</file>