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F7B4" w14:textId="3B155128" w:rsidR="006F027E" w:rsidRPr="006F027E" w:rsidRDefault="006F027E" w:rsidP="00D642A7">
      <w:pPr>
        <w:pStyle w:val="NormalWeb"/>
        <w:spacing w:line="276" w:lineRule="auto"/>
        <w:jc w:val="both"/>
        <w:rPr>
          <w:b/>
          <w:bCs/>
          <w:color w:val="000000"/>
        </w:rPr>
      </w:pPr>
      <w:r w:rsidRPr="006F027E">
        <w:rPr>
          <w:b/>
          <w:bCs/>
          <w:color w:val="000000"/>
        </w:rPr>
        <w:t>Palabras iniciales</w:t>
      </w:r>
    </w:p>
    <w:p w14:paraId="10F9B4F0" w14:textId="6F2304AB" w:rsidR="00D642A7" w:rsidRDefault="00D642A7" w:rsidP="00D642A7">
      <w:pPr>
        <w:pStyle w:val="NormalWeb"/>
        <w:spacing w:line="276" w:lineRule="auto"/>
        <w:jc w:val="both"/>
        <w:rPr>
          <w:color w:val="000000"/>
        </w:rPr>
      </w:pPr>
      <w:r>
        <w:rPr>
          <w:color w:val="000000"/>
        </w:rPr>
        <w:t>Desde el año 2013, el</w:t>
      </w:r>
      <w:r>
        <w:rPr>
          <w:rStyle w:val="apple-converted-space"/>
          <w:rFonts w:eastAsiaTheme="majorEastAsia"/>
          <w:color w:val="000000"/>
        </w:rPr>
        <w:t> </w:t>
      </w:r>
      <w:r w:rsidRPr="00D642A7">
        <w:rPr>
          <w:rStyle w:val="Strong"/>
          <w:rFonts w:eastAsiaTheme="majorEastAsia"/>
          <w:b w:val="0"/>
          <w:bCs w:val="0"/>
          <w:color w:val="000000"/>
        </w:rPr>
        <w:t>Centro de Estudios Interculturales e Indígenas (CIIR)</w:t>
      </w:r>
      <w:r>
        <w:rPr>
          <w:rStyle w:val="apple-converted-space"/>
          <w:rFonts w:eastAsiaTheme="majorEastAsia"/>
          <w:color w:val="000000"/>
        </w:rPr>
        <w:t> </w:t>
      </w:r>
      <w:r>
        <w:rPr>
          <w:color w:val="000000"/>
        </w:rPr>
        <w:t>se propuso desarrollar investigaciones de alto nivel académico sobre las dinámicas de la diferencia, la coexistencia y la ciudadanía; el patrimonio cultural y las estéticas de la identidad; el desarrollo y el medioambiente; así como las políticas de reconocimiento, las prácticas estatales y la interculturalidad. A lo largo de estos años, diversos académicos nacionales e internacionales se han sumado a este esfuerzo colectivo, consolidando un programa de investigación robusto y multidisciplinario.</w:t>
      </w:r>
    </w:p>
    <w:p w14:paraId="569F237E" w14:textId="77777777" w:rsidR="00D642A7" w:rsidRDefault="00D642A7" w:rsidP="00D642A7">
      <w:pPr>
        <w:pStyle w:val="NormalWeb"/>
        <w:spacing w:line="276" w:lineRule="auto"/>
        <w:jc w:val="both"/>
        <w:rPr>
          <w:color w:val="000000"/>
        </w:rPr>
      </w:pPr>
      <w:r>
        <w:rPr>
          <w:color w:val="000000"/>
        </w:rPr>
        <w:t>Entre las iniciativas más relevantes se encuentra el</w:t>
      </w:r>
      <w:r>
        <w:rPr>
          <w:rStyle w:val="apple-converted-space"/>
          <w:rFonts w:eastAsiaTheme="majorEastAsia"/>
          <w:color w:val="000000"/>
        </w:rPr>
        <w:t> </w:t>
      </w:r>
      <w:r w:rsidRPr="00D642A7">
        <w:rPr>
          <w:rStyle w:val="Strong"/>
          <w:rFonts w:eastAsiaTheme="majorEastAsia"/>
          <w:b w:val="0"/>
          <w:bCs w:val="0"/>
          <w:color w:val="000000"/>
        </w:rPr>
        <w:t>Estudio Longitudinal de Relaciones Interculturales (ELRI)</w:t>
      </w:r>
      <w:r>
        <w:rPr>
          <w:rStyle w:val="apple-converted-space"/>
          <w:rFonts w:eastAsiaTheme="majorEastAsia"/>
          <w:color w:val="000000"/>
        </w:rPr>
        <w:t> </w:t>
      </w:r>
      <w:r>
        <w:rPr>
          <w:color w:val="000000"/>
        </w:rPr>
        <w:t>—también conocido como</w:t>
      </w:r>
      <w:r>
        <w:rPr>
          <w:rStyle w:val="apple-converted-space"/>
          <w:rFonts w:eastAsiaTheme="majorEastAsia"/>
          <w:color w:val="000000"/>
        </w:rPr>
        <w:t> </w:t>
      </w:r>
      <w:r w:rsidRPr="00D642A7">
        <w:rPr>
          <w:rStyle w:val="Strong"/>
          <w:rFonts w:eastAsiaTheme="majorEastAsia"/>
          <w:b w:val="0"/>
          <w:bCs w:val="0"/>
          <w:color w:val="000000"/>
        </w:rPr>
        <w:t>Encuesta Longitudinal de Relaciones Interculturales</w:t>
      </w:r>
      <w:r>
        <w:rPr>
          <w:color w:val="000000"/>
        </w:rPr>
        <w:t>—. Su diseño comenzó a gestarse a inicios de 2014 y su aplicación se desplegó por primera vez en 2016, extendiéndose hasta comienzos de 2023. El estudio buscó responder preguntas fundamentales: ¿cómo influyen las relaciones de contacto en la confianza intergrupal? ¿Existen diferencias en la salud mental de indígenas y no indígenas? ¿Cómo ha variado la identidad a lo largo del tiempo y qué factores inciden en su permanencia o transformación?</w:t>
      </w:r>
    </w:p>
    <w:p w14:paraId="32217D7A" w14:textId="77777777" w:rsidR="00D642A7" w:rsidRPr="00D642A7" w:rsidRDefault="00D642A7" w:rsidP="00D642A7">
      <w:pPr>
        <w:pStyle w:val="NormalWeb"/>
        <w:spacing w:line="276" w:lineRule="auto"/>
        <w:jc w:val="both"/>
        <w:rPr>
          <w:b/>
          <w:bCs/>
          <w:color w:val="000000"/>
        </w:rPr>
      </w:pPr>
      <w:r>
        <w:rPr>
          <w:color w:val="000000"/>
        </w:rPr>
        <w:t>Aunque han existido esfuerzos afines, como la</w:t>
      </w:r>
      <w:r>
        <w:rPr>
          <w:rStyle w:val="apple-converted-space"/>
          <w:rFonts w:eastAsiaTheme="majorEastAsia"/>
          <w:color w:val="000000"/>
        </w:rPr>
        <w:t> </w:t>
      </w:r>
      <w:r w:rsidRPr="00D642A7">
        <w:rPr>
          <w:rStyle w:val="Strong"/>
          <w:rFonts w:eastAsiaTheme="majorEastAsia"/>
          <w:b w:val="0"/>
          <w:bCs w:val="0"/>
          <w:color w:val="000000"/>
        </w:rPr>
        <w:t>Encuesta CEP Indígena</w:t>
      </w:r>
      <w:r>
        <w:rPr>
          <w:rStyle w:val="apple-converted-space"/>
          <w:rFonts w:eastAsiaTheme="majorEastAsia"/>
          <w:color w:val="000000"/>
        </w:rPr>
        <w:t> </w:t>
      </w:r>
      <w:r>
        <w:rPr>
          <w:color w:val="000000"/>
        </w:rPr>
        <w:t>o los estudios longitudinales impulsados por centros como el COES y distintas unidades gubernamentales, el ELRI destacó por su originalidad:</w:t>
      </w:r>
      <w:r>
        <w:rPr>
          <w:rStyle w:val="apple-converted-space"/>
          <w:rFonts w:eastAsiaTheme="majorEastAsia"/>
          <w:color w:val="000000"/>
        </w:rPr>
        <w:t> </w:t>
      </w:r>
      <w:r w:rsidRPr="00D642A7">
        <w:rPr>
          <w:rStyle w:val="Strong"/>
          <w:rFonts w:eastAsiaTheme="majorEastAsia"/>
          <w:b w:val="0"/>
          <w:bCs w:val="0"/>
          <w:color w:val="000000"/>
        </w:rPr>
        <w:t>una medición comparativa y longitudinal que contrasta sistemáticamente las experiencias de indígenas y no indígenas en Chile</w:t>
      </w:r>
      <w:r>
        <w:rPr>
          <w:color w:val="000000"/>
        </w:rPr>
        <w:t>. Esta apuesta metodológica permitió articular aprendizajes previos en un instrumento único, cuya consolidación ha derivado en la producción de artículos académicos, insumos para la toma de decisiones públicas y su resguardo en el repositorio</w:t>
      </w:r>
      <w:r>
        <w:rPr>
          <w:rStyle w:val="apple-converted-space"/>
          <w:rFonts w:eastAsiaTheme="majorEastAsia"/>
          <w:color w:val="000000"/>
        </w:rPr>
        <w:t> </w:t>
      </w:r>
      <w:r w:rsidRPr="00D642A7">
        <w:rPr>
          <w:rStyle w:val="Strong"/>
          <w:rFonts w:eastAsiaTheme="majorEastAsia"/>
          <w:b w:val="0"/>
          <w:bCs w:val="0"/>
          <w:color w:val="000000"/>
        </w:rPr>
        <w:t>Dataverse de la Universidad de Harvard</w:t>
      </w:r>
      <w:r w:rsidRPr="00D642A7">
        <w:rPr>
          <w:b/>
          <w:bCs/>
          <w:color w:val="000000"/>
        </w:rPr>
        <w:t>.</w:t>
      </w:r>
    </w:p>
    <w:p w14:paraId="49D78FF4" w14:textId="7DD1B7E8" w:rsidR="00D642A7" w:rsidRDefault="00D642A7" w:rsidP="00D642A7">
      <w:pPr>
        <w:pStyle w:val="NormalWeb"/>
        <w:spacing w:line="276" w:lineRule="auto"/>
        <w:jc w:val="both"/>
        <w:rPr>
          <w:color w:val="000000"/>
        </w:rPr>
      </w:pPr>
      <w:r>
        <w:rPr>
          <w:color w:val="000000"/>
        </w:rPr>
        <w:t>Los acontecimientos que coincidieron con la ejecución del ELRI no pudieron ser previstos por sus investigadores, pero precisamente ahí radica el valor de los estudios longitudinales:</w:t>
      </w:r>
      <w:r>
        <w:rPr>
          <w:rStyle w:val="apple-converted-space"/>
          <w:rFonts w:eastAsiaTheme="majorEastAsia"/>
          <w:color w:val="000000"/>
        </w:rPr>
        <w:t> </w:t>
      </w:r>
      <w:r w:rsidRPr="00D642A7">
        <w:rPr>
          <w:rStyle w:val="Strong"/>
          <w:rFonts w:eastAsiaTheme="majorEastAsia"/>
          <w:b w:val="0"/>
          <w:bCs w:val="0"/>
          <w:color w:val="000000"/>
        </w:rPr>
        <w:t>apostar a que la historia ocurra</w:t>
      </w:r>
      <w:r w:rsidRPr="00D642A7">
        <w:rPr>
          <w:b/>
          <w:bCs/>
          <w:color w:val="000000"/>
        </w:rPr>
        <w:t xml:space="preserve">. </w:t>
      </w:r>
      <w:r w:rsidRPr="00D642A7">
        <w:rPr>
          <w:rStyle w:val="apple-converted-space"/>
          <w:rFonts w:eastAsiaTheme="majorEastAsia"/>
          <w:b/>
          <w:bCs/>
          <w:color w:val="000000"/>
        </w:rPr>
        <w:t> </w:t>
      </w:r>
      <w:r>
        <w:rPr>
          <w:rStyle w:val="apple-converted-space"/>
          <w:rFonts w:eastAsiaTheme="majorEastAsia"/>
          <w:color w:val="000000"/>
        </w:rPr>
        <w:t xml:space="preserve">La </w:t>
      </w:r>
      <w:r w:rsidRPr="00D642A7">
        <w:rPr>
          <w:rStyle w:val="Strong"/>
          <w:rFonts w:eastAsiaTheme="majorEastAsia"/>
          <w:b w:val="0"/>
          <w:bCs w:val="0"/>
          <w:color w:val="000000"/>
        </w:rPr>
        <w:t>Operación Huracán</w:t>
      </w:r>
      <w:r w:rsidRPr="00D642A7">
        <w:rPr>
          <w:b/>
          <w:bCs/>
          <w:color w:val="000000"/>
        </w:rPr>
        <w:t xml:space="preserve">, </w:t>
      </w:r>
      <w:r>
        <w:rPr>
          <w:rStyle w:val="apple-converted-space"/>
          <w:rFonts w:eastAsiaTheme="majorEastAsia"/>
          <w:color w:val="000000"/>
        </w:rPr>
        <w:t xml:space="preserve">el </w:t>
      </w:r>
      <w:r w:rsidRPr="00D642A7">
        <w:rPr>
          <w:rStyle w:val="Strong"/>
          <w:rFonts w:eastAsiaTheme="majorEastAsia"/>
          <w:b w:val="0"/>
          <w:bCs w:val="0"/>
          <w:color w:val="000000"/>
        </w:rPr>
        <w:t>asesinato de Camilo Catrillanca</w:t>
      </w:r>
      <w:r w:rsidRPr="00D642A7">
        <w:rPr>
          <w:b/>
          <w:bCs/>
          <w:color w:val="000000"/>
        </w:rPr>
        <w:t>,</w:t>
      </w:r>
      <w:r w:rsidRPr="00D642A7">
        <w:rPr>
          <w:rStyle w:val="apple-converted-space"/>
          <w:rFonts w:eastAsiaTheme="majorEastAsia"/>
          <w:b/>
          <w:bCs/>
          <w:color w:val="000000"/>
        </w:rPr>
        <w:t> </w:t>
      </w:r>
      <w:r>
        <w:rPr>
          <w:rStyle w:val="Strong"/>
          <w:rFonts w:eastAsiaTheme="majorEastAsia"/>
          <w:b w:val="0"/>
          <w:bCs w:val="0"/>
          <w:color w:val="000000"/>
        </w:rPr>
        <w:t>el Es</w:t>
      </w:r>
      <w:r w:rsidRPr="00D642A7">
        <w:rPr>
          <w:rStyle w:val="Strong"/>
          <w:rFonts w:eastAsiaTheme="majorEastAsia"/>
          <w:b w:val="0"/>
          <w:bCs w:val="0"/>
          <w:color w:val="000000"/>
        </w:rPr>
        <w:t>tallido Social</w:t>
      </w:r>
      <w:r w:rsidRPr="00D642A7">
        <w:rPr>
          <w:b/>
          <w:bCs/>
          <w:color w:val="000000"/>
        </w:rPr>
        <w:t>, el</w:t>
      </w:r>
      <w:r w:rsidRPr="00D642A7">
        <w:rPr>
          <w:rStyle w:val="apple-converted-space"/>
          <w:rFonts w:eastAsiaTheme="majorEastAsia"/>
          <w:b/>
          <w:bCs/>
          <w:color w:val="000000"/>
        </w:rPr>
        <w:t> </w:t>
      </w:r>
      <w:r w:rsidRPr="00D642A7">
        <w:rPr>
          <w:rStyle w:val="Strong"/>
          <w:rFonts w:eastAsiaTheme="majorEastAsia"/>
          <w:b w:val="0"/>
          <w:bCs w:val="0"/>
          <w:color w:val="000000"/>
        </w:rPr>
        <w:t>proceso constituyente</w:t>
      </w:r>
      <w:r>
        <w:rPr>
          <w:rStyle w:val="apple-converted-space"/>
          <w:rFonts w:eastAsiaTheme="majorEastAsia"/>
          <w:b/>
          <w:bCs/>
          <w:color w:val="000000"/>
        </w:rPr>
        <w:t xml:space="preserve"> </w:t>
      </w:r>
      <w:r>
        <w:rPr>
          <w:rStyle w:val="apple-converted-space"/>
          <w:rFonts w:eastAsiaTheme="majorEastAsia"/>
          <w:color w:val="000000"/>
        </w:rPr>
        <w:t xml:space="preserve">y posterior </w:t>
      </w:r>
      <w:r w:rsidRPr="00D642A7">
        <w:rPr>
          <w:rStyle w:val="Strong"/>
          <w:rFonts w:eastAsiaTheme="majorEastAsia"/>
          <w:b w:val="0"/>
          <w:bCs w:val="0"/>
          <w:color w:val="000000"/>
        </w:rPr>
        <w:t>rechazo de la propuesta constitucional</w:t>
      </w:r>
      <w:r>
        <w:rPr>
          <w:rStyle w:val="apple-converted-space"/>
          <w:rFonts w:eastAsiaTheme="majorEastAsia"/>
          <w:color w:val="000000"/>
        </w:rPr>
        <w:t> </w:t>
      </w:r>
      <w:r>
        <w:rPr>
          <w:color w:val="000000"/>
        </w:rPr>
        <w:t>constituyen lo que la literatura denomina “puntos de quiebre” o “momentos sociales extraordinarios”. Fenómenos de una magnitud comparable, metafóricamente, a los movimientos telúricos que han modelado la geografía chilena.</w:t>
      </w:r>
    </w:p>
    <w:p w14:paraId="1F562A16" w14:textId="7FD7E08D" w:rsidR="00475D9E" w:rsidRDefault="00D642A7" w:rsidP="00897294">
      <w:pPr>
        <w:pStyle w:val="NormalWeb"/>
        <w:spacing w:line="276" w:lineRule="auto"/>
        <w:jc w:val="both"/>
        <w:rPr>
          <w:color w:val="000000"/>
        </w:rPr>
      </w:pPr>
      <w:r>
        <w:rPr>
          <w:color w:val="000000"/>
        </w:rPr>
        <w:t>Todo aquello —y mucho más— se reúne en el libro</w:t>
      </w:r>
      <w:r>
        <w:rPr>
          <w:rStyle w:val="apple-converted-space"/>
          <w:rFonts w:eastAsiaTheme="majorEastAsia"/>
          <w:color w:val="000000"/>
        </w:rPr>
        <w:t> </w:t>
      </w:r>
      <w:r>
        <w:rPr>
          <w:rStyle w:val="Emphasis"/>
          <w:rFonts w:eastAsiaTheme="majorEastAsia"/>
          <w:color w:val="000000"/>
        </w:rPr>
        <w:t>[Re]configuraciones interculturales en Chile: Un estudio longitudinal de las relaciones entre indígenas y no indígenas (2016–2024)</w:t>
      </w:r>
      <w:r>
        <w:rPr>
          <w:color w:val="000000"/>
        </w:rPr>
        <w:t>, una obra colectiva de académicos del campo, editada por</w:t>
      </w:r>
      <w:r>
        <w:rPr>
          <w:rStyle w:val="apple-converted-space"/>
          <w:rFonts w:eastAsiaTheme="majorEastAsia"/>
          <w:color w:val="000000"/>
        </w:rPr>
        <w:t> </w:t>
      </w:r>
      <w:r w:rsidRPr="00D642A7">
        <w:rPr>
          <w:rStyle w:val="Strong"/>
          <w:rFonts w:eastAsiaTheme="majorEastAsia"/>
          <w:b w:val="0"/>
          <w:bCs w:val="0"/>
          <w:color w:val="000000"/>
        </w:rPr>
        <w:t>Matías Deneken</w:t>
      </w:r>
      <w:r w:rsidRPr="00D642A7">
        <w:rPr>
          <w:rStyle w:val="apple-converted-space"/>
          <w:rFonts w:eastAsiaTheme="majorEastAsia"/>
          <w:b/>
          <w:bCs/>
          <w:color w:val="000000"/>
        </w:rPr>
        <w:t> </w:t>
      </w:r>
      <w:r>
        <w:rPr>
          <w:rStyle w:val="apple-converted-space"/>
          <w:rFonts w:eastAsiaTheme="majorEastAsia"/>
          <w:color w:val="000000"/>
        </w:rPr>
        <w:t xml:space="preserve">y </w:t>
      </w:r>
      <w:r w:rsidRPr="00D642A7">
        <w:rPr>
          <w:rStyle w:val="Strong"/>
          <w:rFonts w:eastAsiaTheme="majorEastAsia"/>
          <w:b w:val="0"/>
          <w:bCs w:val="0"/>
          <w:color w:val="000000"/>
        </w:rPr>
        <w:t>Eduardo Valenzuela</w:t>
      </w:r>
      <w:r>
        <w:rPr>
          <w:color w:val="000000"/>
        </w:rPr>
        <w:t>, y publicada por</w:t>
      </w:r>
      <w:r>
        <w:rPr>
          <w:rStyle w:val="apple-converted-space"/>
          <w:rFonts w:eastAsiaTheme="majorEastAsia"/>
          <w:color w:val="000000"/>
        </w:rPr>
        <w:t> </w:t>
      </w:r>
      <w:r>
        <w:rPr>
          <w:rStyle w:val="Strong"/>
          <w:rFonts w:eastAsiaTheme="majorEastAsia"/>
          <w:color w:val="000000"/>
        </w:rPr>
        <w:t>Editorial Catalonia</w:t>
      </w:r>
      <w:r>
        <w:rPr>
          <w:color w:val="000000"/>
        </w:rPr>
        <w:t>. El volumen ofrece una síntesis de los principales módulos del estudio: identidad, crianza, salud mental, relaciones intergrupales, apoyo a políticas públicas, justificación de la violencia, vitalidad lingüística, movilidad intergeneracional y comportamiento electoral</w:t>
      </w:r>
      <w:r w:rsidR="00897294">
        <w:rPr>
          <w:color w:val="000000"/>
        </w:rPr>
        <w:t>.</w:t>
      </w:r>
    </w:p>
    <w:p w14:paraId="3E3F1E95" w14:textId="364E4B3F" w:rsidR="004C40B5" w:rsidRDefault="004C40B5" w:rsidP="004C40B5">
      <w:pPr>
        <w:pStyle w:val="NormalWeb"/>
        <w:spacing w:line="276" w:lineRule="auto"/>
        <w:jc w:val="center"/>
        <w:rPr>
          <w:color w:val="000000"/>
        </w:rPr>
      </w:pPr>
      <w:r>
        <w:rPr>
          <w:color w:val="000000"/>
        </w:rPr>
        <w:lastRenderedPageBreak/>
        <w:t>***</w:t>
      </w:r>
    </w:p>
    <w:p w14:paraId="7C261013" w14:textId="77777777" w:rsidR="004C40B5" w:rsidRDefault="004C40B5" w:rsidP="004C40B5">
      <w:pPr>
        <w:pStyle w:val="NormalWeb"/>
        <w:rPr>
          <w:color w:val="000000"/>
        </w:rPr>
      </w:pPr>
      <w:r>
        <w:rPr>
          <w:color w:val="000000"/>
        </w:rPr>
        <w:t>Es innegable que, en los últimos años, las demandas indígenas han alcanzado una visibilidad inédita en Chile. Durante el Estallido Social, las banderas de los pueblos originarios acompañaron gran parte de las movilizaciones. El proceso constituyente, a su vez, situó en el centro del debate la representación política indígena, las propuestas de transformación del Estado y el reconocimiento de los legados materiales e inmateriales de las culturas ancestrales. Todo ello habla tanto de la capacidad como de los límites de nuestra democracia para albergar el disenso y el libre debate.</w:t>
      </w:r>
    </w:p>
    <w:p w14:paraId="5B4399D1" w14:textId="77777777" w:rsidR="004C40B5" w:rsidRDefault="004C40B5" w:rsidP="004C40B5">
      <w:pPr>
        <w:pStyle w:val="NormalWeb"/>
        <w:rPr>
          <w:color w:val="000000"/>
        </w:rPr>
      </w:pPr>
      <w:r>
        <w:rPr>
          <w:color w:val="000000"/>
        </w:rPr>
        <w:t>Al mismo tiempo, persisten expresiones de violencia en distintos frentes —tanto desde el Estado como desde actores indígenas— que tensionan la convivencia y exigen ser comprendidas en su complejidad histórica y territorial. Este libro no ofrece respuestas definitivas, pero aporta evidencia rigurosa para iluminar estas discusiones y orientar mejores decisiones públicas.</w:t>
      </w:r>
    </w:p>
    <w:p w14:paraId="2A1AA302" w14:textId="784758A2" w:rsidR="004C40B5" w:rsidRDefault="004C40B5" w:rsidP="004C40B5">
      <w:pPr>
        <w:pStyle w:val="NormalWeb"/>
        <w:rPr>
          <w:color w:val="000000"/>
        </w:rPr>
      </w:pPr>
      <w:r>
        <w:rPr>
          <w:color w:val="000000"/>
        </w:rPr>
        <w:t>Muchas gracias por acompañarno</w:t>
      </w:r>
      <w:r>
        <w:rPr>
          <w:color w:val="000000"/>
        </w:rPr>
        <w:t>s.</w:t>
      </w:r>
    </w:p>
    <w:p w14:paraId="7717EF8B" w14:textId="41D8DF2C" w:rsidR="004C40B5" w:rsidRDefault="004C40B5" w:rsidP="004C40B5">
      <w:pPr>
        <w:pStyle w:val="NormalWeb"/>
        <w:rPr>
          <w:color w:val="000000"/>
        </w:rPr>
      </w:pPr>
      <w:r>
        <w:rPr>
          <w:color w:val="000000"/>
        </w:rPr>
        <w:t>[Aplausos</w:t>
      </w:r>
    </w:p>
    <w:p w14:paraId="4B70DCF0" w14:textId="6F8C668E" w:rsidR="004C40B5" w:rsidRDefault="004C40B5" w:rsidP="004C40B5">
      <w:pPr>
        <w:pStyle w:val="NormalWeb"/>
        <w:rPr>
          <w:color w:val="000000"/>
        </w:rPr>
      </w:pPr>
      <w:r>
        <w:rPr>
          <w:color w:val="000000"/>
        </w:rPr>
        <w:t xml:space="preserve">Dejo con ustedes a Matías Deneken, quien dará inicio </w:t>
      </w:r>
      <w:r>
        <w:rPr>
          <w:color w:val="000000"/>
        </w:rPr>
        <w:t>a una presentación que permita contextualizar el debate</w:t>
      </w:r>
    </w:p>
    <w:p w14:paraId="5E06E38A" w14:textId="77777777" w:rsidR="00475D9E" w:rsidRPr="004C40B5" w:rsidRDefault="00475D9E"/>
    <w:sectPr w:rsidR="00475D9E" w:rsidRPr="004C40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B0"/>
    <w:rsid w:val="0019227D"/>
    <w:rsid w:val="00475D9E"/>
    <w:rsid w:val="004C40B5"/>
    <w:rsid w:val="004D51A9"/>
    <w:rsid w:val="005E37B4"/>
    <w:rsid w:val="006F027E"/>
    <w:rsid w:val="008068B0"/>
    <w:rsid w:val="00897294"/>
    <w:rsid w:val="00AA7361"/>
    <w:rsid w:val="00CF5860"/>
    <w:rsid w:val="00D07924"/>
    <w:rsid w:val="00D642A7"/>
    <w:rsid w:val="00EF0EE3"/>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21FB4FBA"/>
  <w15:chartTrackingRefBased/>
  <w15:docId w15:val="{A7CF18B2-374A-534C-8125-E35EE65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8B0"/>
    <w:rPr>
      <w:rFonts w:eastAsiaTheme="majorEastAsia" w:cstheme="majorBidi"/>
      <w:color w:val="272727" w:themeColor="text1" w:themeTint="D8"/>
    </w:rPr>
  </w:style>
  <w:style w:type="paragraph" w:styleId="Title">
    <w:name w:val="Title"/>
    <w:basedOn w:val="Normal"/>
    <w:next w:val="Normal"/>
    <w:link w:val="TitleChar"/>
    <w:uiPriority w:val="10"/>
    <w:qFormat/>
    <w:rsid w:val="00806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8B0"/>
    <w:pPr>
      <w:spacing w:before="160"/>
      <w:jc w:val="center"/>
    </w:pPr>
    <w:rPr>
      <w:i/>
      <w:iCs/>
      <w:color w:val="404040" w:themeColor="text1" w:themeTint="BF"/>
    </w:rPr>
  </w:style>
  <w:style w:type="character" w:customStyle="1" w:styleId="QuoteChar">
    <w:name w:val="Quote Char"/>
    <w:basedOn w:val="DefaultParagraphFont"/>
    <w:link w:val="Quote"/>
    <w:uiPriority w:val="29"/>
    <w:rsid w:val="008068B0"/>
    <w:rPr>
      <w:i/>
      <w:iCs/>
      <w:color w:val="404040" w:themeColor="text1" w:themeTint="BF"/>
    </w:rPr>
  </w:style>
  <w:style w:type="paragraph" w:styleId="ListParagraph">
    <w:name w:val="List Paragraph"/>
    <w:basedOn w:val="Normal"/>
    <w:uiPriority w:val="34"/>
    <w:qFormat/>
    <w:rsid w:val="008068B0"/>
    <w:pPr>
      <w:ind w:left="720"/>
      <w:contextualSpacing/>
    </w:pPr>
  </w:style>
  <w:style w:type="character" w:styleId="IntenseEmphasis">
    <w:name w:val="Intense Emphasis"/>
    <w:basedOn w:val="DefaultParagraphFont"/>
    <w:uiPriority w:val="21"/>
    <w:qFormat/>
    <w:rsid w:val="008068B0"/>
    <w:rPr>
      <w:i/>
      <w:iCs/>
      <w:color w:val="0F4761" w:themeColor="accent1" w:themeShade="BF"/>
    </w:rPr>
  </w:style>
  <w:style w:type="paragraph" w:styleId="IntenseQuote">
    <w:name w:val="Intense Quote"/>
    <w:basedOn w:val="Normal"/>
    <w:next w:val="Normal"/>
    <w:link w:val="IntenseQuoteChar"/>
    <w:uiPriority w:val="30"/>
    <w:qFormat/>
    <w:rsid w:val="0080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8B0"/>
    <w:rPr>
      <w:i/>
      <w:iCs/>
      <w:color w:val="0F4761" w:themeColor="accent1" w:themeShade="BF"/>
    </w:rPr>
  </w:style>
  <w:style w:type="character" w:styleId="IntenseReference">
    <w:name w:val="Intense Reference"/>
    <w:basedOn w:val="DefaultParagraphFont"/>
    <w:uiPriority w:val="32"/>
    <w:qFormat/>
    <w:rsid w:val="008068B0"/>
    <w:rPr>
      <w:b/>
      <w:bCs/>
      <w:smallCaps/>
      <w:color w:val="0F4761" w:themeColor="accent1" w:themeShade="BF"/>
      <w:spacing w:val="5"/>
    </w:rPr>
  </w:style>
  <w:style w:type="paragraph" w:styleId="NormalWeb">
    <w:name w:val="Normal (Web)"/>
    <w:basedOn w:val="Normal"/>
    <w:uiPriority w:val="99"/>
    <w:unhideWhenUsed/>
    <w:rsid w:val="00D642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642A7"/>
  </w:style>
  <w:style w:type="character" w:styleId="Strong">
    <w:name w:val="Strong"/>
    <w:basedOn w:val="DefaultParagraphFont"/>
    <w:uiPriority w:val="22"/>
    <w:qFormat/>
    <w:rsid w:val="00D642A7"/>
    <w:rPr>
      <w:b/>
      <w:bCs/>
    </w:rPr>
  </w:style>
  <w:style w:type="character" w:styleId="Emphasis">
    <w:name w:val="Emphasis"/>
    <w:basedOn w:val="DefaultParagraphFont"/>
    <w:uiPriority w:val="20"/>
    <w:qFormat/>
    <w:rsid w:val="00D642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Javier Deneken Uribe</dc:creator>
  <cp:keywords/>
  <dc:description/>
  <cp:lastModifiedBy>Matias Javier Deneken Uribe</cp:lastModifiedBy>
  <cp:revision>8</cp:revision>
  <dcterms:created xsi:type="dcterms:W3CDTF">2025-10-13T16:25:00Z</dcterms:created>
  <dcterms:modified xsi:type="dcterms:W3CDTF">2025-10-21T13:36:00Z</dcterms:modified>
</cp:coreProperties>
</file>