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0DB0A" w14:textId="77777777" w:rsidR="006F19EE" w:rsidRDefault="006F19EE" w:rsidP="00380C77">
      <w:pPr>
        <w:pStyle w:val="Heading1"/>
      </w:pPr>
      <w:bookmarkStart w:id="0" w:name="_Hlk228177076"/>
      <w:bookmarkEnd w:id="0"/>
    </w:p>
    <w:p w14:paraId="527EA4D8" w14:textId="2D545D02" w:rsidR="00A0775D" w:rsidRPr="00395D14" w:rsidRDefault="00291AF5" w:rsidP="008F16CE">
      <w:pPr>
        <w:pStyle w:val="CSWpre-titolo"/>
      </w:pPr>
      <w:r w:rsidRPr="00395D14">
        <w:t>GUIDA OPERATIVA</w:t>
      </w:r>
    </w:p>
    <w:p w14:paraId="54D6BC26" w14:textId="2233FEAE" w:rsidR="00395D14" w:rsidRDefault="00D5385B" w:rsidP="008F16CE">
      <w:pPr>
        <w:pStyle w:val="CSWTITOLO"/>
      </w:pPr>
      <w:r>
        <w:t>Manuale Integrazione BPM</w:t>
      </w:r>
    </w:p>
    <w:p w14:paraId="1E3F6035" w14:textId="440EE512" w:rsidR="00395D14" w:rsidRPr="00566763" w:rsidRDefault="00395D14" w:rsidP="00AA524F">
      <w:pPr>
        <w:spacing w:before="360" w:after="240"/>
        <w:jc w:val="center"/>
        <w:rPr>
          <w:rFonts w:ascii="Calibri" w:hAnsi="Calibri"/>
          <w:b/>
          <w:color w:val="D0CECE" w:themeColor="background2" w:themeShade="E6"/>
          <w:sz w:val="72"/>
          <w:szCs w:val="22"/>
        </w:rPr>
      </w:pPr>
      <w:r w:rsidRPr="00184268">
        <w:rPr>
          <w:rFonts w:ascii="Calibri" w:eastAsia="SimSun" w:hAnsi="Calibri" w:cs="Verdana"/>
          <w:noProof/>
          <w:sz w:val="22"/>
          <w:szCs w:val="22"/>
        </w:rPr>
        <w:drawing>
          <wp:anchor distT="0" distB="0" distL="114300" distR="114300" simplePos="0" relativeHeight="251658241" behindDoc="0" locked="0" layoutInCell="1" allowOverlap="1" wp14:anchorId="32F4B71B" wp14:editId="44C0B360">
            <wp:simplePos x="0" y="0"/>
            <wp:positionH relativeFrom="column">
              <wp:posOffset>3185795</wp:posOffset>
            </wp:positionH>
            <wp:positionV relativeFrom="paragraph">
              <wp:posOffset>539115</wp:posOffset>
            </wp:positionV>
            <wp:extent cx="1481922" cy="567055"/>
            <wp:effectExtent l="0" t="0" r="4445" b="4445"/>
            <wp:wrapNone/>
            <wp:docPr id="1" name="Immagine 1134" descr="ImpresaERP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ImpresaERP_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922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268">
        <w:rPr>
          <w:rFonts w:ascii="Calibri" w:eastAsia="SimSun" w:hAnsi="Calibri" w:cs="Verdana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26328CC0" wp14:editId="670EFB04">
            <wp:simplePos x="0" y="0"/>
            <wp:positionH relativeFrom="column">
              <wp:posOffset>1264727</wp:posOffset>
            </wp:positionH>
            <wp:positionV relativeFrom="paragraph">
              <wp:posOffset>468216</wp:posOffset>
            </wp:positionV>
            <wp:extent cx="1677366" cy="810160"/>
            <wp:effectExtent l="0" t="0" r="0" b="9525"/>
            <wp:wrapNone/>
            <wp:docPr id="2" name="Immagine 3" descr="Logo SAM ERP 2_tras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Logo SAM ERP 2_tras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366" cy="81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5A87F5" w14:textId="4EB6E9DF" w:rsidR="00F67C0C" w:rsidRDefault="00676A75" w:rsidP="00AA524F">
      <w:pPr>
        <w:spacing w:before="360" w:after="240"/>
        <w:jc w:val="center"/>
        <w:rPr>
          <w:rFonts w:ascii="Calibri" w:hAnsi="Calibri"/>
          <w:b/>
          <w:color w:val="D0CECE" w:themeColor="background2" w:themeShade="E6"/>
          <w:sz w:val="40"/>
          <w:szCs w:val="22"/>
        </w:rPr>
      </w:pPr>
      <w:r w:rsidRPr="00770DD1">
        <w:rPr>
          <w:noProof/>
        </w:rPr>
        <w:drawing>
          <wp:anchor distT="0" distB="0" distL="114300" distR="114300" simplePos="0" relativeHeight="251658242" behindDoc="0" locked="0" layoutInCell="1" allowOverlap="1" wp14:anchorId="0F8BD57D" wp14:editId="66E2D764">
            <wp:simplePos x="0" y="0"/>
            <wp:positionH relativeFrom="margin">
              <wp:posOffset>2178473</wp:posOffset>
            </wp:positionH>
            <wp:positionV relativeFrom="paragraph">
              <wp:posOffset>586105</wp:posOffset>
            </wp:positionV>
            <wp:extent cx="1600200" cy="842645"/>
            <wp:effectExtent l="0" t="0" r="0" b="0"/>
            <wp:wrapTopAndBottom/>
            <wp:docPr id="3" name="Immagin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842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320CD" w14:textId="63C9C5D2" w:rsidR="005B5CC8" w:rsidRDefault="005B5CC8" w:rsidP="00AA524F">
      <w:pPr>
        <w:spacing w:before="360" w:after="240"/>
        <w:jc w:val="center"/>
        <w:rPr>
          <w:rFonts w:ascii="Calibri" w:hAnsi="Calibri"/>
          <w:b/>
          <w:color w:val="D0CECE" w:themeColor="background2" w:themeShade="E6"/>
          <w:sz w:val="40"/>
          <w:szCs w:val="22"/>
        </w:rPr>
      </w:pPr>
    </w:p>
    <w:p w14:paraId="71ADFC66" w14:textId="0E288D7B" w:rsidR="00395D14" w:rsidRPr="00564612" w:rsidRDefault="00970C0B" w:rsidP="00395D14">
      <w:pPr>
        <w:spacing w:after="120"/>
        <w:jc w:val="center"/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</w:pPr>
      <w:r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  <w:t>V</w:t>
      </w:r>
      <w:r w:rsidR="00564612" w:rsidRPr="00564612"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  <w:t>.</w:t>
      </w:r>
      <w:r w:rsidR="003E774B"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  <w:t xml:space="preserve"> </w:t>
      </w:r>
      <w:r w:rsidR="00992C02"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  <w:t>5</w:t>
      </w:r>
      <w:r w:rsidR="00564612" w:rsidRPr="00564612"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  <w:t>.</w:t>
      </w:r>
      <w:r w:rsidR="00992C02">
        <w:rPr>
          <w:rFonts w:ascii="Calibri" w:eastAsia="SimSun" w:hAnsi="Calibri" w:cs="Verdana"/>
          <w:b/>
          <w:bCs/>
          <w:color w:val="C00000"/>
          <w:sz w:val="32"/>
          <w:szCs w:val="32"/>
          <w:lang w:eastAsia="zh-CN"/>
        </w:rPr>
        <w:t>0 e 6.0</w:t>
      </w:r>
    </w:p>
    <w:p w14:paraId="6981833C" w14:textId="3202AA65" w:rsidR="000A44B9" w:rsidRDefault="000A44B9" w:rsidP="00676A75">
      <w:pPr>
        <w:spacing w:after="120"/>
        <w:rPr>
          <w:rFonts w:ascii="Calibri" w:eastAsia="SimSun" w:hAnsi="Calibri" w:cs="Verdana"/>
          <w:color w:val="A6A6A6"/>
          <w:szCs w:val="18"/>
          <w:lang w:eastAsia="zh-CN"/>
        </w:rPr>
      </w:pPr>
    </w:p>
    <w:p w14:paraId="65DD416A" w14:textId="22481668" w:rsidR="000A44B9" w:rsidRDefault="000A44B9" w:rsidP="00395D14">
      <w:pPr>
        <w:spacing w:after="120"/>
        <w:jc w:val="center"/>
        <w:rPr>
          <w:rFonts w:ascii="Calibri" w:eastAsia="SimSun" w:hAnsi="Calibri" w:cs="Verdana"/>
          <w:color w:val="A6A6A6"/>
          <w:szCs w:val="18"/>
          <w:lang w:eastAsia="zh-CN"/>
        </w:rPr>
      </w:pPr>
    </w:p>
    <w:p w14:paraId="0C806D7D" w14:textId="129FA292" w:rsidR="000A44B9" w:rsidRDefault="000A44B9" w:rsidP="00395D14">
      <w:pPr>
        <w:spacing w:after="120"/>
        <w:jc w:val="center"/>
        <w:rPr>
          <w:rFonts w:ascii="Calibri" w:eastAsia="SimSun" w:hAnsi="Calibri" w:cs="Verdana"/>
          <w:color w:val="A6A6A6"/>
          <w:szCs w:val="18"/>
          <w:lang w:eastAsia="zh-CN"/>
        </w:rPr>
      </w:pPr>
    </w:p>
    <w:p w14:paraId="1C735EB9" w14:textId="55C35AD7" w:rsidR="004204F0" w:rsidRPr="00670C71" w:rsidRDefault="004204F0" w:rsidP="004204F0">
      <w:pPr>
        <w:spacing w:after="120"/>
        <w:jc w:val="center"/>
        <w:rPr>
          <w:rFonts w:ascii="Calibri" w:eastAsia="SimSun" w:hAnsi="Calibri" w:cs="Verdana"/>
          <w:sz w:val="28"/>
          <w:szCs w:val="24"/>
          <w:lang w:eastAsia="zh-CN"/>
        </w:rPr>
      </w:pPr>
      <w:r>
        <w:rPr>
          <w:rFonts w:ascii="Calibri" w:eastAsia="SimSun" w:hAnsi="Calibri" w:cs="Verdana"/>
          <w:sz w:val="28"/>
          <w:szCs w:val="24"/>
          <w:lang w:eastAsia="zh-CN"/>
        </w:rPr>
        <w:t xml:space="preserve">Destinato a </w:t>
      </w:r>
      <w:r w:rsidRPr="00670C71">
        <w:rPr>
          <w:rFonts w:ascii="Calibri" w:eastAsia="SimSun" w:hAnsi="Calibri" w:cs="Verdana"/>
          <w:sz w:val="28"/>
          <w:szCs w:val="24"/>
          <w:lang w:eastAsia="zh-CN"/>
        </w:rPr>
        <w:t xml:space="preserve">Clienti, Partner e Consulenti Centro Software </w:t>
      </w:r>
    </w:p>
    <w:p w14:paraId="14D1DA6A" w14:textId="033A9127" w:rsidR="000A44B9" w:rsidRDefault="000A44B9" w:rsidP="00395D14">
      <w:pPr>
        <w:spacing w:after="120"/>
        <w:jc w:val="center"/>
        <w:rPr>
          <w:rFonts w:ascii="Calibri" w:eastAsia="SimSun" w:hAnsi="Calibri" w:cs="Verdana"/>
          <w:color w:val="A6A6A6"/>
          <w:szCs w:val="18"/>
          <w:lang w:eastAsia="zh-CN"/>
        </w:rPr>
      </w:pPr>
    </w:p>
    <w:p w14:paraId="51B1B3DC" w14:textId="77777777" w:rsidR="00AB3D3E" w:rsidRDefault="00AB3D3E" w:rsidP="00395D14">
      <w:pPr>
        <w:spacing w:after="120"/>
        <w:jc w:val="center"/>
        <w:rPr>
          <w:rFonts w:ascii="Calibri" w:eastAsia="SimSun" w:hAnsi="Calibri" w:cs="Verdana"/>
          <w:color w:val="A6A6A6"/>
          <w:szCs w:val="18"/>
          <w:lang w:eastAsia="zh-CN"/>
        </w:rPr>
      </w:pPr>
    </w:p>
    <w:p w14:paraId="770E8D4A" w14:textId="5CA5AEFD" w:rsidR="000A44B9" w:rsidRPr="006F19EE" w:rsidRDefault="000A44B9" w:rsidP="00395D14">
      <w:pPr>
        <w:spacing w:after="120"/>
        <w:jc w:val="center"/>
        <w:rPr>
          <w:rFonts w:ascii="Calibri" w:eastAsia="SimSun" w:hAnsi="Calibri" w:cs="Verdana"/>
          <w:color w:val="A6A6A6"/>
          <w:szCs w:val="18"/>
          <w:lang w:eastAsia="zh-CN"/>
        </w:rPr>
      </w:pPr>
    </w:p>
    <w:p w14:paraId="1A6C75AA" w14:textId="472AC6EE" w:rsidR="00CE2EF2" w:rsidRPr="00952D65" w:rsidRDefault="008F16CE" w:rsidP="00952D65">
      <w:pPr>
        <w:spacing w:after="120"/>
        <w:jc w:val="center"/>
        <w:rPr>
          <w:rFonts w:ascii="Calibri" w:eastAsia="SimSun" w:hAnsi="Calibri" w:cs="Verdana"/>
          <w:color w:val="A6A6A6"/>
          <w:sz w:val="28"/>
          <w:szCs w:val="22"/>
          <w:lang w:eastAsia="zh-CN"/>
        </w:rPr>
      </w:pPr>
      <w:r>
        <w:rPr>
          <w:rFonts w:ascii="Calibri" w:eastAsia="SimSun" w:hAnsi="Calibri" w:cs="Verdana"/>
          <w:color w:val="A6A6A6"/>
          <w:sz w:val="24"/>
          <w:szCs w:val="22"/>
          <w:lang w:eastAsia="zh-CN"/>
        </w:rPr>
        <w:t>T</w:t>
      </w:r>
      <w:r w:rsidR="006F19EE" w:rsidRPr="006F19EE">
        <w:rPr>
          <w:rFonts w:ascii="Calibri" w:eastAsia="SimSun" w:hAnsi="Calibri" w:cs="Verdana"/>
          <w:color w:val="A6A6A6"/>
          <w:sz w:val="24"/>
          <w:szCs w:val="22"/>
          <w:lang w:eastAsia="zh-CN"/>
        </w:rPr>
        <w:t>eam Education</w:t>
      </w:r>
    </w:p>
    <w:p w14:paraId="5530F249" w14:textId="6400D9A7" w:rsidR="002D0359" w:rsidRDefault="000F1254" w:rsidP="00952D65">
      <w:pPr>
        <w:spacing w:after="120"/>
        <w:jc w:val="center"/>
        <w:rPr>
          <w:rFonts w:ascii="Calibri" w:hAnsi="Calibri"/>
          <w:i/>
          <w:color w:val="808080"/>
          <w:sz w:val="28"/>
          <w:szCs w:val="22"/>
        </w:rPr>
      </w:pPr>
      <w:r w:rsidRPr="002D0359">
        <w:rPr>
          <w:rFonts w:ascii="Calibri" w:hAnsi="Calibri"/>
          <w:i/>
          <w:color w:val="808080"/>
          <w:sz w:val="28"/>
          <w:szCs w:val="22"/>
        </w:rPr>
        <w:t>Sommario</w:t>
      </w:r>
    </w:p>
    <w:p w14:paraId="51CBB867" w14:textId="7E374F0E" w:rsidR="002D0359" w:rsidRPr="002D0359" w:rsidRDefault="002D0359" w:rsidP="000F1254">
      <w:pPr>
        <w:spacing w:after="120"/>
        <w:jc w:val="center"/>
        <w:rPr>
          <w:rFonts w:ascii="Calibri" w:hAnsi="Calibri"/>
          <w:i/>
          <w:color w:val="808080"/>
          <w:sz w:val="28"/>
          <w:szCs w:val="22"/>
        </w:rPr>
      </w:pPr>
    </w:p>
    <w:p w14:paraId="6CE8B429" w14:textId="65EA8182" w:rsidR="009620A2" w:rsidRDefault="00FA05F7">
      <w:pPr>
        <w:pStyle w:val="TOC1"/>
        <w:tabs>
          <w:tab w:val="right" w:leader="dot" w:pos="934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b w:val="0"/>
          <w:i/>
          <w:color w:val="808080"/>
          <w:sz w:val="22"/>
          <w:szCs w:val="22"/>
        </w:rPr>
        <w:lastRenderedPageBreak/>
        <w:fldChar w:fldCharType="begin"/>
      </w:r>
      <w:r>
        <w:rPr>
          <w:i/>
          <w:color w:val="808080"/>
          <w:sz w:val="22"/>
          <w:szCs w:val="22"/>
        </w:rPr>
        <w:instrText xml:space="preserve"> TOC \o "1-5" \h \z \u </w:instrText>
      </w:r>
      <w:r>
        <w:rPr>
          <w:b w:val="0"/>
          <w:i/>
          <w:color w:val="808080"/>
          <w:sz w:val="22"/>
          <w:szCs w:val="22"/>
        </w:rPr>
        <w:fldChar w:fldCharType="separate"/>
      </w:r>
      <w:hyperlink w:anchor="_Toc241250022" w:history="1">
        <w:r w:rsidR="009620A2" w:rsidRPr="002E7C25">
          <w:rPr>
            <w:rStyle w:val="Hyperlink"/>
            <w:noProof/>
          </w:rPr>
          <w:t>[Argomento Livello 1]</w:t>
        </w:r>
        <w:r w:rsidR="009620A2">
          <w:rPr>
            <w:noProof/>
            <w:webHidden/>
          </w:rPr>
          <w:tab/>
        </w:r>
        <w:r w:rsidR="009620A2">
          <w:rPr>
            <w:noProof/>
            <w:webHidden/>
          </w:rPr>
          <w:fldChar w:fldCharType="begin"/>
        </w:r>
        <w:r w:rsidR="009620A2">
          <w:rPr>
            <w:noProof/>
            <w:webHidden/>
          </w:rPr>
          <w:instrText xml:space="preserve"> PAGEREF _Toc241250022 \h </w:instrText>
        </w:r>
        <w:r w:rsidR="009620A2">
          <w:rPr>
            <w:noProof/>
            <w:webHidden/>
          </w:rPr>
        </w:r>
        <w:r w:rsidR="009620A2">
          <w:rPr>
            <w:noProof/>
            <w:webHidden/>
          </w:rPr>
          <w:fldChar w:fldCharType="separate"/>
        </w:r>
        <w:r w:rsidR="009620A2">
          <w:rPr>
            <w:noProof/>
            <w:webHidden/>
          </w:rPr>
          <w:t>3</w:t>
        </w:r>
        <w:r w:rsidR="009620A2">
          <w:rPr>
            <w:noProof/>
            <w:webHidden/>
          </w:rPr>
          <w:fldChar w:fldCharType="end"/>
        </w:r>
      </w:hyperlink>
    </w:p>
    <w:p w14:paraId="36548C78" w14:textId="2D154ACF" w:rsidR="009620A2" w:rsidRDefault="009620A2">
      <w:pPr>
        <w:pStyle w:val="TOC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1250023" w:history="1">
        <w:r w:rsidRPr="002E7C25">
          <w:rPr>
            <w:rStyle w:val="Hyperlink"/>
            <w:noProof/>
          </w:rPr>
          <w:t>[Argomento Livello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_Toc241250023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9DAFEF" w14:textId="4C5B1D61" w:rsidR="009620A2" w:rsidRDefault="009620A2">
      <w:pPr>
        <w:pStyle w:val="TOC1"/>
        <w:tabs>
          <w:tab w:val="right" w:leader="dot" w:pos="934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hyperlink w:anchor="_Toc241250024" w:history="1">
        <w:r w:rsidRPr="002E7C25">
          <w:rPr>
            <w:rStyle w:val="Hyperlink"/>
            <w:noProof/>
          </w:rPr>
          <w:t>[Altro argomento di livello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_Toc241250024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734396" w14:textId="602BC6FD" w:rsidR="009620A2" w:rsidRDefault="009620A2">
      <w:pPr>
        <w:pStyle w:val="TOC1"/>
        <w:tabs>
          <w:tab w:val="right" w:leader="dot" w:pos="934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hyperlink w:anchor="_Toc241250025" w:history="1">
        <w:r w:rsidRPr="002E7C25">
          <w:rPr>
            <w:rStyle w:val="Hyperlink"/>
            <w:noProof/>
          </w:rPr>
          <w:t>[Altro argomento di livello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_Toc241250025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F48A37" w14:textId="135DE152" w:rsidR="009620A2" w:rsidRDefault="009620A2">
      <w:pPr>
        <w:pStyle w:val="TOC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1250026" w:history="1">
        <w:r w:rsidRPr="002E7C25">
          <w:rPr>
            <w:rStyle w:val="Hyperlink"/>
            <w:noProof/>
          </w:rPr>
          <w:t>[Altro argomento di livello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_Toc241250026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726B7" w14:textId="0DE73938" w:rsidR="009620A2" w:rsidRDefault="009620A2">
      <w:pPr>
        <w:pStyle w:val="TOC3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250027" w:history="1">
        <w:r w:rsidRPr="002E7C25">
          <w:rPr>
            <w:rStyle w:val="Hyperlink"/>
            <w:noProof/>
          </w:rPr>
          <w:t>[Argomento di livello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_Toc241250027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7F9B1F" w14:textId="0044FFF1" w:rsidR="002D0359" w:rsidRDefault="00FA05F7" w:rsidP="000F1254">
      <w:pPr>
        <w:spacing w:after="120"/>
        <w:jc w:val="center"/>
        <w:rPr>
          <w:rFonts w:ascii="Calibri" w:hAnsi="Calibri"/>
          <w:i/>
          <w:color w:val="808080"/>
          <w:sz w:val="22"/>
          <w:szCs w:val="22"/>
        </w:rPr>
      </w:pPr>
      <w:r>
        <w:rPr>
          <w:rFonts w:ascii="Calibri" w:hAnsi="Calibri"/>
          <w:b/>
          <w:i/>
          <w:color w:val="808080"/>
          <w:sz w:val="22"/>
          <w:szCs w:val="22"/>
        </w:rPr>
        <w:fldChar w:fldCharType="end"/>
      </w:r>
    </w:p>
    <w:p w14:paraId="2B9CD6CD" w14:textId="3682C8BB" w:rsidR="00D33F9F" w:rsidRDefault="00D33F9F" w:rsidP="00D33F9F">
      <w:bookmarkStart w:id="1" w:name="_Toc485033980"/>
      <w:bookmarkStart w:id="2" w:name="_Toc497409168"/>
    </w:p>
    <w:p>
      <w:r>
        <w:br w:type="page"/>
      </w:r>
    </w:p>
    <w:p>
      <w:pPr>
        <w:pStyle w:val="Heading1"/>
      </w:pPr>
      <w:bookmarkStart w:id="3" w:name="integrazione"/>
      <w:r>
        <w:t xml:space="preserve">Integrazione</w:t>
      </w:r>
      <w:bookmarkEnd w:id="1"/>
    </w:p>
    <w:p>
      <w:pPr>
        <w:pStyle w:val="TestomanualeCSW1"/>
      </w:pPr>
      <w:r>
        <w:t xml:space="preserve">BPM non lavora mai da solo. Nella quasi totalità delle installazioni legge almeno le anagrafiche dal gestionale, e spesso scambia dati in entrambe le direzioni con ERP, CRM, sistemi di produzione e servizi web.</w:t>
      </w:r>
    </w:p>
    <w:p>
      <w:pPr>
        <w:pStyle w:val="TestomanualeCSW1"/>
      </w:pPr>
      <w:r>
        <w:t xml:space="preserve">Questa sezione risponde alle domande di chi deve collegare BPM ai sistemi dell’azienda:</w:t>
      </w:r>
      <w:r>
        <w:t xml:space="preserve"> </w:t>
      </w:r>
      <w:r>
        <w:rPr>
          <w:i/>
        </w:rPr>
        <w:t xml:space="preserve">come leggo i dati del mio ERP? come ci scrivo? come avvio un processo quando nel gestionale succede qualcosa? come chiamo un servizio esterno quando un’attività viene approvata?</w:t>
      </w:r>
    </w:p>
    <w:p>
      <w:pPr>
        <w:pStyle w:val="Heading3"/>
      </w:pPr>
      <w:bookmarkStart w:id="4" w:name="le-modalità-di-integrazione"/>
      <w:r>
        <w:t xml:space="preserve">Le modalità di integrazione</w:t>
      </w:r>
      <w:bookmarkEnd w:id="2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Esigenza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Strumento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Proporre nei campi i dati del gestionale (clienti, fornitori, articoli…)</w:t>
            </w:r>
          </w:p>
        </w:tc>
        <w:tc>
          <w:p>
            <w:pPr>
              <w:pStyle w:val="TestomanualeCSW1"/>
              <w:jc w:val="left"/>
            </w:pPr>
            <w:hyperlink w:anchor="dati-esterni-nelle-variabili">
              <w:r>
                <w:rPr>
                  <w:rStyle w:val="Hyperlink"/>
                </w:rPr>
                <w:t xml:space="preserve">Dati esterni nelle variabili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Leggere dati esterni durante il processo e copiarli nelle variabili</w:t>
            </w:r>
          </w:p>
        </w:tc>
        <w:tc>
          <w:p>
            <w:pPr>
              <w:pStyle w:val="TestomanualeCSW1"/>
              <w:jc w:val="left"/>
            </w:pPr>
            <w:hyperlink w:anchor="carica-dati">
              <w:r>
                <w:rPr>
                  <w:rStyle w:val="Hyperlink"/>
                </w:rPr>
                <w:t xml:space="preserve">Carica Dati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Scrivere sul database di un altro sistema, o eseguire query e stored procedure</w:t>
            </w:r>
          </w:p>
        </w:tc>
        <w:tc>
          <w:p>
            <w:pPr>
              <w:pStyle w:val="TestomanualeCSW1"/>
              <w:jc w:val="left"/>
            </w:pPr>
            <w:hyperlink w:anchor="esegui-sql">
              <w:r>
                <w:rPr>
                  <w:rStyle w:val="Hyperlink"/>
                </w:rPr>
                <w:t xml:space="preserve">Esegui SQL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Chiamare un servizio web (REST) di un altro sistema</w:t>
            </w:r>
          </w:p>
        </w:tc>
        <w:tc>
          <w:p>
            <w:pPr>
              <w:pStyle w:val="TestomanualeCSW1"/>
              <w:jc w:val="left"/>
            </w:pPr>
            <w:hyperlink w:anchor="web-service">
              <w:r>
                <w:rPr>
                  <w:rStyle w:val="Hyperlink"/>
                </w:rPr>
                <w:t xml:space="preserve">Web Service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Avviare un processo quando arriva un file in una cartella o una mail</w:t>
            </w:r>
          </w:p>
        </w:tc>
        <w:tc>
          <w:p>
            <w:pPr>
              <w:pStyle w:val="TestomanualeCSW1"/>
              <w:jc w:val="left"/>
            </w:pPr>
            <w:hyperlink w:anchor="file-system">
              <w:r>
                <w:rPr>
                  <w:rStyle w:val="Hyperlink"/>
                </w:rPr>
                <w:t xml:space="preserve">File System</w:t>
              </w:r>
            </w:hyperlink>
            <w:r>
              <w:t xml:space="preserve">,</w:t>
            </w:r>
            <w:r>
              <w:t xml:space="preserve"> </w:t>
            </w:r>
            <w:hyperlink w:anchor="mail">
              <w:r>
                <w:rPr>
                  <w:rStyle w:val="Hyperlink"/>
                </w:rPr>
                <w:t xml:space="preserve">Mail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Salvare allegati e documenti su file system</w:t>
            </w:r>
          </w:p>
        </w:tc>
        <w:tc>
          <w:p>
            <w:pPr>
              <w:pStyle w:val="TestomanualeCSW1"/>
              <w:jc w:val="left"/>
            </w:pPr>
            <w:hyperlink w:anchor="file-system">
              <w:r>
                <w:rPr>
                  <w:rStyle w:val="Hyperlink"/>
                </w:rPr>
                <w:t xml:space="preserve">File System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Far pilotare BPM da un’applicazione esterna</w:t>
            </w:r>
          </w:p>
        </w:tc>
        <w:tc>
          <w:p>
            <w:pPr>
              <w:pStyle w:val="TestomanualeCSW1"/>
              <w:jc w:val="left"/>
            </w:pPr>
            <w:hyperlink w:anchor="api-standard">
              <w:r>
                <w:rPr>
                  <w:rStyle w:val="Hyperlink"/>
                </w:rPr>
                <w:t xml:space="preserve">API standard</w:t>
              </w:r>
            </w:hyperlink>
          </w:p>
        </w:tc>
      </w:tr>
      <w:tr>
        <w:tc>
          <w:p>
            <w:pPr>
              <w:pStyle w:val="TestomanualeCSW1"/>
              <w:jc w:val="left"/>
            </w:pPr>
            <w:r>
              <w:t xml:space="preserve">Far avviare o avanzare processi da un sistema che lavora solo sul database</w:t>
            </w:r>
          </w:p>
        </w:tc>
        <w:tc>
          <w:p>
            <w:pPr>
              <w:pStyle w:val="TestomanualeCSW1"/>
              <w:jc w:val="left"/>
            </w:pPr>
            <w:hyperlink w:anchor="coda-delle-chiamate">
              <w:r>
                <w:rPr>
                  <w:rStyle w:val="Hyperlink"/>
                </w:rPr>
                <w:t xml:space="preserve">Coda delle chiamate</w:t>
              </w:r>
            </w:hyperlink>
          </w:p>
        </w:tc>
      </w:tr>
    </w:tbl>
    <w:p>
      <w:pPr>
        <w:pStyle w:val="TestomanualeCSW1"/>
        <w:spacing w:before="160"/>
      </w:pPr>
      <w:r>
        <w:t xml:space="preserve">Tutte le modalità che accedono a un database usano le</w:t>
      </w:r>
      <w:r>
        <w:t xml:space="preserve"> </w:t>
      </w:r>
      <w:hyperlink w:anchor="connessioni-esterne">
        <w:r>
          <w:rPr>
            <w:rStyle w:val="Hyperlink"/>
          </w:rPr>
          <w:t xml:space="preserve">connessioni esterne</w:t>
        </w:r>
      </w:hyperlink>
      <w:r>
        <w:t xml:space="preserve">, configurate una volta sola.</w:t>
      </w:r>
    </w:p>
    <w:p>
      <w:pPr>
        <w:pStyle w:val="Heading3"/>
      </w:pPr>
      <w:bookmarkStart w:id="5" w:name="X19e3310fa9e9305351a2997b39d3cc723945460"/>
      <w:r>
        <w:t xml:space="preserve">Gli strumenti: operazioni, eventi e connettori</w:t>
      </w:r>
      <w:bookmarkEnd w:id="3"/>
    </w:p>
    <w:p>
      <w:pPr>
        <w:pStyle w:val="TestomanualeCSW1"/>
      </w:pPr>
      <w:r>
        <w:t xml:space="preserve">Nel Designer, l’integrazione passa da due famiglie di oggetti.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1905000" cy="2676645"/>
            <wp:effectExtent b="0" l="0" r="0" t="0"/>
            <wp:docPr descr="Operazioni" title="" id="4" name="Picture"/>
            <a:graphic>
              <a:graphicData uri="http://schemas.openxmlformats.org/drawingml/2006/picture">
                <pic:pic>
                  <pic:nvPicPr>
                    <pic:cNvPr descr="/sessions/rcw-01jyvzbcmvlvs3mtrrenxxmz/mnt/bpm-docs/docs/assets/modelli-di-processo/designer/palette-operazioni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676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Operazioni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1524000" cy="2332181"/>
            <wp:effectExtent b="0" l="0" r="0" t="0"/>
            <wp:docPr descr="Eventi" title="" id="5" name="Picture"/>
            <a:graphic>
              <a:graphicData uri="http://schemas.openxmlformats.org/drawingml/2006/picture">
                <pic:pic>
                  <pic:nvPicPr>
                    <pic:cNvPr descr="/sessions/rcw-01jyvzbcmvlvs3mtrrenxxmz/mnt/bpm-docs/docs/assets/modelli-di-processo/designer/palette-eventi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33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Eventi</w:t>
      </w:r>
    </w:p>
    <w:p>
      <w:pPr>
        <w:pStyle w:val="TestomanualeCSW1"/>
      </w:pPr>
      <w:r>
        <w:t xml:space="preserve">Le</w:t>
      </w:r>
      <w:r>
        <w:t xml:space="preserve"> </w:t>
      </w:r>
      <w:r>
        <w:rPr>
          <w:b/>
        </w:rPr>
        <w:t xml:space="preserve">operazioni</w:t>
      </w:r>
      <w:r>
        <w:t xml:space="preserve"> </w:t>
      </w:r>
      <w:r>
        <w:t xml:space="preserve">sono le attività automatiche del processo: si inseriscono nel flusso oppure si agganciano a un momento del ciclo di vita di un’attività. Alcune servono alla logica del processo (Decision Table, Imposta variabili, Invia email, Aggiorna altro processo); per l’integrazione contano soprattutto:</w:t>
      </w:r>
    </w:p>
    <w:p>
      <w:pPr>
        <w:pStyle w:val="TestomanualeCSW1"/>
        <w:numPr>
          <w:ilvl w:val="0"/>
          <w:numId w:val="22"/>
        </w:numPr>
      </w:pPr>
      <w:r>
        <w:rPr>
          <w:b/>
        </w:rPr>
        <w:t xml:space="preserve">Carica dati</w:t>
      </w:r>
      <w:r>
        <w:t xml:space="preserve"> </w:t>
      </w:r>
      <w:r>
        <w:t xml:space="preserve">ed</w:t>
      </w:r>
      <w:r>
        <w:t xml:space="preserve"> </w:t>
      </w:r>
      <w:r>
        <w:rPr>
          <w:b/>
        </w:rPr>
        <w:t xml:space="preserve">Esegui sql</w:t>
      </w:r>
      <w:r>
        <w:t xml:space="preserve">, operazioni native per leggere e scrivere su database;</w:t>
      </w:r>
    </w:p>
    <w:p>
      <w:pPr>
        <w:pStyle w:val="TestomanualeCSW1"/>
        <w:numPr>
          <w:ilvl w:val="0"/>
          <w:numId w:val="22"/>
        </w:numPr>
      </w:pPr>
      <w:r>
        <w:rPr>
          <w:b/>
        </w:rPr>
        <w:t xml:space="preserve">Connettore attivo</w:t>
      </w:r>
      <w:r>
        <w:t xml:space="preserve">, che esegue una funzione di un connettore: chiamare un servizio web, salvare un file, e molto altro.</w:t>
      </w:r>
    </w:p>
    <w:p>
      <w:pPr>
        <w:pStyle w:val="TestomanualeCSW1"/>
      </w:pPr>
      <w:r>
        <w:t xml:space="preserve">Gli</w:t>
      </w:r>
      <w:r>
        <w:t xml:space="preserve"> </w:t>
      </w:r>
      <w:r>
        <w:rPr>
          <w:b/>
        </w:rPr>
        <w:t xml:space="preserve">eventi</w:t>
      </w:r>
      <w:r>
        <w:t xml:space="preserve"> </w:t>
      </w:r>
      <w:r>
        <w:t xml:space="preserve">avviano, sospendono o concludono il flusso. Per l’integrazione conta</w:t>
      </w:r>
      <w:r>
        <w:t xml:space="preserve"> </w:t>
      </w:r>
      <w:r>
        <w:rPr>
          <w:b/>
        </w:rPr>
        <w:t xml:space="preserve">Start su evento</w:t>
      </w:r>
      <w:r>
        <w:t xml:space="preserve">: il processo non viene avviato da un utente o da un’applicazione, ma dal motore di BPM stesso, in ascolto, quando si verifica l’evento di un connettore (l’arrivo di un file, di una mail).</w:t>
      </w:r>
    </w:p>
    <w:p>
      <w:pPr>
        <w:pStyle w:val="TestomanualeCSW1"/>
      </w:pPr>
      <w:r>
        <w:t xml:space="preserve">I</w:t>
      </w:r>
      <w:r>
        <w:t xml:space="preserve"> </w:t>
      </w:r>
      <w:hyperlink w:anchor="connettori">
        <w:r>
          <w:rPr>
            <w:rStyle w:val="Hyperlink"/>
            <w:b/>
          </w:rPr>
          <w:t xml:space="preserve">connettori</w:t>
        </w:r>
      </w:hyperlink>
      <w:r>
        <w:t xml:space="preserve"> </w:t>
      </w:r>
      <w:r>
        <w:t xml:space="preserve">sono i moduli che forniscono queste funzioni: le loro operazioni si usano tramite Connettore attivo, i loro eventi tramite Start su evento.</w:t>
      </w:r>
    </w:p>
    <w:p>
      <w:pPr>
        <w:pStyle w:val="Heading3"/>
      </w:pPr>
      <w:bookmarkStart w:id="6" w:name="due-scenari-tipici"/>
      <w:r>
        <w:t xml:space="preserve">Due scenari tipici</w:t>
      </w:r>
      <w:bookmarkEnd w:id="4"/>
    </w:p>
    <w:p>
      <w:pPr>
        <w:pStyle w:val="Heading4"/>
      </w:pPr>
      <w:bookmarkStart w:id="7" w:name="integrare-bpm-con-lerp"/>
      <w:r>
        <w:t xml:space="preserve">Integrare BPM con l’ERP</w:t>
      </w:r>
      <w:bookmarkEnd w:id="5"/>
    </w:p>
    <w:p>
      <w:pPr>
        <w:pStyle w:val="TestomanualeCSW1"/>
      </w:pPr>
      <w:r>
        <w:t xml:space="preserve">Un processo di approvazione degli ordini d’acquisto:</w:t>
      </w:r>
    </w:p>
    <w:p>
      <w:pPr>
        <w:pStyle w:val="TestomanualeCSW1"/>
        <w:numPr>
          <w:ilvl w:val="0"/>
          <w:numId w:val="24"/>
        </w:numPr>
      </w:pPr>
      <w:r>
        <w:rPr>
          <w:b/>
        </w:rPr>
        <w:t xml:space="preserve">Le anagrafiche restano nell’ERP.</w:t>
      </w:r>
      <w:r>
        <w:t xml:space="preserve"> </w:t>
      </w:r>
      <w:r>
        <w:t xml:space="preserve">Il campo</w:t>
      </w:r>
      <w:r>
        <w:t xml:space="preserve"> </w:t>
      </w:r>
      <w:r>
        <w:rPr>
          <w:i/>
        </w:rPr>
        <w:t xml:space="preserve">Fornitore</w:t>
      </w:r>
      <w:r>
        <w:t xml:space="preserve"> </w:t>
      </w:r>
      <w:r>
        <w:t xml:space="preserve">propone i fornitori leggendoli dal database dell’ERP (</w:t>
      </w:r>
      <w:hyperlink w:anchor="dati-esterni-nelle-variabili">
        <w:r>
          <w:rPr>
            <w:rStyle w:val="Hyperlink"/>
          </w:rPr>
          <w:t xml:space="preserve">dati esterni nelle variabili</w:t>
        </w:r>
      </w:hyperlink>
      <w:r>
        <w:t xml:space="preserve">): nessuna copia dei dati in BPM.</w:t>
      </w:r>
    </w:p>
    <w:p>
      <w:pPr>
        <w:pStyle w:val="TestomanualeCSW1"/>
        <w:numPr>
          <w:ilvl w:val="0"/>
          <w:numId w:val="24"/>
        </w:numPr>
      </w:pPr>
      <w:r>
        <w:rPr>
          <w:b/>
        </w:rPr>
        <w:t xml:space="preserve">L’ERP avvia il processo.</w:t>
      </w:r>
      <w:r>
        <w:t xml:space="preserve"> </w:t>
      </w:r>
      <w:r>
        <w:t xml:space="preserve">Quando un ordine viene inserito, un trigger nell’ERP accoda l’avvio con la</w:t>
      </w:r>
      <w:r>
        <w:t xml:space="preserve"> </w:t>
      </w:r>
      <w:hyperlink w:anchor="coda-delle-chiamate">
        <w:r>
          <w:rPr>
            <w:rStyle w:val="Hyperlink"/>
          </w:rPr>
          <w:t xml:space="preserve">coda delle chiamate</w:t>
        </w:r>
      </w:hyperlink>
      <w:r>
        <w:t xml:space="preserve">, passando solo l’ID dell’ordine (convenzione</w:t>
      </w:r>
      <w:r>
        <w:t xml:space="preserve"> </w:t>
      </w:r>
      <w:r>
        <w:rPr>
          <w:i/>
        </w:rPr>
        <w:t xml:space="preserve">EXTERNAL ID</w:t>
      </w:r>
      <w:r>
        <w:t xml:space="preserve">). Se l’ERP può fare chiamate HTTP, può usare direttamente le</w:t>
      </w:r>
      <w:r>
        <w:t xml:space="preserve"> </w:t>
      </w:r>
      <w:hyperlink w:anchor="createnewprocess">
        <w:r>
          <w:rPr>
            <w:rStyle w:val="Hyperlink"/>
          </w:rPr>
          <w:t xml:space="preserve">API standard</w:t>
        </w:r>
      </w:hyperlink>
      <w:r>
        <w:t xml:space="preserve">.</w:t>
      </w:r>
    </w:p>
    <w:p>
      <w:pPr>
        <w:pStyle w:val="TestomanualeCSW1"/>
        <w:numPr>
          <w:ilvl w:val="0"/>
          <w:numId w:val="24"/>
        </w:numPr>
      </w:pPr>
      <w:r>
        <w:rPr>
          <w:b/>
        </w:rPr>
        <w:t xml:space="preserve">BPM recupera i dati.</w:t>
      </w:r>
      <w:r>
        <w:t xml:space="preserve"> </w:t>
      </w:r>
      <w:r>
        <w:t xml:space="preserve">All’avvio, un’operazione</w:t>
      </w:r>
      <w:r>
        <w:t xml:space="preserve"> </w:t>
      </w:r>
      <w:hyperlink w:anchor="carica-dati">
        <w:r>
          <w:rPr>
            <w:rStyle w:val="Hyperlink"/>
          </w:rPr>
          <w:t xml:space="preserve">Carica Dati</w:t>
        </w:r>
      </w:hyperlink>
      <w:r>
        <w:t xml:space="preserve"> </w:t>
      </w:r>
      <w:r>
        <w:t xml:space="preserve">legge dall’ERP fornitore, importo e righe dell’ordine e valorizza le variabili.</w:t>
      </w:r>
    </w:p>
    <w:p>
      <w:pPr>
        <w:pStyle w:val="TestomanualeCSW1"/>
        <w:numPr>
          <w:ilvl w:val="0"/>
          <w:numId w:val="24"/>
        </w:numPr>
      </w:pPr>
      <w:r>
        <w:rPr>
          <w:b/>
        </w:rPr>
        <w:t xml:space="preserve">BPM scrive l’esito.</w:t>
      </w:r>
      <w:r>
        <w:t xml:space="preserve"> </w:t>
      </w:r>
      <w:r>
        <w:t xml:space="preserve">Alla fine dell’approvazione, un’operazione</w:t>
      </w:r>
      <w:r>
        <w:t xml:space="preserve"> </w:t>
      </w:r>
      <w:hyperlink w:anchor="esegui-sql">
        <w:r>
          <w:rPr>
            <w:rStyle w:val="Hyperlink"/>
          </w:rPr>
          <w:t xml:space="preserve">Esegui SQL</w:t>
        </w:r>
      </w:hyperlink>
      <w:r>
        <w:t xml:space="preserve"> </w:t>
      </w:r>
      <w:r>
        <w:t xml:space="preserve">aggiorna lo stato dell’ordine nell’ERP, oppure lo fa una chiamata alle API dell’ERP con il connettore</w:t>
      </w:r>
      <w:r>
        <w:t xml:space="preserve"> </w:t>
      </w:r>
      <w:hyperlink w:anchor="web-service">
        <w:r>
          <w:rPr>
            <w:rStyle w:val="Hyperlink"/>
          </w:rPr>
          <w:t xml:space="preserve">Web Service</w:t>
        </w:r>
      </w:hyperlink>
      <w:r>
        <w:t xml:space="preserve">.</w:t>
      </w:r>
    </w:p>
    <w:p>
      <w:pPr>
        <w:pStyle w:val="Heading4"/>
      </w:pPr>
      <w:bookmarkStart w:id="8" w:name="X7d63cdc210485766b6b8df4493e61eaa21a12ce"/>
      <w:r>
        <w:t xml:space="preserve">Chiamare un servizio esterno quando un’offerta viene approvata</w:t>
      </w:r>
      <w:bookmarkEnd w:id="6"/>
    </w:p>
    <w:p>
      <w:pPr>
        <w:pStyle w:val="TestomanualeCSW1"/>
      </w:pPr>
      <w:r>
        <w:t xml:space="preserve">Un processo di approvazione delle offerte deve creare l’opportunità nel CRM (per esempio Salesforce) quando l’offerta viene approvata:</w:t>
      </w:r>
    </w:p>
    <w:p>
      <w:pPr>
        <w:pStyle w:val="TestomanualeCSW1"/>
        <w:numPr>
          <w:ilvl w:val="0"/>
          <w:numId w:val="25"/>
        </w:numPr>
      </w:pPr>
      <w:r>
        <w:t xml:space="preserve">Dopo l’attività di approvazione, sul ramo</w:t>
      </w:r>
      <w:r>
        <w:t xml:space="preserve"> </w:t>
      </w:r>
      <w:r>
        <w:rPr>
          <w:i/>
        </w:rPr>
        <w:t xml:space="preserve">approvata</w:t>
      </w:r>
      <w:r>
        <w:t xml:space="preserve">, si inserisce un’operazione del connettore</w:t>
      </w:r>
      <w:r>
        <w:t xml:space="preserve"> </w:t>
      </w:r>
      <w:hyperlink w:anchor="web-service">
        <w:r>
          <w:rPr>
            <w:rStyle w:val="Hyperlink"/>
          </w:rPr>
          <w:t xml:space="preserve">Web Service</w:t>
        </w:r>
      </w:hyperlink>
      <w:r>
        <w:t xml:space="preserve">, oppure la si aggancia alla conclusione dell’attività.</w:t>
      </w:r>
    </w:p>
    <w:p>
      <w:pPr>
        <w:pStyle w:val="TestomanualeCSW1"/>
        <w:numPr>
          <w:ilvl w:val="0"/>
          <w:numId w:val="25"/>
        </w:numPr>
      </w:pPr>
      <w:r>
        <w:t xml:space="preserve">L’operazione chiama l’API del CRM con i dati dell’offerta presi dalle variabili del processo.</w:t>
      </w:r>
    </w:p>
    <w:p>
      <w:pPr>
        <w:pStyle w:val="TestomanualeCSW1"/>
        <w:numPr>
          <w:ilvl w:val="0"/>
          <w:numId w:val="25"/>
        </w:numPr>
      </w:pPr>
      <w:r>
        <w:t xml:space="preserve">La risposta del CRM, per esempio l’ID dell’opportunità creata, viene scritta in una variabile e resta nello storico del processo.</w:t>
      </w:r>
    </w:p>
    <w:p>
      <w:pPr>
        <w:pStyle w:val="TestomanualeCSW1"/>
      </w:pPr>
      <w:r>
        <w:t xml:space="preserve">Per chiamate che richiedono logica (autenticazione a più passaggi, trasformazione dei dati, più chiamate in sequenza) si usa la variante</w:t>
      </w:r>
      <w:r>
        <w:t xml:space="preserve"> </w:t>
      </w:r>
      <w:r>
        <w:rPr>
          <w:b/>
        </w:rPr>
        <w:t xml:space="preserve">Web API [Script]</w:t>
      </w:r>
      <w:r>
        <w:t xml:space="preserve">, che descrive la chiamata con uno script.</w:t>
      </w:r>
    </w:p>
    <w:p>
      <w:pPr>
        <w:pStyle w:val="Heading1"/>
      </w:pPr>
      <w:bookmarkStart w:id="9" w:name="connessioni-esterne"/>
      <w:r>
        <w:t xml:space="preserve">Connessioni esterne</w:t>
      </w:r>
      <w:bookmarkEnd w:id="7"/>
    </w:p>
    <w:p>
      <w:pPr>
        <w:pStyle w:val="TestomanualeCSW1"/>
      </w:pPr>
      <w:r>
        <w:t xml:space="preserve">Percorso:</w:t>
      </w:r>
      <w:r>
        <w:t xml:space="preserve"> </w:t>
      </w:r>
      <w:r>
        <w:rPr>
          <w:b/>
        </w:rPr>
        <w:t xml:space="preserve">Configurazione &gt; Configurazione &gt; Connessioni esterne</w:t>
      </w:r>
      <w:r>
        <w:t xml:space="preserve">.</w:t>
      </w:r>
    </w:p>
    <w:p>
      <w:pPr>
        <w:pStyle w:val="TestomanualeCSW1"/>
      </w:pPr>
      <w:r>
        <w:t xml:space="preserve">Una connessione esterna descrive come raggiungere il database di un altro sistema: server, database, credenziali. Si configura una volta sola, con un nome, e si riusa ovunque serva:</w:t>
      </w:r>
    </w:p>
    <w:p>
      <w:pPr>
        <w:pStyle w:val="TestomanualeCSW1"/>
        <w:numPr>
          <w:ilvl w:val="0"/>
          <w:numId w:val="26"/>
        </w:numPr>
      </w:pPr>
      <w:r>
        <w:t xml:space="preserve">nei</w:t>
      </w:r>
      <w:r>
        <w:t xml:space="preserve"> </w:t>
      </w:r>
      <w:hyperlink w:anchor="dati-esterni-nelle-variabili">
        <w:r>
          <w:rPr>
            <w:rStyle w:val="Hyperlink"/>
          </w:rPr>
          <w:t xml:space="preserve">dati esterni delle variabili</w:t>
        </w:r>
      </w:hyperlink>
      <w:r>
        <w:t xml:space="preserve"> </w:t>
      </w:r>
      <w:r>
        <w:t xml:space="preserve">e nelle griglie dati;</w:t>
      </w:r>
    </w:p>
    <w:p>
      <w:pPr>
        <w:pStyle w:val="TestomanualeCSW1"/>
        <w:numPr>
          <w:ilvl w:val="0"/>
          <w:numId w:val="26"/>
        </w:numPr>
      </w:pPr>
      <w:r>
        <w:t xml:space="preserve">nell’operazione</w:t>
      </w:r>
      <w:r>
        <w:t xml:space="preserve"> </w:t>
      </w:r>
      <w:hyperlink w:anchor="carica-dati">
        <w:r>
          <w:rPr>
            <w:rStyle w:val="Hyperlink"/>
          </w:rPr>
          <w:t xml:space="preserve">Carica Dati</w:t>
        </w:r>
      </w:hyperlink>
      <w:r>
        <w:t xml:space="preserve">;</w:t>
      </w:r>
    </w:p>
    <w:p>
      <w:pPr>
        <w:pStyle w:val="TestomanualeCSW1"/>
        <w:numPr>
          <w:ilvl w:val="0"/>
          <w:numId w:val="26"/>
        </w:numPr>
      </w:pPr>
      <w:r>
        <w:t xml:space="preserve">nell’operazione</w:t>
      </w:r>
      <w:r>
        <w:t xml:space="preserve"> </w:t>
      </w:r>
      <w:hyperlink w:anchor="esegui-sql">
        <w:r>
          <w:rPr>
            <w:rStyle w:val="Hyperlink"/>
          </w:rPr>
          <w:t xml:space="preserve">Esegui SQL</w:t>
        </w:r>
      </w:hyperlink>
      <w:r>
        <w:t xml:space="preserve">.</w:t>
      </w:r>
    </w:p>
    <w:p>
      <w:pPr>
        <w:pStyle w:val="TestomanualeCSW1"/>
      </w:pPr>
      <w:r>
        <w:t xml:space="preserve">Sono supportati SQL Server e le fonti dati raggiungibili via</w:t>
      </w:r>
      <w:r>
        <w:t xml:space="preserve"> </w:t>
      </w:r>
      <w:r>
        <w:rPr>
          <w:b/>
        </w:rPr>
        <w:t xml:space="preserve">ODBC</w:t>
      </w:r>
      <w:r>
        <w:t xml:space="preserve">.</w:t>
      </w:r>
    </w:p>
    <w:p>
      <w:pPr>
        <w:pStyle w:val="Heading3"/>
      </w:pPr>
      <w:bookmarkStart w:id="10" w:name="buone-pratiche"/>
      <w:r>
        <w:t xml:space="preserve">Buone pratiche</w:t>
      </w:r>
      <w:bookmarkEnd w:id="8"/>
    </w:p>
    <w:p>
      <w:pPr>
        <w:pStyle w:val="TestomanualeCSW1"/>
        <w:numPr>
          <w:ilvl w:val="0"/>
          <w:numId w:val="27"/>
        </w:numPr>
      </w:pPr>
      <w:r>
        <w:rPr>
          <w:b/>
        </w:rPr>
        <w:t xml:space="preserve">Una connessione per sistema e per ambiente</w:t>
      </w:r>
      <w:r>
        <w:t xml:space="preserve">, con un nome chiaro (per esempio</w:t>
      </w:r>
      <w:r>
        <w:t xml:space="preserve"> </w:t>
      </w:r>
      <w:r>
        <w:rPr>
          <w:rStyle w:val="VerbatimChar"/>
        </w:rPr>
        <w:t xml:space="preserve">ERP A1</w:t>
      </w:r>
      <w:r>
        <w:t xml:space="preserve">,</w:t>
      </w:r>
      <w:r>
        <w:t xml:space="preserve"> </w:t>
      </w:r>
      <w:r>
        <w:rPr>
          <w:rStyle w:val="VerbatimChar"/>
        </w:rPr>
        <w:t xml:space="preserve">ERP B</w:t>
      </w:r>
      <w:r>
        <w:t xml:space="preserve">): quando il processo passa da un ambiente di prova a quello reale, si cambia la connessione e non i modelli.</w:t>
      </w:r>
    </w:p>
    <w:p>
      <w:pPr>
        <w:pStyle w:val="TestomanualeCSW1"/>
        <w:numPr>
          <w:ilvl w:val="0"/>
          <w:numId w:val="27"/>
        </w:numPr>
      </w:pPr>
      <w:r>
        <w:rPr>
          <w:b/>
        </w:rPr>
        <w:t xml:space="preserve">Evita le viste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ponte</w:t>
      </w:r>
      <w:r>
        <w:rPr>
          <w:b/>
        </w:rPr>
        <w:t xml:space="preserve">”</w:t>
      </w:r>
      <w:r>
        <w:t xml:space="preserve"> </w:t>
      </w:r>
      <w:r>
        <w:t xml:space="preserve">create nel database di BPM che puntano, a loro volta, al database esterno: funzionano, ma si rompono quando si sposta l’installazione su un altro ambiente. Una connessione esterna è sempre preferibile.</w:t>
      </w:r>
    </w:p>
    <w:p>
      <w:pPr>
        <w:pStyle w:val="TestomanualeCSW1"/>
        <w:numPr>
          <w:ilvl w:val="0"/>
          <w:numId w:val="27"/>
        </w:numPr>
      </w:pPr>
      <w:r>
        <w:rPr>
          <w:b/>
        </w:rPr>
        <w:t xml:space="preserve">ODBC</w:t>
      </w:r>
      <w:r>
        <w:t xml:space="preserve"> </w:t>
      </w:r>
      <w:r>
        <w:t xml:space="preserve">funziona, ma con alcuni sistemi legacy può dare problemi: in quei casi un servizio web o un connettore dedicato sono spesso la scelta migliore.</w:t>
      </w:r>
    </w:p>
    <w:p>
      <w:pPr>
        <w:pStyle w:val="TestomanualeCSW1"/>
        <w:numPr>
          <w:ilvl w:val="0"/>
          <w:numId w:val="27"/>
        </w:numPr>
      </w:pPr>
      <w:r>
        <w:t xml:space="preserve">Usa per la connessione un utente del database con i</w:t>
      </w:r>
      <w:r>
        <w:t xml:space="preserve"> </w:t>
      </w:r>
      <w:r>
        <w:rPr>
          <w:b/>
        </w:rPr>
        <w:t xml:space="preserve">soli diritti necessari</w:t>
      </w:r>
      <w:r>
        <w:t xml:space="preserve">: lettura per le anagrafiche, scrittura solo dove BPM deve davvero scrivere.</w:t>
      </w:r>
    </w:p>
    <w:p>
      <w:pPr>
        <w:pStyle w:val="Heading3"/>
      </w:pPr>
      <w:bookmarkStart w:id="11" w:name="configurazione-dei-connettori"/>
      <w:r>
        <w:t xml:space="preserve">Configurazione dei connettori</w:t>
      </w:r>
      <w:bookmarkEnd w:id="9"/>
    </w:p>
    <w:p>
      <w:pPr>
        <w:pStyle w:val="TestomanualeCSW1"/>
      </w:pPr>
      <w:r>
        <w:t xml:space="preserve">I</w:t>
      </w:r>
      <w:r>
        <w:t xml:space="preserve"> </w:t>
      </w:r>
      <w:hyperlink w:anchor="connettori">
        <w:r>
          <w:rPr>
            <w:rStyle w:val="Hyperlink"/>
          </w:rPr>
          <w:t xml:space="preserve">connettori</w:t>
        </w:r>
      </w:hyperlink>
      <w:r>
        <w:t xml:space="preserve"> </w:t>
      </w:r>
      <w:r>
        <w:t xml:space="preserve">non usano le connessioni esterne: hanno una propria configurazione, in</w:t>
      </w:r>
      <w:r>
        <w:t xml:space="preserve"> </w:t>
      </w:r>
      <w:r>
        <w:rPr>
          <w:b/>
        </w:rPr>
        <w:t xml:space="preserve">Configurazione &gt; Connettori</w:t>
      </w:r>
      <w:r>
        <w:t xml:space="preserve">. Lì si attiva il connettore, si aggiungono le aziende e, per ciascuna, si compilano i parametri richiesti (indirizzi di servizi web, credenziali, database).</w:t>
      </w:r>
    </w:p>
    <w:p>
      <w:pPr>
        <w:pStyle w:val="Heading1"/>
      </w:pPr>
      <w:bookmarkStart w:id="12" w:name="dati-esterni-nelle-variabili"/>
      <w:r>
        <w:t xml:space="preserve">Dati esterni nelle variabili</w:t>
      </w:r>
      <w:bookmarkEnd w:id="10"/>
    </w:p>
    <w:p>
      <w:pPr>
        <w:pStyle w:val="TestomanualeCSW1"/>
      </w:pPr>
      <w:r>
        <w:t xml:space="preserve">Una variabile può essere collegata a una</w:t>
      </w:r>
      <w:r>
        <w:t xml:space="preserve"> </w:t>
      </w:r>
      <w:r>
        <w:rPr>
          <w:b/>
        </w:rPr>
        <w:t xml:space="preserve">fonte dati</w:t>
      </w:r>
      <w:r>
        <w:t xml:space="preserve">: invece del testo libero, l’utente sceglie un valore da una tabella, e la scelta può valorizzare automaticamente altre variabili. È il modo più semplice per usare in BPM le anagrafiche di un altro sistema senza copiarle.</w:t>
      </w:r>
    </w:p>
    <w:p>
      <w:pPr>
        <w:pStyle w:val="TestomanualeCSW1"/>
      </w:pPr>
      <w:r>
        <w:t xml:space="preserve">Per esempio, scegliendo il codice fornitore, BPM compila da solo la ragione sociale, la partita IVA e le condizioni di pagamento lette dall’ERP.</w:t>
      </w:r>
    </w:p>
    <w:p>
      <w:pPr>
        <w:pStyle w:val="Heading3"/>
      </w:pPr>
      <w:bookmarkStart w:id="13" w:name="fonti-dati"/>
      <w:r>
        <w:t xml:space="preserve">Fonti dati</w:t>
      </w:r>
      <w:bookmarkEnd w:id="11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Quando usarla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Tabella o vista esterna</w:t>
            </w:r>
          </w:p>
        </w:tc>
        <w:tc>
          <w:p>
            <w:pPr>
              <w:pStyle w:val="TestomanualeCSW1"/>
              <w:jc w:val="left"/>
            </w:pPr>
            <w:r>
              <w:t xml:space="preserve">I dati stanno nel database di un altro sistema. Richiede una</w:t>
            </w:r>
            <w:r>
              <w:t xml:space="preserve"> </w:t>
            </w:r>
            <w:hyperlink w:anchor="connessioni-esterne">
              <w:r>
                <w:rPr>
                  <w:rStyle w:val="Hyperlink"/>
                </w:rPr>
                <w:t xml:space="preserve">connessione esterna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Tabella locale</w:t>
            </w:r>
          </w:p>
        </w:tc>
        <w:tc>
          <w:p>
            <w:pPr>
              <w:pStyle w:val="TestomanualeCSW1"/>
              <w:jc w:val="left"/>
            </w:pPr>
            <w:r>
              <w:t xml:space="preserve">I dati sono gestiti in BPM, in una tabella personalizzata (prefisso</w:t>
            </w:r>
            <w:r>
              <w:t xml:space="preserve"> </w:t>
            </w:r>
            <w:r>
              <w:rPr>
                <w:rStyle w:val="VerbatimChar"/>
              </w:rPr>
              <w:t xml:space="preserve">P_</w:t>
            </w:r>
            <w:r>
              <w:t xml:space="preserve">) o in una vista del database di BPM.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Tabella di un connettore</w:t>
            </w:r>
          </w:p>
        </w:tc>
        <w:tc>
          <w:p>
            <w:pPr>
              <w:pStyle w:val="TestomanualeCSW1"/>
              <w:jc w:val="left"/>
            </w:pPr>
            <w:r>
              <w:t xml:space="preserve">Il connettore espone i dati di un sistema come se fossero una tabella (per esempio i connettori per SAM).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Servizio web (REST)</w:t>
            </w:r>
          </w:p>
        </w:tc>
        <w:tc>
          <w:p>
            <w:pPr>
              <w:pStyle w:val="TestomanualeCSW1"/>
              <w:jc w:val="left"/>
            </w:pPr>
            <w:r>
              <w:t xml:space="preserve">I dati arrivano da una chiamata a un’API. Possibilità più limitata rispetto alle tabelle.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Variabili del processo</w:t>
            </w:r>
          </w:p>
        </w:tc>
        <w:tc>
          <w:p>
            <w:pPr>
              <w:pStyle w:val="TestomanualeCSW1"/>
              <w:jc w:val="left"/>
            </w:pPr>
            <w:r>
              <w:t xml:space="preserve">I valori si scelgono tra le righe di un gruppo dello stesso processo (per esempio il preventivo vincente tra quelli inseriti).</w:t>
            </w:r>
          </w:p>
        </w:tc>
      </w:tr>
    </w:tbl>
    <w:p>
      <w:pPr>
        <w:pStyle w:val="Heading3"/>
      </w:pPr>
      <w:bookmarkStart w:id="14" w:name="come-si-configura"/>
      <w:r>
        <w:t xml:space="preserve">Come si configura</w:t>
      </w:r>
      <w:bookmarkEnd w:id="12"/>
    </w:p>
    <w:p>
      <w:pPr>
        <w:pStyle w:val="TestomanualeCSW1"/>
      </w:pPr>
      <w:r>
        <w:t xml:space="preserve">La configurazione avviene nella scheda della variabile, con la stessa finestra usata dall’operazione</w:t>
      </w:r>
      <w:r>
        <w:t xml:space="preserve"> </w:t>
      </w:r>
      <w:hyperlink w:anchor="carica-dati">
        <w:r>
          <w:rPr>
            <w:rStyle w:val="Hyperlink"/>
          </w:rPr>
          <w:t xml:space="preserve">Carica Dati</w:t>
        </w:r>
      </w:hyperlink>
      <w:r>
        <w:t xml:space="preserve">:</w:t>
      </w:r>
    </w:p>
    <w:p>
      <w:pPr>
        <w:pStyle w:val="TestomanualeCSW1"/>
        <w:numPr>
          <w:ilvl w:val="0"/>
          <w:numId w:val="28"/>
        </w:numPr>
      </w:pPr>
      <w:r>
        <w:t xml:space="preserve">si sceglie la fonte (connessione e tabella, oppure la query);</w:t>
      </w:r>
    </w:p>
    <w:p>
      <w:pPr>
        <w:pStyle w:val="TestomanualeCSW1"/>
        <w:numPr>
          <w:ilvl w:val="0"/>
          <w:numId w:val="28"/>
        </w:numPr>
      </w:pPr>
      <w:r>
        <w:t xml:space="preserve">si indica la</w:t>
      </w:r>
      <w:r>
        <w:t xml:space="preserve"> </w:t>
      </w:r>
      <w:r>
        <w:rPr>
          <w:b/>
        </w:rPr>
        <w:t xml:space="preserve">colonna chiave</w:t>
      </w:r>
      <w:r>
        <w:t xml:space="preserve">, collegata alla variabile che si sta configurando;</w:t>
      </w:r>
    </w:p>
    <w:p>
      <w:pPr>
        <w:pStyle w:val="TestomanualeCSW1"/>
        <w:numPr>
          <w:ilvl w:val="0"/>
          <w:numId w:val="28"/>
        </w:numPr>
      </w:pPr>
      <w:r>
        <w:t xml:space="preserve">si collegano, se serve,</w:t>
      </w:r>
      <w:r>
        <w:t xml:space="preserve"> </w:t>
      </w:r>
      <w:r>
        <w:rPr>
          <w:b/>
        </w:rPr>
        <w:t xml:space="preserve">altre colonne</w:t>
      </w:r>
      <w:r>
        <w:t xml:space="preserve"> </w:t>
      </w:r>
      <w:r>
        <w:t xml:space="preserve">ad altre variabili, che si valorizzano con la scelta;</w:t>
      </w:r>
    </w:p>
    <w:p>
      <w:pPr>
        <w:pStyle w:val="TestomanualeCSW1"/>
        <w:numPr>
          <w:ilvl w:val="0"/>
          <w:numId w:val="28"/>
        </w:numPr>
      </w:pPr>
      <w:r>
        <w:t xml:space="preserve">si impostano le opzioni di ricerca: campi su cui cercare, filtri, prefiltro sul valore già inserito, caricamento dei dati solo dopo una ricerca per le tabelle molto grandi.</w:t>
      </w:r>
    </w:p>
    <w:p>
      <w:pPr>
        <w:pStyle w:val="Heading3"/>
      </w:pPr>
      <w:bookmarkStart w:id="15" w:name="griglia-dati"/>
      <w:r>
        <w:t xml:space="preserve">Griglia dati</w:t>
      </w:r>
      <w:bookmarkEnd w:id="13"/>
    </w:p>
    <w:p>
      <w:pPr>
        <w:pStyle w:val="TestomanualeCSW1"/>
      </w:pPr>
      <w:r>
        <w:t xml:space="preserve">La</w:t>
      </w:r>
      <w:r>
        <w:t xml:space="preserve"> </w:t>
      </w:r>
      <w:r>
        <w:rPr>
          <w:b/>
        </w:rPr>
        <w:t xml:space="preserve">griglia dati</w:t>
      </w:r>
      <w:r>
        <w:t xml:space="preserve"> </w:t>
      </w:r>
      <w:r>
        <w:t xml:space="preserve">è un tipo di variabile che mostra in sola lettura una tabella esterna o locale: per esempio tutti gli ordini aperti del cliente del processo. Si configura con la stessa finestra, scegliendo le colonne da mostrare e, se serve, rinominandone le intestazioni.</w:t>
      </w:r>
    </w:p>
    <w:p>
      <w:pPr>
        <w:pStyle w:val="TestomanualeCSW1"/>
      </w:pPr>
      <w:r>
        <w:t xml:space="preserve">Non serve a inserire dati, per quello ci sono i gruppi: è una finestra di consultazione sempre aggiornata.</w:t>
      </w:r>
    </w:p>
    <w:p>
      <w:pPr>
        <w:pStyle w:val="Heading1"/>
      </w:pPr>
      <w:bookmarkStart w:id="16" w:name="operazioni"/>
      <w:r>
        <w:t xml:space="preserve">Operazioni</w:t>
      </w:r>
      <w:bookmarkEnd w:id="14"/>
    </w:p>
    <w:p>
      <w:pPr>
        <w:pStyle w:val="Heading2"/>
      </w:pPr>
      <w:bookmarkStart w:id="17" w:name="carica-dati"/>
      <w:r>
        <w:t xml:space="preserve">Carica Dati</w:t>
      </w:r>
      <w:bookmarkEnd w:id="15"/>
    </w:p>
    <w:p>
      <w:pPr>
        <w:pStyle w:val="TestomanualeCSW1"/>
      </w:pPr>
      <w:r>
        <w:rPr>
          <w:b/>
        </w:rPr>
        <w:t xml:space="preserve">Carica Dati</w:t>
      </w:r>
      <w:r>
        <w:t xml:space="preserve"> </w:t>
      </w:r>
      <w:r>
        <w:t xml:space="preserve">è un’operazione nativa di BPM che legge dati da una tabella o vista e li copia nelle variabili del processo o del documento.</w:t>
      </w:r>
    </w:p>
    <w:p>
      <w:pPr>
        <w:pStyle w:val="TestomanualeCSW1"/>
      </w:pPr>
      <w:r>
        <w:t xml:space="preserve">Si usa tipicamente all’</w:t>
      </w:r>
      <w:r>
        <w:rPr>
          <w:b/>
        </w:rPr>
        <w:t xml:space="preserve">inizio</w:t>
      </w:r>
      <w:r>
        <w:t xml:space="preserve"> </w:t>
      </w:r>
      <w:r>
        <w:t xml:space="preserve">di un processo: l’utente, o il sistema che avvia il processo, fornisce solo un codice, e l’operazione recupera il resto. Per esempio, dall’ID di un ordine legge fornitore, data e importo; dal codice cliente legge ragione sociale e agente.</w:t>
      </w:r>
    </w:p>
    <w:p>
      <w:pPr>
        <w:pStyle w:val="Heading4"/>
      </w:pPr>
      <w:bookmarkStart w:id="18" w:name="come-si-configura-1"/>
      <w:r>
        <w:t xml:space="preserve">Come si configura</w:t>
      </w:r>
      <w:bookmarkEnd w:id="16"/>
    </w:p>
    <w:p>
      <w:pPr>
        <w:pStyle w:val="TestomanualeCSW1"/>
      </w:pPr>
      <w:r>
        <w:t xml:space="preserve">L’operazione usa la stessa finestra delle</w:t>
      </w:r>
      <w:r>
        <w:t xml:space="preserve"> </w:t>
      </w:r>
      <w:hyperlink w:anchor="dati-esterni-nelle-variabili">
        <w:r>
          <w:rPr>
            <w:rStyle w:val="Hyperlink"/>
          </w:rPr>
          <w:t xml:space="preserve">fonti dati delle variabili</w:t>
        </w:r>
      </w:hyperlink>
      <w:r>
        <w:t xml:space="preserve">:</w:t>
      </w:r>
    </w:p>
    <w:p>
      <w:pPr>
        <w:pStyle w:val="TestomanualeCSW1"/>
        <w:numPr>
          <w:ilvl w:val="0"/>
          <w:numId w:val="29"/>
        </w:numPr>
      </w:pPr>
      <w:r>
        <w:t xml:space="preserve">si sceglie la fonte: tabella o vista tramite una</w:t>
      </w:r>
      <w:r>
        <w:t xml:space="preserve"> </w:t>
      </w:r>
      <w:hyperlink w:anchor="connessioni-esterne">
        <w:r>
          <w:rPr>
            <w:rStyle w:val="Hyperlink"/>
          </w:rPr>
          <w:t xml:space="preserve">connessione esterna</w:t>
        </w:r>
      </w:hyperlink>
      <w:r>
        <w:t xml:space="preserve">, tabella locale o tabella di un connettore;</w:t>
      </w:r>
    </w:p>
    <w:p>
      <w:pPr>
        <w:pStyle w:val="TestomanualeCSW1"/>
        <w:numPr>
          <w:ilvl w:val="0"/>
          <w:numId w:val="29"/>
        </w:numPr>
      </w:pPr>
      <w:r>
        <w:t xml:space="preserve">si indica la condizione di ricerca, legando la colonna chiave alla variabile che contiene il valore da cercare;</w:t>
      </w:r>
    </w:p>
    <w:p>
      <w:pPr>
        <w:pStyle w:val="TestomanualeCSW1"/>
        <w:numPr>
          <w:ilvl w:val="0"/>
          <w:numId w:val="29"/>
        </w:numPr>
      </w:pPr>
      <w:r>
        <w:t xml:space="preserve">si collegano le colonne da leggere alle variabili da valorizzare.</w:t>
      </w:r>
    </w:p>
    <w:p>
      <w:pPr>
        <w:pStyle w:val="TestomanualeCSW1"/>
      </w:pPr>
      <w:r>
        <w:t xml:space="preserve">L’operazione si inserisce nel flusso oppure si aggancia a un momento del ciclo di vita di un’attività, per esempio all’attivazione.</w:t>
      </w:r>
    </w:p>
    <w:p>
      <w:pPr>
        <w:pStyle w:val="Heading4"/>
      </w:pPr>
      <w:bookmarkStart w:id="19" w:name="carica-dati-o-esegui-sql"/>
      <w:r>
        <w:t xml:space="preserve">Carica Dati o Esegui SQL?</w:t>
      </w:r>
      <w:bookmarkEnd w:id="17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/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Carica Dati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Esegui SQL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Configurazione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Guidata: tabella, chiave, colonne</w:t>
            </w:r>
          </w:p>
        </w:tc>
        <w:tc>
          <w:p>
            <w:pPr>
              <w:pStyle w:val="TestomanualeCSW1"/>
              <w:jc w:val="left"/>
            </w:pPr>
            <w:r>
              <w:t xml:space="preserve">Un’istruzione SQL scritta a mano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Adatta per</w:t>
            </w:r>
          </w:p>
        </w:tc>
        <w:tc>
          <w:p>
            <w:pPr>
              <w:pStyle w:val="TestomanualeCSW1"/>
              <w:jc w:val="left"/>
            </w:pPr>
            <w:r>
              <w:t xml:space="preserve">Leggere un record a partire da una chiave</w:t>
            </w:r>
          </w:p>
        </w:tc>
        <w:tc>
          <w:p>
            <w:pPr>
              <w:pStyle w:val="TestomanualeCSW1"/>
              <w:jc w:val="left"/>
            </w:pPr>
            <w:r>
              <w:t xml:space="preserve">Scritture, query complesse (join, aggregazioni), stored procedure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Errori</w:t>
            </w:r>
          </w:p>
        </w:tc>
        <w:tc>
          <w:p>
            <w:pPr>
              <w:pStyle w:val="TestomanualeCSW1"/>
              <w:jc w:val="left"/>
            </w:pPr>
            <w:r>
              <w:t xml:space="preserve">Pochi: la finestra conosce tabelle e colonne</w:t>
            </w:r>
          </w:p>
        </w:tc>
        <w:tc>
          <w:p>
            <w:pPr>
              <w:pStyle w:val="TestomanualeCSW1"/>
              <w:jc w:val="left"/>
            </w:pPr>
            <w:r>
              <w:t xml:space="preserve">Dipendono dalla correttezza della query</w:t>
            </w:r>
          </w:p>
        </w:tc>
      </w:tr>
    </w:tbl>
    <w:p>
      <w:pPr>
        <w:pStyle w:val="TestomanualeCSW1"/>
        <w:spacing w:before="160"/>
      </w:pPr>
      <w:r>
        <w:t xml:space="preserve">Per le letture semplici preferisci Carica Dati; passa a</w:t>
      </w:r>
      <w:r>
        <w:t xml:space="preserve"> </w:t>
      </w:r>
      <w:hyperlink w:anchor="esegui-sql">
        <w:r>
          <w:rPr>
            <w:rStyle w:val="Hyperlink"/>
          </w:rPr>
          <w:t xml:space="preserve">Esegui SQL</w:t>
        </w:r>
      </w:hyperlink>
      <w:r>
        <w:t xml:space="preserve"> </w:t>
      </w:r>
      <w:r>
        <w:t xml:space="preserve">quando serve di più.</w:t>
      </w:r>
    </w:p>
    <w:p>
      <w:pPr>
        <w:pStyle w:val="Heading2"/>
      </w:pPr>
      <w:bookmarkStart w:id="20" w:name="esegui-sql"/>
      <w:r>
        <w:t xml:space="preserve">Esegui SQL</w:t>
      </w:r>
      <w:bookmarkEnd w:id="18"/>
    </w:p>
    <w:p>
      <w:pPr>
        <w:pStyle w:val="TestomanualeCSW1"/>
      </w:pPr>
      <w:r>
        <w:rPr>
          <w:b/>
        </w:rPr>
        <w:t xml:space="preserve">Esegui SQL</w:t>
      </w:r>
      <w:r>
        <w:t xml:space="preserve"> </w:t>
      </w:r>
      <w:r>
        <w:t xml:space="preserve">è un’operazione nativa di BPM che esegue un’istruzione SQL su una</w:t>
      </w:r>
      <w:r>
        <w:t xml:space="preserve"> </w:t>
      </w:r>
      <w:hyperlink w:anchor="connessioni-esterne">
        <w:r>
          <w:rPr>
            <w:rStyle w:val="Hyperlink"/>
          </w:rPr>
          <w:t xml:space="preserve">connessione esterna</w:t>
        </w:r>
      </w:hyperlink>
      <w:r>
        <w:t xml:space="preserve">. Si usa soprattutto per</w:t>
      </w:r>
      <w:r>
        <w:t xml:space="preserve"> </w:t>
      </w:r>
      <w:r>
        <w:rPr>
          <w:b/>
        </w:rPr>
        <w:t xml:space="preserve">scrivere</w:t>
      </w:r>
      <w:r>
        <w:t xml:space="preserve"> </w:t>
      </w:r>
      <w:r>
        <w:t xml:space="preserve">su un altro sistema, ma può eseguire qualunque istruzione: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query con join, stored procedure.</w:t>
      </w:r>
    </w:p>
    <w:p>
      <w:pPr>
        <w:pStyle w:val="TestomanualeCSW1"/>
      </w:pPr>
      <w:r>
        <w:t xml:space="preserve">Caso tipico: al termine dell’approvazione, scrivere nell’ERP che l’ordine è stato approvato, da chi e quando.</w:t>
      </w:r>
    </w:p>
    <w:p>
      <w:pPr>
        <w:pStyle w:val="Heading4"/>
      </w:pPr>
      <w:bookmarkStart w:id="21" w:name="parametri"/>
      <w:r>
        <w:t xml:space="preserve">Parametri</w:t>
      </w:r>
      <w:bookmarkEnd w:id="19"/>
    </w:p>
    <w:p>
      <w:pPr>
        <w:pStyle w:val="TestomanualeCSW1"/>
      </w:pPr>
      <w:r>
        <w:t xml:space="preserve">I parametri dell’istruzione, indicati con</w:t>
      </w:r>
      <w:r>
        <w:t xml:space="preserve"> </w:t>
      </w:r>
      <w:r>
        <w:rPr>
          <w:rStyle w:val="VerbatimChar"/>
        </w:rPr>
        <w:t xml:space="preserve">@</w:t>
      </w:r>
      <w:r>
        <w:t xml:space="preserve">, si collegano alle variabili del processo:</w:t>
      </w:r>
    </w:p>
    <w:p>
      <w:pPr>
        <w:pStyle w:val="TestomanualeCSW1"/>
        <w:numPr>
          <w:ilvl w:val="0"/>
          <w:numId w:val="30"/>
        </w:numPr>
      </w:pPr>
      <w:r>
        <w:rPr>
          <w:b/>
        </w:rPr>
        <w:t xml:space="preserve">parametri di ingresso</w:t>
      </w:r>
      <w:r>
        <w:t xml:space="preserve">: il valore viene preso dalla variabile;</w:t>
      </w:r>
    </w:p>
    <w:p>
      <w:pPr>
        <w:pStyle w:val="TestomanualeCSW1"/>
        <w:numPr>
          <w:ilvl w:val="0"/>
          <w:numId w:val="30"/>
        </w:numPr>
      </w:pPr>
      <w:r>
        <w:rPr>
          <w:b/>
        </w:rPr>
        <w:t xml:space="preserve">parametri di uscita</w:t>
      </w:r>
      <w:r>
        <w:t xml:space="preserve">: il valore restituito dall’istruzione viene scritto nella variabile.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ordini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'APPROVATO'</w:t>
      </w:r>
      <w:r>
        <w:rPr>
          <w:rStyle w:val="NormalTok"/>
        </w:rPr>
        <w:t xml:space="preserve">, approvato_da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@utente, data_approvazione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@data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id_ordine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@idOrdine</w:t>
      </w:r>
    </w:p>
    <w:p>
      <w:pPr>
        <w:pStyle w:val="TestomanualeCSW1"/>
      </w:pPr>
      <w:r>
        <w:t xml:space="preserve">Qui</w:t>
      </w:r>
      <w:r>
        <w:t xml:space="preserve"> </w:t>
      </w:r>
      <w:r>
        <w:rPr>
          <w:rStyle w:val="VerbatimChar"/>
        </w:rPr>
        <w:t xml:space="preserve">@utente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@data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@idOrdine</w:t>
      </w:r>
      <w:r>
        <w:t xml:space="preserve"> </w:t>
      </w:r>
      <w:r>
        <w:t xml:space="preserve">sono parametri di ingresso collegati alle variabili del processo.</w:t>
      </w:r>
    </w:p>
    <w:p>
      <w:pPr>
        <w:pStyle w:val="Heading4"/>
      </w:pPr>
      <w:bookmarkStart w:id="22" w:name="quando-usarla"/>
      <w:r>
        <w:t xml:space="preserve">Quando usarla</w:t>
      </w:r>
      <w:bookmarkEnd w:id="20"/>
    </w:p>
    <w:p>
      <w:pPr>
        <w:pStyle w:val="TestomanualeCSW1"/>
        <w:numPr>
          <w:ilvl w:val="0"/>
          <w:numId w:val="31"/>
        </w:numPr>
      </w:pPr>
      <w:r>
        <w:t xml:space="preserve">Il sistema esterno accetta scritture dirette sul suo database, oppure espone stored procedure pensate per l’integrazione.</w:t>
      </w:r>
    </w:p>
    <w:p>
      <w:pPr>
        <w:pStyle w:val="TestomanualeCSW1"/>
        <w:numPr>
          <w:ilvl w:val="0"/>
          <w:numId w:val="31"/>
        </w:numPr>
      </w:pPr>
      <w:r>
        <w:t xml:space="preserve">Non esiste un servizio web o un connettore dedicato per quella scrittura.</w:t>
      </w:r>
    </w:p>
    <w:p>
      <w:pPr>
        <w:pStyle w:val="TestomanualeCSW1"/>
      </w:pPr>
      <w:r>
        <w:t xml:space="preserve">Se il sistema esterno espone API, preferisci chiamarle con il connettore</w:t>
      </w:r>
      <w:r>
        <w:t xml:space="preserve"> </w:t>
      </w:r>
      <w:hyperlink w:anchor="web-service">
        <w:r>
          <w:rPr>
            <w:rStyle w:val="Hyperlink"/>
          </w:rPr>
          <w:t xml:space="preserve">Web Service</w:t>
        </w:r>
      </w:hyperlink>
      <w:r>
        <w:t xml:space="preserve">: le API applicano le regole del sistema, una scrittura diretta sul database no.</w:t>
      </w:r>
    </w:p>
    <w:p>
      <w:pPr>
        <w:pStyle w:val="TestomanualeCSW1"/>
        <w:pBdr>
          <w:left w:val="single" w:sz="12" w:space="8" w:color="3093EF"/>
        </w:pBdr>
        <w:spacing w:before="160"/>
        <w:ind w:left="567"/>
      </w:pPr>
      <w:r>
        <w:rPr>
          <w:b/>
        </w:rPr>
        <w:t xml:space="preserve">Errori nelle operazioni</w:t>
      </w:r>
    </w:p>
    <w:p>
      <w:pPr>
        <w:pStyle w:val="TestomanualeCSW1"/>
        <w:pBdr>
          <w:left w:val="single" w:sz="12" w:space="8" w:color="3093EF"/>
        </w:pBdr>
        <w:spacing w:after="160"/>
        <w:ind w:left="567"/>
      </w:pPr>
      <w:r>
        <w:t xml:space="preserve">Se l’istruzione non è corretta, l’operazione fallisce, e con lei l’azione che l’ha eseguita: per esempio l’avvio del processo, anche quando arriva dalle</w:t>
      </w:r>
      <w:r>
        <w:t xml:space="preserve"> </w:t>
      </w:r>
      <w:hyperlink w:anchor="api-standard">
        <w:r>
          <w:rPr>
            <w:rStyle w:val="Hyperlink"/>
          </w:rPr>
          <w:t xml:space="preserve">API standard</w:t>
        </w:r>
      </w:hyperlink>
      <w:r>
        <w:t xml:space="preserve"> </w:t>
      </w:r>
      <w:r>
        <w:t xml:space="preserve">o dalla</w:t>
      </w:r>
      <w:r>
        <w:t xml:space="preserve"> </w:t>
      </w:r>
      <w:hyperlink w:anchor="coda-delle-chiamate">
        <w:r>
          <w:rPr>
            <w:rStyle w:val="Hyperlink"/>
          </w:rPr>
          <w:t xml:space="preserve">coda delle chiamate</w:t>
        </w:r>
      </w:hyperlink>
      <w:r>
        <w:t xml:space="preserve">. Prova sempre le istruzioni prima di pubblicare il modello.</w:t>
      </w:r>
    </w:p>
    <w:p>
      <w:pPr>
        <w:pStyle w:val="Heading1"/>
      </w:pPr>
      <w:bookmarkStart w:id="23" w:name="connettori"/>
      <w:r>
        <w:t xml:space="preserve">Connettori</w:t>
      </w:r>
      <w:bookmarkEnd w:id="21"/>
    </w:p>
    <w:p>
      <w:pPr>
        <w:pStyle w:val="TestomanualeCSW1"/>
      </w:pPr>
      <w:r>
        <w:t xml:space="preserve">Un</w:t>
      </w:r>
      <w:r>
        <w:t xml:space="preserve"> </w:t>
      </w:r>
      <w:r>
        <w:rPr>
          <w:b/>
        </w:rPr>
        <w:t xml:space="preserve">connettore</w:t>
      </w:r>
      <w:r>
        <w:t xml:space="preserve"> </w:t>
      </w:r>
      <w:r>
        <w:t xml:space="preserve">è un modulo che aggiunge a BPM funzioni pronte all’uso. Un connettore non è un oggetto del Designer: le sue funzioni si usano attraverso tre</w:t>
      </w:r>
      <w:r>
        <w:t xml:space="preserve"> </w:t>
      </w:r>
      <w:r>
        <w:t xml:space="preserve">“</w:t>
      </w:r>
      <w:r>
        <w:t xml:space="preserve">porte</w:t>
      </w:r>
      <w:r>
        <w:t xml:space="preserve">”</w:t>
      </w:r>
      <w:r>
        <w:t xml:space="preserve">, ciascuna con il proprio oggetto.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Tipo di funzione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Si usa tramite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Cosa succede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Esempi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Operazione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l’operazione Connettore attivo</w:t>
            </w:r>
          </w:p>
        </w:tc>
        <w:tc>
          <w:p>
            <w:pPr>
              <w:pStyle w:val="TestomanualeCSW1"/>
              <w:jc w:val="left"/>
            </w:pPr>
            <w:r>
              <w:t xml:space="preserve">Il motore esegue la funzione quando il flusso la raggiunge, o nel momento del ciclo di vita a cui è agganciata</w:t>
            </w:r>
          </w:p>
        </w:tc>
        <w:tc>
          <w:p>
            <w:pPr>
              <w:pStyle w:val="TestomanualeCSW1"/>
              <w:jc w:val="left"/>
            </w:pPr>
            <w:r>
              <w:t xml:space="preserve">Web API, SaveAttachmentToFileSystem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Evento</w:t>
            </w:r>
          </w:p>
        </w:tc>
        <w:tc>
          <w:p>
            <w:pPr>
              <w:pStyle w:val="TestomanualeCSW1"/>
              <w:jc w:val="left"/>
            </w:pPr>
            <w:r>
              <w:t xml:space="preserve">l’evento di avvio Start su evento</w:t>
            </w:r>
          </w:p>
        </w:tc>
        <w:tc>
          <w:p>
            <w:pPr>
              <w:pStyle w:val="TestomanualeCSW1"/>
              <w:jc w:val="left"/>
            </w:pPr>
            <w:r>
              <w:t xml:space="preserve">Il motore resta in ascolto e avvia un processo quando si verifica l’evento</w:t>
            </w:r>
          </w:p>
        </w:tc>
        <w:tc>
          <w:p>
            <w:pPr>
              <w:pStyle w:val="TestomanualeCSW1"/>
              <w:jc w:val="left"/>
            </w:pPr>
            <w:r>
              <w:t xml:space="preserve">IncomingFile, IncomingMail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b/>
              </w:rPr>
              <w:t xml:space="preserve">Azione client</w:t>
            </w:r>
          </w:p>
        </w:tc>
        <w:tc>
          <w:p>
            <w:pPr>
              <w:pStyle w:val="TestomanualeCSW1"/>
              <w:jc w:val="left"/>
            </w:pPr>
            <w:r>
              <w:t xml:space="preserve">un pulsante nell’interfaccia di un processo o di un documento</w:t>
            </w:r>
          </w:p>
        </w:tc>
        <w:tc>
          <w:p>
            <w:pPr>
              <w:pStyle w:val="TestomanualeCSW1"/>
              <w:jc w:val="left"/>
            </w:pPr>
            <w:r>
              <w:t xml:space="preserve">La funzione viene eseguita quando l’utente preme il pulsante</w:t>
            </w:r>
          </w:p>
        </w:tc>
        <w:tc>
          <w:p>
            <w:pPr>
              <w:pStyle w:val="TestomanualeCSW1"/>
              <w:jc w:val="left"/>
            </w:pPr>
            <w:r>
              <w:t xml:space="preserve">MergePDFs [Client]</w:t>
            </w:r>
          </w:p>
        </w:tc>
      </w:tr>
    </w:tbl>
    <w:p>
      <w:pPr>
        <w:pStyle w:val="TestomanualeCSW1"/>
        <w:spacing w:before="160"/>
      </w:pPr>
      <w:r>
        <w:t xml:space="preserve">In tutti i casi, nella configurazione dell’oggetto si sceglie il connettore e la funzione; BPM presenta i</w:t>
      </w:r>
      <w:r>
        <w:t xml:space="preserve"> </w:t>
      </w:r>
      <w:r>
        <w:rPr>
          <w:b/>
        </w:rPr>
        <w:t xml:space="preserve">parametri</w:t>
      </w:r>
      <w:r>
        <w:t xml:space="preserve"> </w:t>
      </w:r>
      <w:r>
        <w:t xml:space="preserve">della funzione, da valorizzare con valori fissi o da collegare alle variabili: in</w:t>
      </w:r>
      <w:r>
        <w:t xml:space="preserve"> </w:t>
      </w:r>
      <w:r>
        <w:rPr>
          <w:b/>
        </w:rPr>
        <w:t xml:space="preserve">ingresso</w:t>
      </w:r>
      <w:r>
        <w:t xml:space="preserve"> </w:t>
      </w:r>
      <w:r>
        <w:t xml:space="preserve">per dire alla funzione cosa fare, in</w:t>
      </w:r>
      <w:r>
        <w:t xml:space="preserve"> </w:t>
      </w:r>
      <w:r>
        <w:rPr>
          <w:b/>
        </w:rPr>
        <w:t xml:space="preserve">uscita</w:t>
      </w:r>
      <w:r>
        <w:t xml:space="preserve"> </w:t>
      </w:r>
      <w:r>
        <w:t xml:space="preserve">per scriverne i risultati nelle variabili.</w:t>
      </w:r>
    </w:p>
    <w:p>
      <w:pPr>
        <w:pStyle w:val="Heading3"/>
      </w:pPr>
      <w:bookmarkStart w:id="24" w:name="configurazione"/>
      <w:r>
        <w:t xml:space="preserve">Configurazione</w:t>
      </w:r>
      <w:bookmarkEnd w:id="22"/>
    </w:p>
    <w:p>
      <w:pPr>
        <w:pStyle w:val="TestomanualeCSW1"/>
      </w:pPr>
      <w:r>
        <w:t xml:space="preserve">Percorso:</w:t>
      </w:r>
      <w:r>
        <w:t xml:space="preserve"> </w:t>
      </w:r>
      <w:r>
        <w:rPr>
          <w:b/>
        </w:rPr>
        <w:t xml:space="preserve">Configurazione &gt; Connettori</w:t>
      </w:r>
      <w:r>
        <w:t xml:space="preserve">.</w:t>
      </w:r>
    </w:p>
    <w:p>
      <w:pPr>
        <w:pStyle w:val="TestomanualeCSW1"/>
      </w:pPr>
      <w:r>
        <w:t xml:space="preserve">Qui si attiva il connettore e, se richiede una configurazione (indirizzi, credenziali, chiavi), si aggiungono le aziende e si compilano i parametri per ciascuna.</w:t>
      </w:r>
    </w:p>
    <w:p>
      <w:pPr>
        <w:pStyle w:val="Heading3"/>
      </w:pPr>
      <w:bookmarkStart w:id="25" w:name="connettori-per-lintegrazione"/>
      <w:r>
        <w:t xml:space="preserve">Connettori per l’integrazione</w:t>
      </w:r>
      <w:bookmarkEnd w:id="23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Connettore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Funzioni</w:t>
            </w:r>
          </w:p>
        </w:tc>
      </w:tr>
      <w:tr>
        <w:tc>
          <w:p>
            <w:pPr>
              <w:pStyle w:val="TestomanualeCSW1"/>
              <w:jc w:val="left"/>
            </w:pPr>
            <w:hyperlink w:anchor="file-system">
              <w:r>
                <w:rPr>
                  <w:rStyle w:val="Hyperlink"/>
                </w:rPr>
                <w:t xml:space="preserve">File System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Evento all’arrivo di un file in una cartella; salvataggio di file, allegati e report su file system</w:t>
            </w:r>
          </w:p>
        </w:tc>
      </w:tr>
      <w:tr>
        <w:tc>
          <w:p>
            <w:pPr>
              <w:pStyle w:val="TestomanualeCSW1"/>
              <w:jc w:val="left"/>
            </w:pPr>
            <w:hyperlink w:anchor="mail">
              <w:r>
                <w:rPr>
                  <w:rStyle w:val="Hyperlink"/>
                </w:rPr>
                <w:t xml:space="preserve">Mail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Evento all’arrivo di una mail; estrazione dei dati da file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.msg</w:t>
            </w:r>
          </w:p>
        </w:tc>
      </w:tr>
      <w:tr>
        <w:tc>
          <w:p>
            <w:pPr>
              <w:pStyle w:val="TestomanualeCSW1"/>
              <w:jc w:val="left"/>
            </w:pPr>
            <w:hyperlink w:anchor="web-service">
              <w:r>
                <w:rPr>
                  <w:rStyle w:val="Hyperlink"/>
                </w:rPr>
                <w:t xml:space="preserve">Web Service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Chiamata a un’API REST, configurata o descritta da uno script</w:t>
            </w:r>
          </w:p>
        </w:tc>
      </w:tr>
    </w:tbl>
    <w:p>
      <w:pPr>
        <w:pStyle w:val="TestomanualeCSW1"/>
        <w:spacing w:before="160"/>
      </w:pPr>
      <w:r>
        <w:t xml:space="preserve">Altri connettori riguardano la gestione dei documenti, l’intelligenza artificiale o sistemi specifici, e sono descritti nelle rispettive sezioni.</w:t>
      </w:r>
    </w:p>
    <w:p>
      <w:pPr>
        <w:pStyle w:val="TestomanualeCSW1"/>
        <w:pBdr>
          <w:left w:val="single" w:sz="12" w:space="8" w:color="3093EF"/>
        </w:pBdr>
        <w:spacing w:before="160"/>
        <w:ind w:left="567"/>
      </w:pPr>
      <w:r>
        <w:rPr>
          <w:b/>
        </w:rPr>
        <w:t xml:space="preserve">Nomi e descrizioni</w:t>
      </w:r>
    </w:p>
    <w:p>
      <w:pPr>
        <w:pStyle w:val="TestomanualeCSW1"/>
        <w:pBdr>
          <w:left w:val="single" w:sz="12" w:space="8" w:color="3093EF"/>
        </w:pBdr>
        <w:spacing w:after="160"/>
        <w:ind w:left="567"/>
      </w:pPr>
      <w:r>
        <w:t xml:space="preserve">Nelle tabelle di riferimento dei connettori, i nomi di funzioni e parametri sono quelli usati in BPM. Le descrizioni riportano il testo del connettore, talvolta in inglese.</w:t>
      </w:r>
    </w:p>
    <w:p>
      <w:pPr>
        <w:pStyle w:val="Heading2"/>
      </w:pPr>
      <w:bookmarkStart w:id="26" w:name="file-system"/>
      <w:r>
        <w:t xml:space="preserve">File System</w:t>
      </w:r>
      <w:bookmarkEnd w:id="24"/>
    </w:p>
    <w:p>
      <w:pPr>
        <w:pStyle w:val="TestomanualeCSW1"/>
      </w:pPr>
      <w:r>
        <w:t xml:space="preserve">Il connettore</w:t>
      </w:r>
      <w:r>
        <w:t xml:space="preserve"> </w:t>
      </w:r>
      <w:r>
        <w:rPr>
          <w:b/>
        </w:rPr>
        <w:t xml:space="preserve">File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FileSystemConnector</w:t>
      </w:r>
      <w:r>
        <w:t xml:space="preserve">) collega BPM alle cartelle del file system:</w:t>
      </w:r>
    </w:p>
    <w:p>
      <w:pPr>
        <w:pStyle w:val="TestomanualeCSW1"/>
        <w:numPr>
          <w:ilvl w:val="0"/>
          <w:numId w:val="32"/>
        </w:numPr>
      </w:pPr>
      <w:r>
        <w:t xml:space="preserve">l’evento</w:t>
      </w:r>
      <w:r>
        <w:t xml:space="preserve"> </w:t>
      </w:r>
      <w:r>
        <w:rPr>
          <w:b/>
        </w:rPr>
        <w:t xml:space="preserve">IncomingFile</w:t>
      </w:r>
      <w:r>
        <w:t xml:space="preserve">, usato con uno Start su evento, avvia un processo per ogni file che arriva in una cartella;</w:t>
      </w:r>
    </w:p>
    <w:p>
      <w:pPr>
        <w:pStyle w:val="TestomanualeCSW1"/>
        <w:numPr>
          <w:ilvl w:val="0"/>
          <w:numId w:val="32"/>
        </w:numPr>
      </w:pPr>
      <w:r>
        <w:t xml:space="preserve">l’operazione</w:t>
      </w:r>
      <w:r>
        <w:t xml:space="preserve"> </w:t>
      </w:r>
      <w:r>
        <w:rPr>
          <w:b/>
        </w:rPr>
        <w:t xml:space="preserve">SaveAttachmentToFileSystem</w:t>
      </w:r>
      <w:r>
        <w:t xml:space="preserve">, usata con un Connettore attivo, salva su file system un file, un allegato, un report o un contenuto base64.</w:t>
      </w:r>
    </w:p>
    <w:p>
      <w:pPr>
        <w:pStyle w:val="Heading4"/>
      </w:pPr>
      <w:bookmarkStart w:id="27" w:name="usi-tipici"/>
      <w:r>
        <w:t xml:space="preserve">Usi tipici</w:t>
      </w:r>
      <w:bookmarkEnd w:id="25"/>
    </w:p>
    <w:p>
      <w:pPr>
        <w:pStyle w:val="TestomanualeCSW1"/>
        <w:numPr>
          <w:ilvl w:val="0"/>
          <w:numId w:val="33"/>
        </w:numPr>
      </w:pPr>
      <w:r>
        <w:rPr>
          <w:b/>
        </w:rPr>
        <w:t xml:space="preserve">Acquisizione di documenti da cartella</w:t>
      </w:r>
      <w:r>
        <w:t xml:space="preserve">: uno scanner o un altro sistema deposita i file in una cartella condivisa. BPM è in ascolto sulla cartella indicata in</w:t>
      </w:r>
      <w:r>
        <w:t xml:space="preserve"> </w:t>
      </w:r>
      <w:r>
        <w:rPr>
          <w:rStyle w:val="VerbatimChar"/>
        </w:rPr>
        <w:t xml:space="preserve">SourceFilePath</w:t>
      </w:r>
      <w:r>
        <w:t xml:space="preserve"> </w:t>
      </w:r>
      <w:r>
        <w:t xml:space="preserve">e avvia un processo per ogni file. I parametri di uscita dell’evento (nome, estensione, date, dimensione, percorso completo) finiscono nelle variabili del processo fin dall’avvio, e le attività successive li usano per allegare il file, leggerne il contenuto, smistarlo.</w:t>
      </w:r>
    </w:p>
    <w:p>
      <w:pPr>
        <w:pStyle w:val="TestomanualeCSW1"/>
        <w:numPr>
          <w:ilvl w:val="0"/>
          <w:numId w:val="33"/>
        </w:numPr>
      </w:pPr>
      <w:r>
        <w:rPr>
          <w:b/>
        </w:rPr>
        <w:t xml:space="preserve">Consegna di file a un altro sistema</w:t>
      </w:r>
      <w:r>
        <w:t xml:space="preserve">: al termine di un processo, BPM salva il documento approvato o un report in una cartella da cui l’altro sistema lo preleva.</w:t>
      </w:r>
    </w:p>
    <w:p>
      <w:pPr>
        <w:pStyle w:val="TestomanualeCSW1"/>
        <w:pBdr>
          <w:left w:val="single" w:sz="12" w:space="8" w:color="3093EF"/>
        </w:pBdr>
        <w:spacing w:before="160"/>
        <w:ind w:left="567"/>
      </w:pPr>
      <w:r>
        <w:rPr>
          <w:b/>
        </w:rPr>
        <w:t xml:space="preserve">Permessi sulle cartelle</w:t>
      </w:r>
    </w:p>
    <w:p>
      <w:pPr>
        <w:pStyle w:val="TestomanualeCSW1"/>
        <w:pBdr>
          <w:left w:val="single" w:sz="12" w:space="8" w:color="3093EF"/>
        </w:pBdr>
        <w:spacing w:after="160"/>
        <w:ind w:left="567"/>
      </w:pPr>
      <w:r>
        <w:t xml:space="preserve">Le cartelle vengono lette e scritte dal</w:t>
      </w:r>
      <w:r>
        <w:t xml:space="preserve"> </w:t>
      </w:r>
      <w:r>
        <w:rPr>
          <w:b/>
        </w:rPr>
        <w:t xml:space="preserve">servizio di BPM</w:t>
      </w:r>
      <w:r>
        <w:t xml:space="preserve"> </w:t>
      </w:r>
      <w:r>
        <w:t xml:space="preserve">sul server. L’account del servizio deve avere i permessi necessari sui percorsi configurati, compresi quelli di rete.</w:t>
      </w:r>
    </w:p>
    <w:p>
      <w:pPr>
        <w:pStyle w:val="Heading4"/>
      </w:pPr>
      <w:bookmarkStart w:id="28" w:name="riferimento"/>
      <w:r>
        <w:t xml:space="preserve">Riferimento</w:t>
      </w:r>
      <w:bookmarkEnd w:id="26"/>
    </w:p>
    <w:p>
      <w:pPr>
        <w:pStyle w:val="Heading5"/>
      </w:pPr>
      <w:bookmarkStart w:id="29" w:name="funzioni-disponibili"/>
      <w:r>
        <w:t xml:space="preserve">Funzioni disponibili</w:t>
      </w:r>
      <w:bookmarkEnd w:id="27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Funzione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Tipo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hyperlink w:anchor="incomingfile">
              <w:r>
                <w:rPr>
                  <w:rStyle w:val="Hyperlink"/>
                </w:rPr>
                <w:t xml:space="preserve">IncomingFile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evento</w:t>
            </w:r>
          </w:p>
        </w:tc>
        <w:tc>
          <w:p>
            <w:pPr>
              <w:pStyle w:val="TestomanualeCSW1"/>
              <w:jc w:val="left"/>
            </w:pPr>
            <w:r>
              <w:t xml:space="preserve">This event is raised for each file added to a configured folder</w:t>
            </w:r>
          </w:p>
        </w:tc>
      </w:tr>
      <w:tr>
        <w:tc>
          <w:p>
            <w:pPr>
              <w:pStyle w:val="TestomanualeCSW1"/>
              <w:jc w:val="left"/>
            </w:pPr>
            <w:hyperlink w:anchor="saveattachmenttofilesystem">
              <w:r>
                <w:rPr>
                  <w:rStyle w:val="Hyperlink"/>
                </w:rPr>
                <w:t xml:space="preserve">SaveAttachmentToFileSystem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operazione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Save a File, Report, Attachment or base64 to the FileSystem</w:t>
            </w:r>
          </w:p>
        </w:tc>
      </w:tr>
    </w:tbl>
    <w:p>
      <w:pPr>
        <w:pStyle w:val="Heading5"/>
      </w:pPr>
      <w:bookmarkStart w:id="30" w:name="incomingfile"/>
      <w:r>
        <w:t xml:space="preserve">IncomingFile</w:t>
      </w:r>
      <w:bookmarkEnd w:id="28"/>
    </w:p>
    <w:p>
      <w:pPr>
        <w:pStyle w:val="TestomanualeCSW1"/>
      </w:pPr>
      <w:r>
        <w:rPr>
          <w:i/>
        </w:rPr>
        <w:t xml:space="preserve">Evento.</w:t>
      </w:r>
      <w:r>
        <w:t xml:space="preserve"> </w:t>
      </w:r>
      <w:r>
        <w:t xml:space="preserve">This event is raised for each file added to a configured folder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Parametro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Direzione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Obbligatorio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SourceFilePath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Source path for files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FileName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Incoming file name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Incoming file extension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CreationDate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Incoming file creation date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LastModifiedDate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Incoming file last modified date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FileSize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Incoming file size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Company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FullPath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Incoming file FULL PATH</w:t>
            </w:r>
          </w:p>
        </w:tc>
      </w:tr>
    </w:tbl>
    <w:p>
      <w:pPr>
        <w:pStyle w:val="Heading5"/>
      </w:pPr>
      <w:bookmarkStart w:id="31" w:name="saveattachmenttofilesystem"/>
      <w:r>
        <w:t xml:space="preserve">SaveAttachmentToFileSystem</w:t>
      </w:r>
      <w:bookmarkEnd w:id="29"/>
    </w:p>
    <w:p>
      <w:pPr>
        <w:pStyle w:val="TestomanualeCSW1"/>
      </w:pPr>
      <w:r>
        <w:rPr>
          <w:i/>
        </w:rPr>
        <w:t xml:space="preserve">Operazione.</w:t>
      </w:r>
      <w:r>
        <w:t xml:space="preserve"> </w:t>
      </w:r>
      <w:r>
        <w:t xml:space="preserve">Save a File, Report, Attachment or base64 to the FileSystem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Parametro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Direzione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Obbligatorio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SourceType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Source.FilePath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Source.Base64.FullName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Source.Base64.Content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Source.Attachment.Group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Source.ReportFormat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Source.Report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Source.Attachment.DeleteAfter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Source.FilePath.DeleteAfter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Dest.FilePath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32" w:name="mail"/>
      <w:r>
        <w:t xml:space="preserve">Mail</w:t>
      </w:r>
      <w:bookmarkEnd w:id="30"/>
    </w:p>
    <w:p>
      <w:pPr>
        <w:pStyle w:val="TestomanualeCSW1"/>
      </w:pPr>
      <w:r>
        <w:t xml:space="preserve">Il connettore</w:t>
      </w:r>
      <w:r>
        <w:t xml:space="preserve"> </w:t>
      </w:r>
      <w:r>
        <w:rPr>
          <w:b/>
        </w:rPr>
        <w:t xml:space="preserve">Mail</w:t>
      </w:r>
      <w:r>
        <w:t xml:space="preserve"> </w:t>
      </w:r>
      <w:r>
        <w:t xml:space="preserve">(</w:t>
      </w:r>
      <w:r>
        <w:rPr>
          <w:rStyle w:val="VerbatimChar"/>
        </w:rPr>
        <w:t xml:space="preserve">Mail Connector</w:t>
      </w:r>
      <w:r>
        <w:t xml:space="preserve">) permette a BPM di ricevere e interpretare messaggi di posta:</w:t>
      </w:r>
    </w:p>
    <w:p>
      <w:pPr>
        <w:pStyle w:val="TestomanualeCSW1"/>
        <w:numPr>
          <w:ilvl w:val="0"/>
          <w:numId w:val="34"/>
        </w:numPr>
      </w:pPr>
      <w:r>
        <w:t xml:space="preserve">l’evento</w:t>
      </w:r>
      <w:r>
        <w:t xml:space="preserve"> </w:t>
      </w:r>
      <w:r>
        <w:rPr>
          <w:b/>
        </w:rPr>
        <w:t xml:space="preserve">IncomingMail</w:t>
      </w:r>
      <w:r>
        <w:t xml:space="preserve">, usato con uno Start su evento, avvia un processo per ogni mail che arriva in una cartella di una casella IMAP;</w:t>
      </w:r>
    </w:p>
    <w:p>
      <w:pPr>
        <w:pStyle w:val="TestomanualeCSW1"/>
        <w:numPr>
          <w:ilvl w:val="0"/>
          <w:numId w:val="34"/>
        </w:numPr>
      </w:pPr>
      <w:r>
        <w:t xml:space="preserve">l’operazione</w:t>
      </w:r>
      <w:r>
        <w:t xml:space="preserve"> </w:t>
      </w:r>
      <w:r>
        <w:rPr>
          <w:b/>
        </w:rPr>
        <w:t xml:space="preserve">ExtractMail</w:t>
      </w:r>
      <w:r>
        <w:t xml:space="preserve">, usata con un Connettore attivo, estrae i dati da un file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.msg</w:t>
      </w:r>
      <w:r>
        <w:t xml:space="preserve">, per esempio una mail allegata a un processo.</w:t>
      </w:r>
    </w:p>
    <w:p>
      <w:pPr>
        <w:pStyle w:val="Heading4"/>
      </w:pPr>
      <w:bookmarkStart w:id="33" w:name="usi-tipici-1"/>
      <w:r>
        <w:t xml:space="preserve">Usi tipici</w:t>
      </w:r>
      <w:bookmarkEnd w:id="31"/>
    </w:p>
    <w:p>
      <w:pPr>
        <w:pStyle w:val="TestomanualeCSW1"/>
        <w:numPr>
          <w:ilvl w:val="0"/>
          <w:numId w:val="35"/>
        </w:numPr>
      </w:pPr>
      <w:r>
        <w:rPr>
          <w:b/>
        </w:rPr>
        <w:t xml:space="preserve">Richieste via mail</w:t>
      </w:r>
      <w:r>
        <w:t xml:space="preserve">: ogni mail arrivata a un indirizzo dedicato (ordini, reclami, fatture) avvia un processo. Mittente, oggetto, testo e data diventano variabili del processo; gli allegati vengono archiviati tra gli allegati del processo, anche filtrandoli per tipo (per esempio solo i PDF).</w:t>
      </w:r>
    </w:p>
    <w:p>
      <w:pPr>
        <w:pStyle w:val="TestomanualeCSW1"/>
        <w:numPr>
          <w:ilvl w:val="0"/>
          <w:numId w:val="35"/>
        </w:numPr>
      </w:pPr>
      <w:r>
        <w:rPr>
          <w:b/>
        </w:rPr>
        <w:t xml:space="preserve">Gestione della casella</w:t>
      </w:r>
      <w:r>
        <w:t xml:space="preserve">: dopo la ricezione, la mail può essere eliminata o spostata in un’altra cartella, così la casella resta ordinata.</w:t>
      </w:r>
    </w:p>
    <w:p>
      <w:pPr>
        <w:pStyle w:val="TestomanualeCSW1"/>
        <w:numPr>
          <w:ilvl w:val="0"/>
          <w:numId w:val="35"/>
        </w:numPr>
      </w:pPr>
      <w:r>
        <w:rPr>
          <w:b/>
        </w:rPr>
        <w:t xml:space="preserve">Risposte collegate</w:t>
      </w:r>
      <w:r>
        <w:t xml:space="preserve">: il parametro</w:t>
      </w:r>
      <w:r>
        <w:t xml:space="preserve"> </w:t>
      </w:r>
      <w:r>
        <w:rPr>
          <w:rStyle w:val="VerbatimChar"/>
        </w:rPr>
        <w:t xml:space="preserve">ReferenceInstanceId</w:t>
      </w:r>
      <w:r>
        <w:t xml:space="preserve"> </w:t>
      </w:r>
      <w:r>
        <w:t xml:space="preserve">riconosce il riferimento a un’istanza BPM presente nella mail, utile per collegare la risposta al processo che l’ha generata.</w:t>
      </w:r>
    </w:p>
    <w:p>
      <w:pPr>
        <w:pStyle w:val="TestomanualeCSW1"/>
      </w:pPr>
      <w:r>
        <w:t xml:space="preserve">Nei parametri di ingresso dell’evento si indicano la configurazione della casella da usare (</w:t>
      </w:r>
      <w:r>
        <w:rPr>
          <w:rStyle w:val="VerbatimChar"/>
        </w:rPr>
        <w:t xml:space="preserve">ConfigEmail</w:t>
      </w:r>
      <w:r>
        <w:t xml:space="preserve">, definita a parte in BPM), la cartella da monitorare e cosa fare della mail dopo la lettura. I parametri di uscita (mittente, destinatari, oggetto, testo, data, allegati) finiscono nelle variabili del processo avviato.</w:t>
      </w:r>
    </w:p>
    <w:p>
      <w:pPr>
        <w:pStyle w:val="Heading4"/>
      </w:pPr>
      <w:bookmarkStart w:id="34" w:name="riferimento-1"/>
      <w:r>
        <w:t xml:space="preserve">Riferimento</w:t>
      </w:r>
      <w:bookmarkEnd w:id="32"/>
    </w:p>
    <w:p>
      <w:pPr>
        <w:pStyle w:val="Heading5"/>
      </w:pPr>
      <w:bookmarkStart w:id="35" w:name="funzioni-disponibili-1"/>
      <w:r>
        <w:t xml:space="preserve">Funzioni disponibili</w:t>
      </w:r>
      <w:bookmarkEnd w:id="33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Funzione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Tipo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hyperlink w:anchor="incomingmail">
              <w:r>
                <w:rPr>
                  <w:rStyle w:val="Hyperlink"/>
                </w:rPr>
                <w:t xml:space="preserve">IncomingMail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evento</w:t>
            </w:r>
          </w:p>
        </w:tc>
        <w:tc>
          <w:p>
            <w:pPr>
              <w:pStyle w:val="TestomanualeCSW1"/>
              <w:jc w:val="left"/>
            </w:pPr>
            <w:r>
              <w:t xml:space="preserve">Evento che si scatena con l’arrivo di una nuova mail</w:t>
            </w:r>
          </w:p>
        </w:tc>
      </w:tr>
      <w:tr>
        <w:tc>
          <w:p>
            <w:pPr>
              <w:pStyle w:val="TestomanualeCSW1"/>
              <w:jc w:val="left"/>
            </w:pPr>
            <w:hyperlink w:anchor="extractmail">
              <w:r>
                <w:rPr>
                  <w:rStyle w:val="Hyperlink"/>
                </w:rPr>
                <w:t xml:space="preserve">ExtractMail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operazione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Extract Mail data from .MSG or .EML files</w:t>
            </w:r>
          </w:p>
        </w:tc>
      </w:tr>
    </w:tbl>
    <w:p>
      <w:pPr>
        <w:pStyle w:val="Heading5"/>
      </w:pPr>
      <w:bookmarkStart w:id="36" w:name="incomingmail"/>
      <w:r>
        <w:t xml:space="preserve">IncomingMail</w:t>
      </w:r>
      <w:bookmarkEnd w:id="34"/>
    </w:p>
    <w:p>
      <w:pPr>
        <w:pStyle w:val="TestomanualeCSW1"/>
      </w:pPr>
      <w:r>
        <w:rPr>
          <w:i/>
        </w:rPr>
        <w:t xml:space="preserve">Evento.</w:t>
      </w:r>
      <w:r>
        <w:t xml:space="preserve"> </w:t>
      </w:r>
      <w:r>
        <w:t xml:space="preserve">Evento che si scatena con l’arrivo di una nuova mail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Parametro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Direzione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Obbligatorio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ConfigEmail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Configurazione IMAP da utilizzare per la ricezione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ConfigFolder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Folder mail da monitorare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MailAttachmentsGroup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Gruppo allegati in cui archiviare il file .EML della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Destination.Attachment.Root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Root in cui inserire gli allegati alla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Destination.Attachment.Folder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Folder in cui inserire gli allegati alla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Destination.Attachment.FileName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Nome allegato da forzare (se lasciato vuoto rimane nome originale dell’allegato da mail)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Destination.Attachment.Filter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Filtro per scegliere quali allegati mail prendere (es. *.pdf)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AttachmentsGroup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Gruppo allegati in cui inserire gli allegati alla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Azione da implementare dopo la ricezione della mail (elimina, sposta..)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MoveToMailFolder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Folder mail di destinazione per lo spostamento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FromName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Nome mittente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FromAddress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Indirizzo mittente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Cc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Bcc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Oggetto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Testo mail (plain text)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HtmlText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Testo mail (html formatted text)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ReferenceInstanceId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Riferimento a istanza processo/documento BPM (BPM Ref)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AttachmentsData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To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MessageId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Identificatore univoco messaggio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Data mail</w:t>
            </w:r>
          </w:p>
        </w:tc>
      </w:tr>
    </w:tbl>
    <w:p>
      <w:pPr>
        <w:pStyle w:val="Heading5"/>
      </w:pPr>
      <w:bookmarkStart w:id="37" w:name="extractmail"/>
      <w:r>
        <w:t xml:space="preserve">ExtractMail</w:t>
      </w:r>
      <w:bookmarkEnd w:id="35"/>
    </w:p>
    <w:p>
      <w:pPr>
        <w:pStyle w:val="TestomanualeCSW1"/>
      </w:pPr>
      <w:r>
        <w:rPr>
          <w:i/>
        </w:rPr>
        <w:t xml:space="preserve">Operazione.</w:t>
      </w:r>
      <w:r>
        <w:t xml:space="preserve"> </w:t>
      </w:r>
      <w:r>
        <w:t xml:space="preserve">Extract Mail data from .MSG or .EML files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Parametro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Direzione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Obbligatorio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Source.Attachment.Group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Gruppo allegati in cui trovare il file .EML oppure .MSG da elaborare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Destination.Attachment.Group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Gruppo allegati in cui inserire gli allegati alla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Destination.Attachment.Root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Root in cui inserire gli allegati alla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Destination.Attachment.Folder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Folder in cui inserire gli allegati alla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Destination.Attachment.FileName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Nome allegato da forzare (se lasciato vuoto rimane nome originale dell’allegato da mail)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Destination.Attachment.Filter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Filtro per scegliere quali allegati mail prendere (es. *.pdf)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FromName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Nome mittente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FromAddress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Indirizzo mittente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To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Cc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Bcc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Oggetto mail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Testo mail (plain text)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HtmlText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Testo mail (html formatted text)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ReferenceInstanceId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Riferimento a istanza processo/documento BPM (BPM Ref)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MessageId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Identificatore univoco messaggio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Data messaggio</w:t>
            </w:r>
          </w:p>
        </w:tc>
      </w:tr>
    </w:tbl>
    <w:p>
      <w:pPr>
        <w:pStyle w:val="Heading2"/>
      </w:pPr>
      <w:bookmarkStart w:id="38" w:name="web-service"/>
      <w:r>
        <w:t xml:space="preserve">Web Service</w:t>
      </w:r>
      <w:bookmarkEnd w:id="36"/>
    </w:p>
    <w:p>
      <w:pPr>
        <w:pStyle w:val="TestomanualeCSW1"/>
      </w:pPr>
      <w:r>
        <w:t xml:space="preserve">Il connettore</w:t>
      </w:r>
      <w:r>
        <w:t xml:space="preserve"> </w:t>
      </w:r>
      <w:r>
        <w:rPr>
          <w:b/>
        </w:rPr>
        <w:t xml:space="preserve">Web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 Service Connector</w:t>
      </w:r>
      <w:r>
        <w:t xml:space="preserve">) permette a un processo di chiamare le API REST di un altro sistema: un CRM, un ERP, un servizio di terze parti.</w:t>
      </w:r>
    </w:p>
    <w:p>
      <w:pPr>
        <w:pStyle w:val="TestomanualeCSW1"/>
      </w:pPr>
      <w:r>
        <w:t xml:space="preserve">Offre due operazioni:</w:t>
      </w:r>
    </w:p>
    <w:p>
      <w:pPr>
        <w:pStyle w:val="TestomanualeCSW1"/>
        <w:numPr>
          <w:ilvl w:val="0"/>
          <w:numId w:val="36"/>
        </w:numPr>
      </w:pPr>
      <w:r>
        <w:rPr>
          <w:b/>
        </w:rPr>
        <w:t xml:space="preserve">Web API</w:t>
      </w:r>
      <w:r>
        <w:t xml:space="preserve">: la chiamata si descrive con la sola configurazione: indirizzo, metodo HTTP e autenticazione. Il codice di stato della risposta viene scritto in una variabile.</w:t>
      </w:r>
    </w:p>
    <w:p>
      <w:pPr>
        <w:pStyle w:val="TestomanualeCSW1"/>
        <w:numPr>
          <w:ilvl w:val="0"/>
          <w:numId w:val="36"/>
        </w:numPr>
      </w:pPr>
      <w:r>
        <w:rPr>
          <w:b/>
        </w:rPr>
        <w:t xml:space="preserve">Web API [Script]</w:t>
      </w:r>
      <w:r>
        <w:t xml:space="preserve">: la chiamata si descrive con uno script in Visual Basic, con la stessa sintassi delle formule. Serve quando la chiamata richiede logica: costruire il corpo della richiesta dalle variabili, interpretare la risposta, gestire autenticazioni a più passaggi o più chiamate in sequenza.</w:t>
      </w:r>
    </w:p>
    <w:p>
      <w:pPr>
        <w:pStyle w:val="Heading4"/>
      </w:pPr>
      <w:bookmarkStart w:id="39" w:name="usi-tipici-2"/>
      <w:r>
        <w:t xml:space="preserve">Usi tipici</w:t>
      </w:r>
      <w:bookmarkEnd w:id="37"/>
    </w:p>
    <w:p>
      <w:pPr>
        <w:pStyle w:val="TestomanualeCSW1"/>
        <w:numPr>
          <w:ilvl w:val="0"/>
          <w:numId w:val="37"/>
        </w:numPr>
      </w:pPr>
      <w:r>
        <w:t xml:space="preserve">Creare o aggiornare un record in un CRM quando un’offerta viene approvata.</w:t>
      </w:r>
    </w:p>
    <w:p>
      <w:pPr>
        <w:pStyle w:val="TestomanualeCSW1"/>
        <w:numPr>
          <w:ilvl w:val="0"/>
          <w:numId w:val="37"/>
        </w:numPr>
      </w:pPr>
      <w:r>
        <w:t xml:space="preserve">Notificare a un altro sistema la conclusione di un processo.</w:t>
      </w:r>
    </w:p>
    <w:p>
      <w:pPr>
        <w:pStyle w:val="TestomanualeCSW1"/>
        <w:numPr>
          <w:ilvl w:val="0"/>
          <w:numId w:val="37"/>
        </w:numPr>
      </w:pPr>
      <w:r>
        <w:t xml:space="preserve">Leggere dati da un servizio esterno e scriverli nelle variabili.</w:t>
      </w:r>
    </w:p>
    <w:p>
      <w:pPr>
        <w:pStyle w:val="TestomanualeCSW1"/>
      </w:pPr>
      <w:r>
        <w:t xml:space="preserve">L’operazione si inserisce nel flusso, per esempio sul ramo</w:t>
      </w:r>
      <w:r>
        <w:t xml:space="preserve"> </w:t>
      </w:r>
      <w:r>
        <w:rPr>
          <w:i/>
        </w:rPr>
        <w:t xml:space="preserve">approvata</w:t>
      </w:r>
      <w:r>
        <w:t xml:space="preserve"> </w:t>
      </w:r>
      <w:r>
        <w:t xml:space="preserve">dopo un gateway, oppure si aggancia alla conclusione di un’attività.</w:t>
      </w:r>
    </w:p>
    <w:p>
      <w:pPr>
        <w:pStyle w:val="Heading4"/>
      </w:pPr>
      <w:bookmarkStart w:id="40" w:name="riferimento-2"/>
      <w:r>
        <w:t xml:space="preserve">Riferimento</w:t>
      </w:r>
      <w:bookmarkEnd w:id="38"/>
    </w:p>
    <w:p>
      <w:pPr>
        <w:pStyle w:val="Heading5"/>
      </w:pPr>
      <w:bookmarkStart w:id="41" w:name="funzioni-disponibili-2"/>
      <w:r>
        <w:t xml:space="preserve">Funzioni disponibili</w:t>
      </w:r>
      <w:bookmarkEnd w:id="39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Funzione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Tipo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hyperlink w:anchor="web-api">
              <w:r>
                <w:rPr>
                  <w:rStyle w:val="Hyperlink"/>
                </w:rPr>
                <w:t xml:space="preserve">Web API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operazione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Standard Web API call</w:t>
            </w:r>
          </w:p>
        </w:tc>
      </w:tr>
      <w:tr>
        <w:tc>
          <w:p>
            <w:pPr>
              <w:pStyle w:val="TestomanualeCSW1"/>
              <w:jc w:val="left"/>
            </w:pPr>
            <w:hyperlink w:anchor="web-api-script">
              <w:r>
                <w:rPr>
                  <w:rStyle w:val="Hyperlink"/>
                </w:rPr>
                <w:t xml:space="preserve">Web API [Script]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operazione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Custom script Web API call</w:t>
            </w:r>
          </w:p>
        </w:tc>
      </w:tr>
    </w:tbl>
    <w:p>
      <w:pPr>
        <w:pStyle w:val="Heading5"/>
      </w:pPr>
      <w:bookmarkStart w:id="42" w:name="web-api"/>
      <w:r>
        <w:t xml:space="preserve">Web API</w:t>
      </w:r>
      <w:bookmarkEnd w:id="40"/>
    </w:p>
    <w:p>
      <w:pPr>
        <w:pStyle w:val="TestomanualeCSW1"/>
      </w:pPr>
      <w:r>
        <w:rPr>
          <w:i/>
        </w:rPr>
        <w:t xml:space="preserve">Operazione.</w:t>
      </w:r>
      <w:r>
        <w:t xml:space="preserve"> </w:t>
      </w:r>
      <w:r>
        <w:t xml:space="preserve">Standard Web API call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Parametro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Direzione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Obbligatorio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URL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Web Address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Method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>
            <w:pPr>
              <w:pStyle w:val="TestomanualeCSW1"/>
              <w:jc w:val="left"/>
            </w:pPr>
            <w:r>
              <w:t xml:space="preserve">sì</w:t>
            </w:r>
          </w:p>
        </w:tc>
        <w:tc>
          <w:p>
            <w:pPr>
              <w:pStyle w:val="TestomanualeCSW1"/>
              <w:jc w:val="left"/>
            </w:pPr>
            <w:r>
              <w:t xml:space="preserve">HTTP Method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Authorization</w:t>
            </w:r>
          </w:p>
        </w:tc>
        <w:tc>
          <w:p>
            <w:pPr>
              <w:pStyle w:val="TestomanualeCSW1"/>
              <w:jc w:val="left"/>
            </w:pPr>
            <w:r>
              <w:t xml:space="preserve">ingresso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Authentication scheme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Response Status</w:t>
            </w:r>
          </w:p>
        </w:tc>
        <w:tc>
          <w:p>
            <w:pPr>
              <w:pStyle w:val="TestomanualeCSW1"/>
              <w:jc w:val="left"/>
            </w:pPr>
            <w:r>
              <w:t xml:space="preserve">uscita</w:t>
            </w:r>
          </w:p>
        </w:tc>
        <w:tc>
          <w:p/>
        </w:tc>
        <w:tc>
          <w:p>
            <w:pPr>
              <w:pStyle w:val="TestomanualeCSW1"/>
              <w:jc w:val="left"/>
            </w:pPr>
            <w:r>
              <w:t xml:space="preserve">Response Status Code</w:t>
            </w:r>
          </w:p>
        </w:tc>
      </w:tr>
    </w:tbl>
    <w:p>
      <w:pPr>
        <w:pStyle w:val="Heading5"/>
      </w:pPr>
      <w:bookmarkStart w:id="43" w:name="web-api-script"/>
      <w:r>
        <w:t xml:space="preserve">Web API [Script]</w:t>
      </w:r>
      <w:bookmarkEnd w:id="41"/>
    </w:p>
    <w:p>
      <w:pPr>
        <w:pStyle w:val="TestomanualeCSW1"/>
      </w:pPr>
      <w:r>
        <w:rPr>
          <w:i/>
        </w:rPr>
        <w:t xml:space="preserve">Operazione.</w:t>
      </w:r>
      <w:r>
        <w:t xml:space="preserve"> </w:t>
      </w:r>
      <w:r>
        <w:t xml:space="preserve">Custom script Web API call</w:t>
      </w:r>
    </w:p>
    <w:p>
      <w:pPr>
        <w:pStyle w:val="TestomanualeCSW1"/>
      </w:pPr>
      <w:r>
        <w:t xml:space="preserve">Nessun parametro.</w:t>
      </w:r>
    </w:p>
    <w:p>
      <w:pPr>
        <w:pStyle w:val="Heading1"/>
      </w:pPr>
      <w:bookmarkStart w:id="44" w:name="api-standard"/>
      <w:r>
        <w:t xml:space="preserve">API standard</w:t>
      </w:r>
      <w:bookmarkEnd w:id="42"/>
    </w:p>
    <w:p>
      <w:pPr>
        <w:pStyle w:val="TestomanualeCSW1"/>
      </w:pPr>
      <w:r>
        <w:t xml:space="preserve">Le API standard sono le API che BPM mette a disposizione dei sistemi esterni, all’indirizzo</w:t>
      </w:r>
      <w:r>
        <w:t xml:space="preserve"> </w:t>
      </w:r>
      <w:r>
        <w:rPr>
          <w:rStyle w:val="VerbatimChar"/>
        </w:rPr>
        <w:t xml:space="preserve">/api/ext</w:t>
      </w:r>
      <w:r>
        <w:t xml:space="preserve">. Permettono a un’applicazione esterna di pilotare BPM: avviare processi, farli avanzare, leggerne lo stato, consultare la To-Do List di un utente, caricare allegati e gestire i documenti delle classi documentali.</w:t>
      </w:r>
    </w:p>
    <w:p>
      <w:pPr>
        <w:pStyle w:val="TestomanualeCSW1"/>
      </w:pPr>
      <w:r>
        <w:t xml:space="preserve">Sono l’interfaccia più completa per integrare BPM con un altro sistema, quando è</w:t>
      </w:r>
      <w:r>
        <w:t xml:space="preserve"> </w:t>
      </w:r>
      <w:r>
        <w:rPr>
          <w:b/>
        </w:rPr>
        <w:t xml:space="preserve">l’applicazione esterna</w:t>
      </w:r>
      <w:r>
        <w:t xml:space="preserve"> </w:t>
      </w:r>
      <w:r>
        <w:t xml:space="preserve">a prendere l’iniziativa.</w:t>
      </w:r>
    </w:p>
    <w:p>
      <w:pPr>
        <w:pStyle w:val="Heading3"/>
      </w:pPr>
      <w:bookmarkStart w:id="45" w:name="le-stesse-regole-dellutente"/>
      <w:r>
        <w:t xml:space="preserve">Le stesse regole dell’utente</w:t>
      </w:r>
      <w:bookmarkEnd w:id="43"/>
    </w:p>
    <w:p>
      <w:pPr>
        <w:pStyle w:val="TestomanualeCSW1"/>
      </w:pPr>
      <w:r>
        <w:t xml:space="preserve">Una chiamata alle API standard esegue le stesse regole e gli stessi controlli dell’operazione corrispondente fatta da un utente in BPM. Avviare un processo tramite API significa quindi:</w:t>
      </w:r>
    </w:p>
    <w:p>
      <w:pPr>
        <w:pStyle w:val="TestomanualeCSW1"/>
        <w:numPr>
          <w:ilvl w:val="0"/>
          <w:numId w:val="38"/>
        </w:numPr>
      </w:pPr>
      <w:r>
        <w:t xml:space="preserve">eseguire formule, validazioni e controlli di obbligatorietà;</w:t>
      </w:r>
    </w:p>
    <w:p>
      <w:pPr>
        <w:pStyle w:val="TestomanualeCSW1"/>
        <w:numPr>
          <w:ilvl w:val="0"/>
          <w:numId w:val="38"/>
        </w:numPr>
      </w:pPr>
      <w:r>
        <w:t xml:space="preserve">eseguire gli script collegati all’avvio;</w:t>
      </w:r>
    </w:p>
    <w:p>
      <w:pPr>
        <w:pStyle w:val="TestomanualeCSW1"/>
        <w:numPr>
          <w:ilvl w:val="0"/>
          <w:numId w:val="38"/>
        </w:numPr>
      </w:pPr>
      <w:r>
        <w:t xml:space="preserve">verificare che l’utente indicato esista e abbia il diritto di avviare quel processo da quello start.</w:t>
      </w:r>
    </w:p>
    <w:p>
      <w:pPr>
        <w:pStyle w:val="TestomanualeCSW1"/>
      </w:pPr>
      <w:r>
        <w:t xml:space="preserve">Se una regola non è soddisfatta, la chiamata fallisce con il messaggio di errore che l’utente avrebbe visto a video.</w:t>
      </w:r>
    </w:p>
    <w:p>
      <w:pPr>
        <w:pStyle w:val="Heading3"/>
      </w:pPr>
      <w:bookmarkStart w:id="46" w:name="indirizzo-delle-chiamate"/>
      <w:r>
        <w:t xml:space="preserve">Indirizzo delle chiamate</w:t>
      </w:r>
      <w:bookmarkEnd w:id="44"/>
    </w:p>
    <w:p>
      <w:pPr>
        <w:pStyle w:val="TestomanualeCSW1"/>
      </w:pPr>
      <w:r>
        <w:t xml:space="preserve">Tutte le chiamate hanno la forma:</w:t>
      </w:r>
    </w:p>
    <w:p>
      <w:pPr>
        <w:pStyle w:val="SourceCode"/>
      </w:pPr>
      <w:r>
        <w:rPr>
          <w:rStyle w:val="VerbatimChar"/>
        </w:rPr>
        <w:t xml:space="preserve">https://&lt;indirizzo-bpm&gt;/api/ext/&lt;NomeChiamata&gt;</w:t>
      </w:r>
    </w:p>
    <w:p>
      <w:pPr>
        <w:pStyle w:val="TestomanualeCSW1"/>
      </w:pPr>
      <w:r>
        <w:t xml:space="preserve">dove</w:t>
      </w:r>
      <w:r>
        <w:t xml:space="preserve"> </w:t>
      </w:r>
      <w:r>
        <w:rPr>
          <w:rStyle w:val="VerbatimChar"/>
        </w:rPr>
        <w:t xml:space="preserve">&lt;indirizzo-bpm&gt;</w:t>
      </w:r>
      <w:r>
        <w:t xml:space="preserve"> </w:t>
      </w:r>
      <w:r>
        <w:t xml:space="preserve">è l’indirizzo dell’applicazione web di BPM, per esempio</w:t>
      </w:r>
      <w:r>
        <w:t xml:space="preserve"> </w:t>
      </w:r>
      <w:r>
        <w:rPr>
          <w:rStyle w:val="VerbatimChar"/>
        </w:rPr>
        <w:t xml:space="preserve">https://bpm.azienda.it/BPM</w:t>
      </w:r>
      <w:r>
        <w:t xml:space="preserve">.</w:t>
      </w:r>
    </w:p>
    <w:p>
      <w:pPr>
        <w:pStyle w:val="TestomanualeCSW1"/>
      </w:pPr>
      <w:r>
        <w:t xml:space="preserve">L’indirizzo base delle API è configurato nei parametri di sistema, scheda</w:t>
      </w:r>
      <w:r>
        <w:t xml:space="preserve"> </w:t>
      </w:r>
      <w:r>
        <w:rPr>
          <w:b/>
        </w:rPr>
        <w:t xml:space="preserve">Engine/automatismi</w:t>
      </w:r>
      <w:r>
        <w:t xml:space="preserve">, campo</w:t>
      </w:r>
      <w:r>
        <w:t xml:space="preserve"> </w:t>
      </w:r>
      <w:r>
        <w:rPr>
          <w:b/>
        </w:rPr>
        <w:t xml:space="preserve">url api</w:t>
      </w:r>
      <w:r>
        <w:t xml:space="preserve">.</w:t>
      </w:r>
    </w:p>
    <w:p>
      <w:pPr>
        <w:pStyle w:val="Heading3"/>
      </w:pPr>
      <w:bookmarkStart w:id="47" w:name="formato-delle-richieste-e-delle-risposte"/>
      <w:r>
        <w:t xml:space="preserve">Formato delle richieste e delle risposte</w:t>
      </w:r>
      <w:bookmarkEnd w:id="45"/>
    </w:p>
    <w:p>
      <w:pPr>
        <w:pStyle w:val="TestomanualeCSW1"/>
        <w:numPr>
          <w:ilvl w:val="0"/>
          <w:numId w:val="39"/>
        </w:numPr>
      </w:pPr>
      <w:r>
        <w:t xml:space="preserve">Le chiamate sono quasi tutte di tipo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con un oggetto JSON nel corpo della richiesta. Anche le chiamate di sola lettura, come GetProcess o GetTodolist, usano</w:t>
      </w:r>
      <w:r>
        <w:t xml:space="preserve"> </w:t>
      </w:r>
      <w:r>
        <w:rPr>
          <w:rStyle w:val="VerbatimChar"/>
        </w:rPr>
        <w:t xml:space="preserve">POST</w:t>
      </w:r>
      <w:r>
        <w:t xml:space="preserve">: i loro parametri sono oggetti complessi (filtri, elenchi, credenziali) che non si possono passare comodamente nell’indirizzo, come avverrebbe con una</w:t>
      </w:r>
      <w:r>
        <w:t xml:space="preserve"> </w:t>
      </w:r>
      <w:r>
        <w:rPr>
          <w:rStyle w:val="VerbatimChar"/>
        </w:rPr>
        <w:t xml:space="preserve">GET</w:t>
      </w:r>
      <w:r>
        <w:t xml:space="preserve">.</w:t>
      </w:r>
    </w:p>
    <w:p>
      <w:pPr>
        <w:pStyle w:val="TestomanualeCSW1"/>
        <w:numPr>
          <w:ilvl w:val="0"/>
          <w:numId w:val="39"/>
        </w:numPr>
      </w:pPr>
      <w:r>
        <w:t xml:space="preserve">Ogni richiesta contiene le credenziali di accesso: vedi</w:t>
      </w:r>
      <w:r>
        <w:t xml:space="preserve"> </w:t>
      </w:r>
      <w:hyperlink w:anchor="autenticazione-e-utenti">
        <w:r>
          <w:rPr>
            <w:rStyle w:val="Hyperlink"/>
          </w:rPr>
          <w:t xml:space="preserve">Autenticazione e utenti</w:t>
        </w:r>
      </w:hyperlink>
      <w:r>
        <w:t xml:space="preserve">.</w:t>
      </w:r>
    </w:p>
    <w:p>
      <w:pPr>
        <w:pStyle w:val="TestomanualeCSW1"/>
        <w:numPr>
          <w:ilvl w:val="0"/>
          <w:numId w:val="39"/>
        </w:numPr>
      </w:pPr>
      <w:r>
        <w:t xml:space="preserve">La maggior parte delle risposte contiene il campo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l’operazione è riuscita) e il campo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 valorizzato con il messaggio di errore in caso di esito negativo. Fanno eccezione alcune chiamate sui documenti e sugli elenchi dei modelli, che segnalano gli errori con il codice HTTP: sono indicate nelle rispettive pagine.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"Messaggio di errore …"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48" w:name="identificare-unistanza"/>
      <w:r>
        <w:t xml:space="preserve">Identificare un’istanza</w:t>
      </w:r>
      <w:bookmarkEnd w:id="46"/>
    </w:p>
    <w:p>
      <w:pPr>
        <w:pStyle w:val="TestomanualeCSW1"/>
      </w:pPr>
      <w:r>
        <w:t xml:space="preserve">Le chiamate che lavorano su un processo o un documento esistente accettano due modi alternativi per identificarlo:</w:t>
      </w:r>
    </w:p>
    <w:p>
      <w:pPr>
        <w:pStyle w:val="TestomanualeCSW1"/>
        <w:numPr>
          <w:ilvl w:val="0"/>
          <w:numId w:val="40"/>
        </w:numPr>
      </w:pPr>
      <w:r>
        <w:rPr>
          <w:rStyle w:val="VerbatimChar"/>
        </w:rPr>
        <w:t xml:space="preserve">instanceId</w:t>
      </w:r>
      <w:r>
        <w:t xml:space="preserve">: l’identificativo univoco dell’istanza, restituito alla creazione;</w:t>
      </w:r>
    </w:p>
    <w:p>
      <w:pPr>
        <w:pStyle w:val="TestomanualeCSW1"/>
        <w:numPr>
          <w:ilvl w:val="0"/>
          <w:numId w:val="4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: il nome del modello e il nome dell’istanza, univoco all’interno del modello (per esempio</w:t>
      </w:r>
      <w:r>
        <w:t xml:space="preserve"> </w:t>
      </w:r>
      <w:r>
        <w:rPr>
          <w:rStyle w:val="VerbatimChar"/>
        </w:rPr>
        <w:t xml:space="preserve">APPROVAZIONE CONTRATTI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P004A.19.1</w:t>
      </w:r>
      <w:r>
        <w:t xml:space="preserve">).</w:t>
      </w:r>
    </w:p>
    <w:p>
      <w:pPr>
        <w:pStyle w:val="TestomanualeCSW1"/>
      </w:pPr>
      <w:r>
        <w:t xml:space="preserve">Basta valorizzare una delle due forme.</w:t>
      </w:r>
    </w:p>
    <w:p>
      <w:pPr>
        <w:pStyle w:val="Heading4"/>
      </w:pPr>
      <w:bookmarkStart w:id="49" w:name="variabili"/>
      <w:r>
        <w:t xml:space="preserve">Variabili</w:t>
      </w:r>
      <w:bookmarkEnd w:id="47"/>
    </w:p>
    <w:p>
      <w:pPr>
        <w:pStyle w:val="TestomanualeCSW1"/>
      </w:pPr>
      <w:r>
        <w:t xml:space="preserve">Le variabili si passano nell’oggetto</w:t>
      </w:r>
      <w:r>
        <w:t xml:space="preserve"> </w:t>
      </w:r>
      <w:r>
        <w:rPr>
          <w:rStyle w:val="VerbatimChar"/>
        </w:rPr>
        <w:t xml:space="preserve">variables</w:t>
      </w:r>
      <w:r>
        <w:t xml:space="preserve"> </w:t>
      </w:r>
      <w:r>
        <w:t xml:space="preserve">come coppie nome-valore, usando i nomi delle variabili del modello. I nomi non distinguono tra maiuscole e minuscole. Le variabili di gruppo (testata-dettaglio) si passano come array, con un elemento per ogni riga:</w:t>
      </w:r>
    </w:p>
    <w:p>
      <w:pPr>
        <w:pStyle w:val="SourceCode"/>
      </w:pPr>
      <w:r>
        <w:rPr>
          <w:rStyle w:val="ErrorTok"/>
        </w:rPr>
        <w:t xml:space="preserve">"variables":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"Ragione Sociale"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"Rossi S.p.A."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 Apertura"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"2026-01-18T00:00:00"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"Importo"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179.58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"Righe"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"Descrizione"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"Descrizione P01"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"Descrizione"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"Descrizione P02"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t xml:space="preserve">Regole sui valori:</w:t>
      </w:r>
    </w:p>
    <w:p>
      <w:pPr>
        <w:pStyle w:val="TestomanualeCSW1"/>
        <w:numPr>
          <w:ilvl w:val="0"/>
          <w:numId w:val="41"/>
        </w:numPr>
      </w:pPr>
      <w:r>
        <w:rPr>
          <w:b/>
        </w:rPr>
        <w:t xml:space="preserve">Numeri</w:t>
      </w:r>
      <w:r>
        <w:t xml:space="preserve">: numero JSON oppure stringa convertibile.</w:t>
      </w:r>
    </w:p>
    <w:p>
      <w:pPr>
        <w:pStyle w:val="TestomanualeCSW1"/>
        <w:numPr>
          <w:ilvl w:val="0"/>
          <w:numId w:val="41"/>
        </w:numPr>
      </w:pPr>
      <w:r>
        <w:rPr>
          <w:b/>
        </w:rPr>
        <w:t xml:space="preserve">Date</w:t>
      </w:r>
      <w:r>
        <w:t xml:space="preserve">: stringa nel formato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(con l’ora,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).</w:t>
      </w:r>
    </w:p>
    <w:p>
      <w:pPr>
        <w:pStyle w:val="TestomanualeCSW1"/>
        <w:numPr>
          <w:ilvl w:val="0"/>
          <w:numId w:val="41"/>
        </w:numPr>
      </w:pPr>
      <w:r>
        <w:rPr>
          <w:b/>
        </w:rPr>
        <w:t xml:space="preserve">Booleani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TestomanualeCSW1"/>
        <w:numPr>
          <w:ilvl w:val="0"/>
          <w:numId w:val="41"/>
        </w:numPr>
      </w:pPr>
      <w:r>
        <w:rPr>
          <w:b/>
        </w:rPr>
        <w:t xml:space="preserve">Testo esteso (Memo)</w:t>
      </w:r>
      <w:r>
        <w:t xml:space="preserve">: stringa semplice; per il testo formattato si può passare un oggetto</w:t>
      </w:r>
      <w:r>
        <w:t xml:space="preserve"> </w:t>
      </w:r>
      <w:r>
        <w:rPr>
          <w:rStyle w:val="VerbatimChar"/>
        </w:rPr>
        <w:t xml:space="preserve">{ "HTML": "&lt;p&gt;…&lt;/p&gt;" }</w:t>
      </w:r>
      <w:r>
        <w:t xml:space="preserve">. Nelle risposte le variabili Memo sono restituite come oggetto con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.</w:t>
      </w:r>
    </w:p>
    <w:p>
      <w:pPr>
        <w:pStyle w:val="TestomanualeCSW1"/>
        <w:numPr>
          <w:ilvl w:val="0"/>
          <w:numId w:val="41"/>
        </w:numPr>
      </w:pPr>
      <w:r>
        <w:rPr>
          <w:b/>
        </w:rPr>
        <w:t xml:space="preserve">Nomi sconosciuti</w:t>
      </w:r>
      <w:r>
        <w:t xml:space="preserve">: una variabile che non esiste nel modello viene ignorata senza restituire errori; l’avviso viene scritto nel log del servizio</w:t>
      </w:r>
      <w:r>
        <w:t xml:space="preserve"> </w:t>
      </w:r>
      <w:r>
        <w:rPr>
          <w:b/>
        </w:rPr>
        <w:t xml:space="preserve">WkfApi</w:t>
      </w:r>
      <w:r>
        <w:t xml:space="preserve">, il processo del server BPM che gestisce le chiamate. Se un valore sembra non arrivare, controlla i nomi delle variabili e il log di WkfApi.</w:t>
      </w:r>
    </w:p>
    <w:p>
      <w:pPr>
        <w:pStyle w:val="TestomanualeCSW1"/>
      </w:pPr>
      <w:r>
        <w:t xml:space="preserve">Per sapere quali variabili richiede un’attività o uno start, usa</w:t>
      </w:r>
      <w:r>
        <w:t xml:space="preserve"> </w:t>
      </w:r>
      <w:hyperlink w:anchor="getschema">
        <w:r>
          <w:rPr>
            <w:rStyle w:val="Hyperlink"/>
          </w:rPr>
          <w:t xml:space="preserve">GetSchema</w:t>
        </w:r>
      </w:hyperlink>
      <w:r>
        <w:t xml:space="preserve">.</w:t>
      </w:r>
    </w:p>
    <w:p>
      <w:pPr>
        <w:pStyle w:val="Heading4"/>
      </w:pPr>
      <w:bookmarkStart w:id="50" w:name="campi-generali"/>
      <w:r>
        <w:t xml:space="preserve">Campi generali</w:t>
      </w:r>
      <w:bookmarkEnd w:id="48"/>
    </w:p>
    <w:p>
      <w:pPr>
        <w:pStyle w:val="TestomanualeCSW1"/>
      </w:pPr>
      <w:r>
        <w:t xml:space="preserve">Oltre alle variabili definite nel modello, ogni processo e ogni documento ha dei</w:t>
      </w:r>
      <w:r>
        <w:t xml:space="preserve"> </w:t>
      </w:r>
      <w:r>
        <w:rPr>
          <w:b/>
        </w:rPr>
        <w:t xml:space="preserve">campi generali</w:t>
      </w:r>
      <w:r>
        <w:t xml:space="preserve">, sempre presenti, che ne descrivono lo stato. Hanno il prefisso</w:t>
      </w:r>
      <w:r>
        <w:t xml:space="preserve"> </w:t>
      </w:r>
      <w:r>
        <w:rPr>
          <w:rStyle w:val="VerbatimChar"/>
        </w:rPr>
        <w:t xml:space="preserve">fix_</w:t>
      </w:r>
      <w:r>
        <w:t xml:space="preserve">: si possono leggere con</w:t>
      </w:r>
      <w:r>
        <w:t xml:space="preserve"> </w:t>
      </w:r>
      <w:hyperlink w:anchor="getprocess">
        <w:r>
          <w:rPr>
            <w:rStyle w:val="Hyperlink"/>
          </w:rPr>
          <w:t xml:space="preserve">GetProcess</w:t>
        </w:r>
      </w:hyperlink>
      <w:r>
        <w:t xml:space="preserve"> </w:t>
      </w:r>
      <w:r>
        <w:t xml:space="preserve">e</w:t>
      </w:r>
      <w:r>
        <w:t xml:space="preserve"> </w:t>
      </w:r>
      <w:hyperlink w:anchor="getdocument">
        <w:r>
          <w:rPr>
            <w:rStyle w:val="Hyperlink"/>
          </w:rPr>
          <w:t xml:space="preserve">GetDocument</w:t>
        </w:r>
      </w:hyperlink>
      <w:r>
        <w:t xml:space="preserve"> </w:t>
      </w:r>
      <w:r>
        <w:t xml:space="preserve">e si possono usare come filtri in</w:t>
      </w:r>
      <w:r>
        <w:t xml:space="preserve"> </w:t>
      </w:r>
      <w:hyperlink w:anchor="searchdocuments">
        <w:r>
          <w:rPr>
            <w:rStyle w:val="Hyperlink"/>
          </w:rPr>
          <w:t xml:space="preserve">SearchDocuments</w:t>
        </w:r>
      </w:hyperlink>
      <w:r>
        <w:t xml:space="preserve">.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Etichetta in BPM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fix_name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dell’istanza, univoco nel modello.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fix_descrizione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Descrizione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Descrizione dell’istanza.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fix_text</w:t>
            </w:r>
          </w:p>
        </w:tc>
        <w:tc>
          <w:p>
            <w:pPr>
              <w:pStyle w:val="TestomanualeCSW1"/>
              <w:jc w:val="left"/>
            </w:pPr>
            <w:r>
              <w:t xml:space="preserve">Testo</w:t>
            </w:r>
          </w:p>
        </w:tc>
        <w:tc>
          <w:p>
            <w:pPr>
              <w:pStyle w:val="TestomanualeCSW1"/>
              <w:jc w:val="left"/>
            </w:pPr>
            <w:r>
              <w:t xml:space="preserve">Testo descrittivo dell’istanza.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fix_lifecycle</w:t>
            </w:r>
          </w:p>
        </w:tc>
        <w:tc>
          <w:p>
            <w:pPr>
              <w:pStyle w:val="TestomanualeCSW1"/>
              <w:jc w:val="left"/>
            </w:pPr>
            <w:r>
              <w:t xml:space="preserve">Modello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 modello di processo o della classe documentale.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fix_version</w:t>
            </w:r>
          </w:p>
        </w:tc>
        <w:tc>
          <w:p>
            <w:pPr>
              <w:pStyle w:val="TestomanualeCSW1"/>
              <w:jc w:val="left"/>
            </w:pPr>
            <w:r>
              <w:t xml:space="preserve">Versione</w:t>
            </w:r>
          </w:p>
        </w:tc>
        <w:tc>
          <w:p>
            <w:pPr>
              <w:pStyle w:val="TestomanualeCSW1"/>
              <w:jc w:val="left"/>
            </w:pPr>
            <w:r>
              <w:t xml:space="preserve">Versione del modello.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Stato</w:t>
            </w:r>
          </w:p>
        </w:tc>
        <w:tc>
          <w:p>
            <w:pPr>
              <w:pStyle w:val="TestomanualeCSW1"/>
              <w:jc w:val="left"/>
            </w:pPr>
            <w:r>
              <w:t xml:space="preserve">Stato corrente.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fix_active</w:t>
            </w:r>
          </w:p>
        </w:tc>
        <w:tc>
          <w:p>
            <w:pPr>
              <w:pStyle w:val="TestomanualeCSW1"/>
              <w:jc w:val="left"/>
            </w:pPr>
            <w:r>
              <w:t xml:space="preserve">Attivo</w:t>
            </w:r>
          </w:p>
        </w:tc>
        <w:tc>
          <w:p>
            <w:pPr>
              <w:pStyle w:val="TestomanualeCSW1"/>
              <w:jc w:val="left"/>
            </w:pPr>
            <w:r>
              <w:t xml:space="preserve">Indica se l’istanza è ancora attiva.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fix_activestep</w:t>
            </w:r>
          </w:p>
        </w:tc>
        <w:tc>
          <w:p>
            <w:pPr>
              <w:pStyle w:val="TestomanualeCSW1"/>
              <w:jc w:val="left"/>
            </w:pPr>
            <w:r>
              <w:t xml:space="preserve">Task attivo</w:t>
            </w:r>
          </w:p>
        </w:tc>
        <w:tc>
          <w:p>
            <w:pPr>
              <w:pStyle w:val="TestomanualeCSW1"/>
              <w:jc w:val="left"/>
            </w:pPr>
            <w:r>
              <w:t xml:space="preserve">Attività attive in questo momento.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fix_useractivestep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task attivo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Utenti assegnati alle attività attive.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fix_owners</w:t>
            </w:r>
          </w:p>
        </w:tc>
        <w:tc>
          <w:p>
            <w:pPr>
              <w:pStyle w:val="TestomanualeCSW1"/>
              <w:jc w:val="left"/>
            </w:pPr>
            <w:r>
              <w:t xml:space="preserve">Proprietari</w:t>
            </w:r>
          </w:p>
        </w:tc>
        <w:tc>
          <w:p>
            <w:pPr>
              <w:pStyle w:val="TestomanualeCSW1"/>
              <w:jc w:val="left"/>
            </w:pPr>
            <w:r>
              <w:t xml:space="preserve">Proprietari dell’istanza.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fix_data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creazione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di creazione.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fix_utecreazione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creazione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che ha creato l’istanza.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fix_dataultimamodifica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ultima modifica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dell’ultima modifica.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fix_utemodifica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ultima modifica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che ha eseguito l’ultima modifica.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fix_tipoultimamodifica</w:t>
            </w:r>
          </w:p>
        </w:tc>
        <w:tc>
          <w:p>
            <w:pPr>
              <w:pStyle w:val="TestomanualeCSW1"/>
              <w:jc w:val="left"/>
            </w:pPr>
            <w:r>
              <w:t xml:space="preserve">Tipo ultima modifica</w:t>
            </w:r>
          </w:p>
        </w:tc>
        <w:tc>
          <w:p>
            <w:pPr>
              <w:pStyle w:val="TestomanualeCSW1"/>
              <w:jc w:val="left"/>
            </w:pPr>
            <w:r>
              <w:t xml:space="preserve">Tipo dell’ultima modifica.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fix_has_attachments</w:t>
            </w:r>
          </w:p>
        </w:tc>
        <w:tc>
          <w:p>
            <w:pPr>
              <w:pStyle w:val="TestomanualeCSW1"/>
              <w:jc w:val="left"/>
            </w:pPr>
            <w:r>
              <w:t xml:space="preserve">Presenza allegati</w:t>
            </w:r>
          </w:p>
        </w:tc>
        <w:tc>
          <w:p>
            <w:pPr>
              <w:pStyle w:val="TestomanualeCSW1"/>
              <w:jc w:val="left"/>
            </w:pPr>
            <w:r>
              <w:t xml:space="preserve">Indica se l’istanza ha allegati.</w:t>
            </w:r>
          </w:p>
        </w:tc>
      </w:tr>
    </w:tbl>
    <w:p>
      <w:pPr>
        <w:pStyle w:val="TestomanualeCSW1"/>
        <w:spacing w:before="160"/>
      </w:pPr>
      <w:r>
        <w:t xml:space="preserve">Solo per i documenti delle classi documentali: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Etichetta in BPM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fix_documentdate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documento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del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fix_duedate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scadenza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di scadenza del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fix_barcode</w:t>
            </w:r>
          </w:p>
        </w:tc>
        <w:tc>
          <w:p>
            <w:pPr>
              <w:pStyle w:val="TestomanualeCSW1"/>
              <w:jc w:val="left"/>
            </w:pPr>
            <w:r>
              <w:t xml:space="preserve">Barcode</w:t>
            </w:r>
          </w:p>
        </w:tc>
        <w:tc>
          <w:p>
            <w:pPr>
              <w:pStyle w:val="TestomanualeCSW1"/>
              <w:jc w:val="left"/>
            </w:pPr>
            <w:r>
              <w:t xml:space="preserve">Codice a barre.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fix_filename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file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 file del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fix_currentversion</w:t>
            </w:r>
          </w:p>
        </w:tc>
        <w:tc>
          <w:p>
            <w:pPr>
              <w:pStyle w:val="TestomanualeCSW1"/>
              <w:jc w:val="left"/>
            </w:pPr>
            <w:r>
              <w:t xml:space="preserve">Versione file</w:t>
            </w:r>
          </w:p>
        </w:tc>
        <w:tc>
          <w:p>
            <w:pPr>
              <w:pStyle w:val="TestomanualeCSW1"/>
              <w:jc w:val="left"/>
            </w:pPr>
            <w:r>
              <w:t xml:space="preserve">Versione corrente del file.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fix_has_document</w:t>
            </w:r>
          </w:p>
        </w:tc>
        <w:tc>
          <w:p>
            <w:pPr>
              <w:pStyle w:val="TestomanualeCSW1"/>
              <w:jc w:val="left"/>
            </w:pPr>
            <w:r>
              <w:t xml:space="preserve">Presenza documento</w:t>
            </w:r>
          </w:p>
        </w:tc>
        <w:tc>
          <w:p>
            <w:pPr>
              <w:pStyle w:val="TestomanualeCSW1"/>
              <w:jc w:val="left"/>
            </w:pPr>
            <w:r>
              <w:t xml:space="preserve">Indica se al documento è associato un file.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fix_has_signedcopy</w:t>
            </w:r>
          </w:p>
        </w:tc>
        <w:tc>
          <w:p>
            <w:pPr>
              <w:pStyle w:val="TestomanualeCSW1"/>
              <w:jc w:val="left"/>
            </w:pPr>
            <w:r>
              <w:t xml:space="preserve">Presenza copia firmata</w:t>
            </w:r>
          </w:p>
        </w:tc>
        <w:tc>
          <w:p>
            <w:pPr>
              <w:pStyle w:val="TestomanualeCSW1"/>
              <w:jc w:val="left"/>
            </w:pPr>
            <w:r>
              <w:t xml:space="preserve">Indica se è presente la copia firmata.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fix_has_versions</w:t>
            </w:r>
          </w:p>
        </w:tc>
        <w:tc>
          <w:p>
            <w:pPr>
              <w:pStyle w:val="TestomanualeCSW1"/>
              <w:jc w:val="left"/>
            </w:pPr>
            <w:r>
              <w:t xml:space="preserve">Presenza versioni</w:t>
            </w:r>
          </w:p>
        </w:tc>
        <w:tc>
          <w:p>
            <w:pPr>
              <w:pStyle w:val="TestomanualeCSW1"/>
              <w:jc w:val="left"/>
            </w:pPr>
            <w:r>
              <w:t xml:space="preserve">Indica se il documento ha più versioni.</w:t>
            </w:r>
          </w:p>
        </w:tc>
      </w:tr>
    </w:tbl>
    <w:p>
      <w:pPr>
        <w:pStyle w:val="TestomanualeCSW1"/>
        <w:spacing w:before="160"/>
      </w:pPr>
      <w:r>
        <w:t xml:space="preserve">Anche i nomi dei campi generali non distinguono tra maiuscole e minuscole.</w:t>
      </w:r>
    </w:p>
    <w:p>
      <w:pPr>
        <w:pStyle w:val="Heading3"/>
      </w:pPr>
      <w:bookmarkStart w:id="51" w:name="le-chiamate-disponibili"/>
      <w:r>
        <w:t xml:space="preserve">Le chiamate disponibili</w:t>
      </w:r>
      <w:bookmarkEnd w:id="49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Area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Chiamate</w:t>
            </w:r>
          </w:p>
        </w:tc>
      </w:tr>
      <w:tr>
        <w:tc>
          <w:p>
            <w:pPr>
              <w:pStyle w:val="TestomanualeCSW1"/>
              <w:jc w:val="left"/>
            </w:pPr>
            <w:hyperlink w:anchor="processi">
              <w:r>
                <w:rPr>
                  <w:rStyle w:val="Hyperlink"/>
                </w:rPr>
                <w:t xml:space="preserve">Processi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CreateNewProcess, GetProcess, UpdateProcess, DeleteProcess, UploadAttachment, AddLink, ProcessModels, GetSchema</w:t>
            </w:r>
          </w:p>
        </w:tc>
      </w:tr>
      <w:tr>
        <w:tc>
          <w:p>
            <w:pPr>
              <w:pStyle w:val="TestomanualeCSW1"/>
              <w:jc w:val="left"/>
            </w:pPr>
            <w:hyperlink w:anchor="attivit\224-e-to-do-list">
              <w:r>
                <w:rPr>
                  <w:rStyle w:val="Hyperlink"/>
                </w:rPr>
                <w:t xml:space="preserve">Attività e To-Do List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GetTodolist, GetPageTodoList, ExecTask, UpdateTask</w:t>
            </w:r>
          </w:p>
        </w:tc>
      </w:tr>
      <w:tr>
        <w:tc>
          <w:p>
            <w:pPr>
              <w:pStyle w:val="TestomanualeCSW1"/>
              <w:jc w:val="left"/>
            </w:pPr>
            <w:hyperlink w:anchor="documenti-e-dossier">
              <w:r>
                <w:rPr>
                  <w:rStyle w:val="Hyperlink"/>
                </w:rPr>
                <w:t xml:space="preserve">Documenti e dossier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CreateNewDocument, CreateOrUpdateDocument, UpdateDocument, UpdateDocumentContent, GetDocument, SearchDocuments, DownloadDocument, DownloadDocumentJSON, DocumentVersions, DeleteDocument, DocumentSets, AddDocumentToDossier</w:t>
            </w:r>
          </w:p>
        </w:tc>
      </w:tr>
      <w:tr>
        <w:tc>
          <w:p>
            <w:pPr>
              <w:pStyle w:val="TestomanualeCSW1"/>
              <w:jc w:val="left"/>
            </w:pPr>
            <w:hyperlink w:anchor="utilit\224">
              <w:r>
                <w:rPr>
                  <w:rStyle w:val="Hyperlink"/>
                </w:rPr>
                <w:t xml:space="preserve">Utilità</w:t>
              </w:r>
            </w:hyperlink>
          </w:p>
        </w:tc>
        <w:tc>
          <w:p>
            <w:pPr>
              <w:pStyle w:val="TestomanualeCSW1"/>
              <w:jc w:val="left"/>
            </w:pPr>
            <w:r>
              <w:t xml:space="preserve">GetUser, CreateOrUpdateUser, GetVersion</w:t>
            </w:r>
          </w:p>
        </w:tc>
      </w:tr>
    </w:tbl>
    <w:p>
      <w:pPr>
        <w:pStyle w:val="Heading3"/>
      </w:pPr>
      <w:bookmarkStart w:id="52" w:name="swagger-e-strumenti-di-prova"/>
      <w:r>
        <w:t xml:space="preserve">Swagger e strumenti di prova</w:t>
      </w:r>
      <w:bookmarkEnd w:id="50"/>
    </w:p>
    <w:p>
      <w:pPr>
        <w:pStyle w:val="TestomanualeCSW1"/>
      </w:pPr>
      <w:r>
        <w:t xml:space="preserve">Ogni installazione espone la descrizione completa delle API in formato Swagger (OpenAPI 2.0) all’indirizzo:</w:t>
      </w:r>
    </w:p>
    <w:p>
      <w:pPr>
        <w:pStyle w:val="SourceCode"/>
      </w:pPr>
      <w:r>
        <w:rPr>
          <w:rStyle w:val="VerbatimChar"/>
        </w:rPr>
        <w:t xml:space="preserve">https://&lt;indirizzo-bpm&gt;/api/swagger/docs/v1</w:t>
      </w:r>
    </w:p>
    <w:p>
      <w:pPr>
        <w:pStyle w:val="TestomanualeCSW1"/>
      </w:pPr>
      <w:r>
        <w:t xml:space="preserve">Lo Swagger elenca tutte le chiamate e i relativi parametri, ma non riporta la struttura dell’oggetto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né il significato dei campi: per questi fa fede questa documentazione.</w:t>
      </w:r>
    </w:p>
    <w:p>
      <w:pPr>
        <w:pStyle w:val="Heading4"/>
      </w:pPr>
      <w:bookmarkStart w:id="53" w:name="provare-le-chiamate"/>
      <w:r>
        <w:t xml:space="preserve">Provare le chiamate</w:t>
      </w:r>
      <w:bookmarkEnd w:id="51"/>
    </w:p>
    <w:p>
      <w:pPr>
        <w:pStyle w:val="TestomanualeCSW1"/>
      </w:pPr>
      <w:r>
        <w:t xml:space="preserve">Per provare le chiamate senza scrivere codice è disponibile una collection per</w:t>
      </w:r>
      <w:r>
        <w:t xml:space="preserve"> </w:t>
      </w:r>
      <w:r>
        <w:rPr>
          <w:b/>
        </w:rPr>
        <w:t xml:space="preserve">Postman</w:t>
      </w:r>
      <w:r>
        <w:t xml:space="preserve"> </w:t>
      </w:r>
      <w:r>
        <w:t xml:space="preserve">con tutte le chiamate di questa sezione e un esempio di richiesta per ciascuna:</w:t>
      </w:r>
    </w:p>
    <w:p>
      <w:pPr>
        <w:pStyle w:val="TestomanualeCSW1"/>
        <w:numPr>
          <w:ilvl w:val="0"/>
          <w:numId w:val="42"/>
        </w:numPr>
      </w:pPr>
      <w:r>
        <w:t xml:space="preserve">Collection BPM API standard (disponibile sul sito della documentazione)</w:t>
      </w:r>
    </w:p>
    <w:p>
      <w:pPr>
        <w:pStyle w:val="TestomanualeCSW1"/>
        <w:numPr>
          <w:ilvl w:val="0"/>
          <w:numId w:val="42"/>
        </w:numPr>
      </w:pPr>
      <w:r>
        <w:t xml:space="preserve">Ambiente BPM (disponibile sul sito della documentazione)</w:t>
      </w:r>
    </w:p>
    <w:p>
      <w:pPr>
        <w:pStyle w:val="TestomanualeCSW1"/>
      </w:pPr>
      <w:r>
        <w:t xml:space="preserve">Per iniziare:</w:t>
      </w:r>
    </w:p>
    <w:p>
      <w:pPr>
        <w:pStyle w:val="TestomanualeCSW1"/>
        <w:numPr>
          <w:ilvl w:val="0"/>
          <w:numId w:val="43"/>
        </w:numPr>
      </w:pPr>
      <w:r>
        <w:t xml:space="preserve">In Postman, importa i due file con</w:t>
      </w:r>
      <w:r>
        <w:t xml:space="preserve"> </w:t>
      </w:r>
      <w:r>
        <w:rPr>
          <w:b/>
        </w:rPr>
        <w:t xml:space="preserve">Import</w:t>
      </w:r>
      <w:r>
        <w:t xml:space="preserve">.</w:t>
      </w:r>
    </w:p>
    <w:p>
      <w:pPr>
        <w:pStyle w:val="TestomanualeCSW1"/>
        <w:numPr>
          <w:ilvl w:val="0"/>
          <w:numId w:val="43"/>
        </w:numPr>
      </w:pPr>
      <w:r>
        <w:t xml:space="preserve">Seleziona l’ambiente</w:t>
      </w:r>
      <w:r>
        <w:t xml:space="preserve"> </w:t>
      </w:r>
      <w:r>
        <w:rPr>
          <w:b/>
        </w:rPr>
        <w:t xml:space="preserve">BPM</w:t>
      </w:r>
      <w:r>
        <w:t xml:space="preserve"> </w:t>
      </w:r>
      <w:r>
        <w:t xml:space="preserve">e compila le variabili:</w:t>
      </w:r>
      <w:r>
        <w:t xml:space="preserve"> </w:t>
      </w:r>
      <w:r>
        <w:rPr>
          <w:rStyle w:val="VerbatimChar"/>
        </w:rPr>
        <w:t xml:space="preserve">bpmUrl</w:t>
      </w:r>
      <w:r>
        <w:t xml:space="preserve"> </w:t>
      </w:r>
      <w:r>
        <w:t xml:space="preserve">(indirizzo dell’applicazione web, per esempio</w:t>
      </w:r>
      <w:r>
        <w:t xml:space="preserve"> </w:t>
      </w:r>
      <w:r>
        <w:rPr>
          <w:rStyle w:val="VerbatimChar"/>
        </w:rPr>
        <w:t xml:space="preserve">https://bpm.azienda.it/BPM</w:t>
      </w:r>
      <w:r>
        <w:t xml:space="preserve">),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(la</w:t>
      </w:r>
      <w:r>
        <w:t xml:space="preserve"> </w:t>
      </w:r>
      <w:hyperlink w:anchor="chiave-api">
        <w:r>
          <w:rPr>
            <w:rStyle w:val="Hyperlink"/>
          </w:rPr>
          <w:t xml:space="preserve">chiave API</w:t>
        </w:r>
      </w:hyperlink>
      <w:r>
        <w:t xml:space="preserve">) 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.</w:t>
      </w:r>
    </w:p>
    <w:p>
      <w:pPr>
        <w:pStyle w:val="TestomanualeCSW1"/>
        <w:numPr>
          <w:ilvl w:val="0"/>
          <w:numId w:val="43"/>
        </w:numPr>
      </w:pPr>
      <w:r>
        <w:t xml:space="preserve">Adatta i nomi di modello, classe documentale, start e attività agli oggetti della tua installazione.</w:t>
      </w:r>
    </w:p>
    <w:p>
      <w:pPr>
        <w:pStyle w:val="TestomanualeCSW1"/>
      </w:pPr>
      <w:r>
        <w:t xml:space="preserve">CreateNewProcess e CreateNewDocument salvano automaticamente nell’ambiente l’identificativo dell’istanza creata, che le chiamate successive usano subito.</w:t>
      </w:r>
    </w:p>
    <w:p>
      <w:pPr>
        <w:pStyle w:val="TestomanualeCSW1"/>
      </w:pPr>
      <w:r>
        <w:t xml:space="preserve">La collection si importa anche in altri strumenti compatibili con il formato Postman, come Bruno.</w:t>
      </w:r>
    </w:p>
    <w:p>
      <w:pPr>
        <w:pStyle w:val="Heading2"/>
      </w:pPr>
      <w:bookmarkStart w:id="54" w:name="autenticazione-e-utenti"/>
      <w:r>
        <w:t xml:space="preserve">Autenticazione e utenti</w:t>
      </w:r>
      <w:bookmarkEnd w:id="52"/>
    </w:p>
    <w:p>
      <w:pPr>
        <w:pStyle w:val="TestomanualeCSW1"/>
      </w:pPr>
      <w:r>
        <w:t xml:space="preserve">Le API standard usano un sistema a</w:t>
      </w:r>
      <w:r>
        <w:t xml:space="preserve"> </w:t>
      </w:r>
      <w:r>
        <w:rPr>
          <w:b/>
        </w:rPr>
        <w:t xml:space="preserve">chiave API</w:t>
      </w:r>
      <w:r>
        <w:t xml:space="preserve">: ogni applicazione esterna riceve una chiave generata in BPM e la invia a ogni chiamata, insieme all’indicazione dell’utente per conto del quale opera.</w:t>
      </w:r>
    </w:p>
    <w:p>
      <w:pPr>
        <w:pStyle w:val="Heading4"/>
      </w:pPr>
      <w:bookmarkStart w:id="55" w:name="chiave-api"/>
      <w:r>
        <w:t xml:space="preserve">Chiave API</w:t>
      </w:r>
      <w:bookmarkEnd w:id="53"/>
    </w:p>
    <w:p>
      <w:pPr>
        <w:pStyle w:val="TestomanualeCSW1"/>
      </w:pPr>
      <w:r>
        <w:t xml:space="preserve">La chiave si genera in BPM dal percorso</w:t>
      </w:r>
      <w:r>
        <w:t xml:space="preserve"> </w:t>
      </w:r>
      <w:r>
        <w:rPr>
          <w:b/>
        </w:rPr>
        <w:t xml:space="preserve">Configurazione &gt; Configurazione &gt; Chiavi di accesso Web API</w:t>
      </w:r>
      <w:r>
        <w:t xml:space="preserve">, con il comando</w:t>
      </w:r>
      <w:r>
        <w:t xml:space="preserve"> </w:t>
      </w:r>
      <w:r>
        <w:rPr>
          <w:b/>
        </w:rPr>
        <w:t xml:space="preserve">Crea nuovo token di autenticazione</w:t>
      </w:r>
      <w:r>
        <w:t xml:space="preserve">. Vedi Chiavi di accesso Web API.</w:t>
      </w:r>
    </w:p>
    <w:p>
      <w:pPr>
        <w:pStyle w:val="TestomanualeCSW1"/>
        <w:numPr>
          <w:ilvl w:val="0"/>
          <w:numId w:val="44"/>
        </w:numPr>
      </w:pPr>
      <w:r>
        <w:t xml:space="preserve">Genera una chiave distinta per ogni applicazione esterna, con una descrizione che la identifichi: così è possibile revocarla senza toccare le altre integrazioni.</w:t>
      </w:r>
    </w:p>
    <w:p>
      <w:pPr>
        <w:pStyle w:val="TestomanualeCSW1"/>
        <w:numPr>
          <w:ilvl w:val="0"/>
          <w:numId w:val="44"/>
        </w:numPr>
      </w:pPr>
      <w:r>
        <w:t xml:space="preserve">Un’applicazione in possesso di una chiave è autorizzata a eseguire</w:t>
      </w:r>
      <w:r>
        <w:t xml:space="preserve"> </w:t>
      </w:r>
      <w:r>
        <w:rPr>
          <w:b/>
        </w:rPr>
        <w:t xml:space="preserve">qualunque operazione per conto di qualunque utente</w:t>
      </w:r>
      <w:r>
        <w:t xml:space="preserve">. La chiave va quindi custodita come una password: mai nel codice lato browser, mai in chiaro in documenti condivisi.</w:t>
      </w:r>
    </w:p>
    <w:p>
      <w:pPr>
        <w:pStyle w:val="TestomanualeCSW1"/>
        <w:numPr>
          <w:ilvl w:val="0"/>
          <w:numId w:val="44"/>
        </w:numPr>
      </w:pPr>
      <w:r>
        <w:t xml:space="preserve">Usa sempre connessioni HTTPS.</w:t>
      </w:r>
    </w:p>
    <w:p>
      <w:pPr>
        <w:pStyle w:val="Heading4"/>
      </w:pPr>
      <w:bookmarkStart w:id="56" w:name="utente-per-conto-del-quale-si-opera"/>
      <w:r>
        <w:t xml:space="preserve">Utente per conto del quale si opera</w:t>
      </w:r>
      <w:bookmarkEnd w:id="54"/>
    </w:p>
    <w:p>
      <w:pPr>
        <w:pStyle w:val="TestomanualeCSW1"/>
      </w:pPr>
      <w:r>
        <w:t xml:space="preserve">Ogni chiamata indica anche un utente. BPM applica i controlli di quell’utente: se l’utente non ha il diritto di avviare un processo o di eseguire un’attività, la chiamata fallisce.</w:t>
      </w:r>
    </w:p>
    <w:p>
      <w:pPr>
        <w:pStyle w:val="TestomanualeCSW1"/>
      </w:pPr>
      <w:r>
        <w:t xml:space="preserve">Esistono due modi, entrambi validi, per inviare chiave e utente.</w:t>
      </w:r>
    </w:p>
    <w:p>
      <w:pPr>
        <w:pStyle w:val="Heading5"/>
      </w:pPr>
      <w:bookmarkStart w:id="57" w:name="X7ecbc26f56a891ce0437596fcb75c6d2ed455cf"/>
      <w:r>
        <w:t xml:space="preserve">Modalità semplice:</w:t>
      </w:r>
      <w:r>
        <w:t xml:space="preserve"> </w:t>
      </w:r>
      <w:r>
        <w:rPr>
          <w:rStyle w:val="VerbatimChar"/>
        </w:rPr>
        <w:t xml:space="preserve">authenticationToken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userName</w:t>
      </w:r>
      <w:bookmarkEnd w:id="55"/>
    </w:p>
    <w:p>
      <w:pPr>
        <w:pStyle w:val="TestomanualeCSW1"/>
      </w:pPr>
      <w:r>
        <w:t xml:space="preserve">Chiave e utente BPM si inseriscono direttamente nel corpo della richiesta: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t xml:space="preserve">È la modalità più diretta quando l’applicazione esterna conosce i nomi degli utenti BPM.</w:t>
      </w:r>
    </w:p>
    <w:p>
      <w:pPr>
        <w:pStyle w:val="Heading5"/>
      </w:pPr>
      <w:bookmarkStart w:id="58" w:name="X2e0a7068d3a7ab4651a554d9dcebf61075594a4"/>
      <w:r>
        <w:t xml:space="preserve">Modalità con utente esterno: oggetto</w:t>
      </w:r>
      <w:r>
        <w:t xml:space="preserve"> </w:t>
      </w:r>
      <w:r>
        <w:rPr>
          <w:rStyle w:val="VerbatimChar"/>
        </w:rPr>
        <w:t xml:space="preserve">authorization</w:t>
      </w:r>
      <w:bookmarkEnd w:id="56"/>
    </w:p>
    <w:p>
      <w:pPr>
        <w:pStyle w:val="TestomanualeCSW1"/>
      </w:pPr>
      <w:r>
        <w:t xml:space="preserve">Quando l’applicazione esterna ha i propri utenti, può identificarli con</w:t>
      </w:r>
      <w:r>
        <w:t xml:space="preserve"> </w:t>
      </w:r>
      <w:r>
        <w:rPr>
          <w:b/>
        </w:rPr>
        <w:t xml:space="preserve">il proprio nome utente</w:t>
      </w:r>
      <w:r>
        <w:t xml:space="preserve"> </w:t>
      </w:r>
      <w:r>
        <w:t xml:space="preserve">e lasciare che sia BPM a risalire all’utente BPM corrispondente. Chiave e utente si inseriscono nell’oggetto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"&lt;tipo&gt;User"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"&lt;utente-esterno&gt;"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"&lt;tipo&gt;Company"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"&lt;azienda&gt;"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  <w:numPr>
          <w:ilvl w:val="0"/>
          <w:numId w:val="45"/>
        </w:numPr>
      </w:pPr>
      <w:r>
        <w:rPr>
          <w:rStyle w:val="VerbatimChar"/>
        </w:rPr>
        <w:t xml:space="preserve">authenticationToken</w:t>
      </w:r>
      <w:r>
        <w:t xml:space="preserve"> </w:t>
      </w:r>
      <w:r>
        <w:t xml:space="preserve">(oppure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): la chiave API, come nella modalità semplice.</w:t>
      </w:r>
    </w:p>
    <w:p>
      <w:pPr>
        <w:pStyle w:val="TestomanualeCSW1"/>
        <w:numPr>
          <w:ilvl w:val="0"/>
          <w:numId w:val="45"/>
        </w:numPr>
      </w:pPr>
      <w:r>
        <w:rPr>
          <w:rStyle w:val="VerbatimChar"/>
        </w:rPr>
        <w:t xml:space="preserve">&lt;tipo&gt;User</w:t>
      </w:r>
      <w:r>
        <w:t xml:space="preserve">: il nome utente nell’applicazione esterna. Il prefisso</w:t>
      </w:r>
      <w:r>
        <w:t xml:space="preserve"> </w:t>
      </w:r>
      <w:r>
        <w:rPr>
          <w:rStyle w:val="VerbatimChar"/>
        </w:rPr>
        <w:t xml:space="preserve">&lt;tipo&gt;</w:t>
      </w:r>
      <w:r>
        <w:t xml:space="preserve"> </w:t>
      </w:r>
      <w:r>
        <w:t xml:space="preserve">indica di quale applicazione si tratta, per esempio</w:t>
      </w:r>
      <w:r>
        <w:t xml:space="preserve"> </w:t>
      </w:r>
      <w:r>
        <w:rPr>
          <w:rStyle w:val="VerbatimChar"/>
        </w:rPr>
        <w:t xml:space="preserve">samUser</w:t>
      </w:r>
      <w:r>
        <w:t xml:space="preserve"> </w:t>
      </w:r>
      <w:r>
        <w:t xml:space="preserve">per un utente di tipo</w:t>
      </w:r>
      <w:r>
        <w:t xml:space="preserve"> </w:t>
      </w:r>
      <w:r>
        <w:rPr>
          <w:rStyle w:val="VerbatimChar"/>
        </w:rPr>
        <w:t xml:space="preserve">sam</w:t>
      </w:r>
      <w:r>
        <w:t xml:space="preserve">.</w:t>
      </w:r>
    </w:p>
    <w:p>
      <w:pPr>
        <w:pStyle w:val="TestomanualeCSW1"/>
        <w:numPr>
          <w:ilvl w:val="0"/>
          <w:numId w:val="45"/>
        </w:numPr>
      </w:pPr>
      <w:r>
        <w:rPr>
          <w:rStyle w:val="VerbatimChar"/>
        </w:rPr>
        <w:t xml:space="preserve">&lt;tipo&gt;Company</w:t>
      </w:r>
      <w:r>
        <w:t xml:space="preserve">: l’azienda dell’utente esterno, solo quando l’applicazione esterna gestisce più aziende (per esempio</w:t>
      </w:r>
      <w:r>
        <w:t xml:space="preserve"> </w:t>
      </w:r>
      <w:r>
        <w:rPr>
          <w:rStyle w:val="VerbatimChar"/>
        </w:rPr>
        <w:t xml:space="preserve">samPortalUser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samPortalCompany</w:t>
      </w:r>
      <w:r>
        <w:t xml:space="preserve"> </w:t>
      </w:r>
      <w:r>
        <w:t xml:space="preserve">per un utente di tipo</w:t>
      </w:r>
      <w:r>
        <w:t xml:space="preserve"> </w:t>
      </w:r>
      <w:r>
        <w:rPr>
          <w:rStyle w:val="VerbatimChar"/>
        </w:rPr>
        <w:t xml:space="preserve">samPortal</w:t>
      </w:r>
      <w:r>
        <w:t xml:space="preserve">).</w:t>
      </w:r>
    </w:p>
    <w:p>
      <w:pPr>
        <w:pStyle w:val="TestomanualeCSW1"/>
      </w:pPr>
      <w:r>
        <w:t xml:space="preserve">Se nella richiesta è presente anche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 fuori dall’oggetto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prevale l’utente BPM indicato e l’alias non viene usato.</w:t>
      </w:r>
    </w:p>
    <w:p>
      <w:pPr>
        <w:pStyle w:val="TestomanualeCSW1"/>
        <w:pBdr>
          <w:left w:val="single" w:sz="12" w:space="8" w:color="3093EF"/>
        </w:pBdr>
        <w:spacing w:before="160"/>
        <w:ind w:left="567"/>
      </w:pPr>
      <w:r>
        <w:rPr>
          <w:b/>
        </w:rPr>
        <w:t xml:space="preserve">Lo Swagger non descrive questa struttura</w:t>
      </w:r>
    </w:p>
    <w:p>
      <w:pPr>
        <w:pStyle w:val="TestomanualeCSW1"/>
        <w:pBdr>
          <w:left w:val="single" w:sz="12" w:space="8" w:color="3093EF"/>
        </w:pBdr>
        <w:spacing w:after="160"/>
        <w:ind w:left="567"/>
      </w:pPr>
      <w:r>
        <w:t xml:space="preserve">Nello Swagger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compare come oggetto generico: i nomi delle proprietà sono quelli riportati in questa pagina.</w:t>
      </w:r>
    </w:p>
    <w:p>
      <w:pPr>
        <w:pStyle w:val="Heading5"/>
      </w:pPr>
      <w:bookmarkStart w:id="59" w:name="Xa8117395d10185f4a512511e468b8c60883b136"/>
      <w:r>
        <w:t xml:space="preserve">Alias: il collegamento tra utente esterno e utente BPM</w:t>
      </w:r>
      <w:bookmarkEnd w:id="57"/>
    </w:p>
    <w:p>
      <w:pPr>
        <w:pStyle w:val="TestomanualeCSW1"/>
      </w:pPr>
      <w:r>
        <w:t xml:space="preserve">La corrispondenza tra utente esterno e utente BPM si configura nell’anagrafica degli utenti BPM, sezione</w:t>
      </w:r>
      <w:r>
        <w:t xml:space="preserve"> </w:t>
      </w:r>
      <w:r>
        <w:rPr>
          <w:b/>
        </w:rPr>
        <w:t xml:space="preserve">Alias</w:t>
      </w:r>
      <w:r>
        <w:t xml:space="preserve">. Per ogni utente BPM si definiscono uno o più alias, ciascuno composto da:</w:t>
      </w:r>
    </w:p>
    <w:p>
      <w:pPr>
        <w:pStyle w:val="TestomanualeCSW1"/>
        <w:numPr>
          <w:ilvl w:val="0"/>
          <w:numId w:val="46"/>
        </w:numPr>
      </w:pPr>
      <w:r>
        <w:t xml:space="preserve">il</w:t>
      </w:r>
      <w:r>
        <w:t xml:space="preserve"> </w:t>
      </w:r>
      <w:r>
        <w:rPr>
          <w:b/>
        </w:rPr>
        <w:t xml:space="preserve">tipo</w:t>
      </w:r>
      <w:r>
        <w:t xml:space="preserve"> </w:t>
      </w:r>
      <w:r>
        <w:t xml:space="preserve">di utente esterno, cioè l’applicazione di provenienza (per esempio</w:t>
      </w:r>
      <w:r>
        <w:t xml:space="preserve"> </w:t>
      </w:r>
      <w:r>
        <w:rPr>
          <w:rStyle w:val="VerbatimChar"/>
        </w:rPr>
        <w:t xml:space="preserve">sam</w:t>
      </w:r>
      <w:r>
        <w:t xml:space="preserve">);</w:t>
      </w:r>
    </w:p>
    <w:p>
      <w:pPr>
        <w:pStyle w:val="TestomanualeCSW1"/>
        <w:numPr>
          <w:ilvl w:val="0"/>
          <w:numId w:val="46"/>
        </w:numPr>
      </w:pPr>
      <w:r>
        <w:t xml:space="preserve">il</w:t>
      </w:r>
      <w:r>
        <w:t xml:space="preserve"> </w:t>
      </w:r>
      <w:r>
        <w:rPr>
          <w:b/>
        </w:rPr>
        <w:t xml:space="preserve">nome utente</w:t>
      </w:r>
      <w:r>
        <w:t xml:space="preserve"> </w:t>
      </w:r>
      <w:r>
        <w:t xml:space="preserve">in quell’applicazione.</w:t>
      </w:r>
    </w:p>
    <w:p>
      <w:pPr>
        <w:pStyle w:val="TestomanualeCSW1"/>
      </w:pPr>
      <w:r>
        <w:t xml:space="preserve">Quando una chiamata arriva con</w:t>
      </w:r>
      <w:r>
        <w:t xml:space="preserve"> </w:t>
      </w:r>
      <w:r>
        <w:rPr>
          <w:rStyle w:val="VerbatimChar"/>
        </w:rPr>
        <w:t xml:space="preserve">samUser: "7"</w:t>
      </w:r>
      <w:r>
        <w:t xml:space="preserve">, BPM cerca l’utente che ha un alias di tipo</w:t>
      </w:r>
      <w:r>
        <w:t xml:space="preserve"> </w:t>
      </w:r>
      <w:r>
        <w:rPr>
          <w:rStyle w:val="VerbatimChar"/>
        </w:rPr>
        <w:t xml:space="preserve">sam</w:t>
      </w:r>
      <w:r>
        <w:t xml:space="preserve"> </w:t>
      </w:r>
      <w:r>
        <w:t xml:space="preserve">con nome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e opera per suo conto. Se la chiamata indica anche l’azienda (</w:t>
      </w:r>
      <w:r>
        <w:rPr>
          <w:rStyle w:val="VerbatimChar"/>
        </w:rPr>
        <w:t xml:space="preserve">samCompany</w:t>
      </w:r>
      <w:r>
        <w:t xml:space="preserve">), la ricerca considera tipo, nome e azienda; senza azienda, basta la coppia tipo e nome. Se nessun alias corrisponde, la chiamata fallisce come per un utente inesistente.</w:t>
      </w:r>
    </w:p>
    <w:p>
      <w:pPr>
        <w:pStyle w:val="TestomanualeCSW1"/>
      </w:pPr>
      <w:r>
        <w:t xml:space="preserve">Vedi Utenti e gruppi.</w:t>
      </w:r>
    </w:p>
    <w:p>
      <w:pPr>
        <w:pStyle w:val="TestomanualeCSW1"/>
      </w:pPr>
      <w:r>
        <w:t xml:space="preserve">La stessa struttura si usa anche in altri punti delle API per indicare un utente esterno, per esempio nel filtro</w:t>
      </w:r>
      <w:r>
        <w:t xml:space="preserve"> </w:t>
      </w:r>
      <w:r>
        <w:rPr>
          <w:rStyle w:val="VerbatimChar"/>
        </w:rPr>
        <w:t xml:space="preserve">filterByUser</w:t>
      </w:r>
      <w:r>
        <w:t xml:space="preserve"> </w:t>
      </w:r>
      <w:r>
        <w:t xml:space="preserve">di</w:t>
      </w:r>
      <w:r>
        <w:t xml:space="preserve"> </w:t>
      </w:r>
      <w:hyperlink w:anchor="gettodolist">
        <w:r>
          <w:rPr>
            <w:rStyle w:val="Hyperlink"/>
          </w:rPr>
          <w:t xml:space="preserve">GetTodolist</w:t>
        </w:r>
      </w:hyperlink>
      <w:r>
        <w:t xml:space="preserve"> </w:t>
      </w:r>
      <w:r>
        <w:t xml:space="preserve">o negli utenti assegnati di</w:t>
      </w:r>
      <w:r>
        <w:t xml:space="preserve"> </w:t>
      </w:r>
      <w:hyperlink w:anchor="updatetask">
        <w:r>
          <w:rPr>
            <w:rStyle w:val="Hyperlink"/>
          </w:rPr>
          <w:t xml:space="preserve">UpdateTask</w:t>
        </w:r>
      </w:hyperlink>
      <w:r>
        <w:t xml:space="preserve">.</w:t>
      </w:r>
    </w:p>
    <w:p>
      <w:pPr>
        <w:pStyle w:val="Heading4"/>
      </w:pPr>
      <w:bookmarkStart w:id="60" w:name="verificare-un-utente"/>
      <w:r>
        <w:t xml:space="preserve">Verificare un utente</w:t>
      </w:r>
      <w:bookmarkEnd w:id="58"/>
    </w:p>
    <w:p>
      <w:pPr>
        <w:pStyle w:val="TestomanualeCSW1"/>
      </w:pPr>
      <w:r>
        <w:t xml:space="preserve">La chiamata</w:t>
      </w:r>
      <w:r>
        <w:t xml:space="preserve"> </w:t>
      </w:r>
      <w:hyperlink w:anchor="getuser">
        <w:r>
          <w:rPr>
            <w:rStyle w:val="Hyperlink"/>
          </w:rPr>
          <w:t xml:space="preserve">GetUser</w:t>
        </w:r>
      </w:hyperlink>
      <w:r>
        <w:t xml:space="preserve"> </w:t>
      </w:r>
      <w:r>
        <w:t xml:space="preserve">verifica che l’utente indicato esista e ne restituisce email e gruppi: è utile per controllare la configurazione di chiave e alias prima di usare le altre chiamate.</w:t>
      </w:r>
    </w:p>
    <w:p>
      <w:pPr>
        <w:pStyle w:val="Heading2"/>
      </w:pPr>
      <w:bookmarkStart w:id="61" w:name="processi"/>
      <w:r>
        <w:t xml:space="preserve">Processi</w:t>
      </w:r>
      <w:bookmarkEnd w:id="59"/>
    </w:p>
    <w:p>
      <w:pPr>
        <w:pStyle w:val="TestomanualeCSW1"/>
      </w:pPr>
      <w:r>
        <w:t xml:space="preserve">Chiamate per avviare, leggere, modificare ed eliminare le istanze di processo, e per caricare allegati. Per le regole comuni (indirizzo, credenziali, identificazione dell’istanza, variabili) vedi</w:t>
      </w:r>
      <w:r>
        <w:t xml:space="preserve"> </w:t>
      </w:r>
      <w:hyperlink w:anchor="api-standard">
        <w:r>
          <w:rPr>
            <w:rStyle w:val="Hyperlink"/>
          </w:rPr>
          <w:t xml:space="preserve">API standard</w:t>
        </w:r>
      </w:hyperlink>
      <w:r>
        <w:t xml:space="preserve">.</w:t>
      </w:r>
    </w:p>
    <w:p>
      <w:pPr>
        <w:pStyle w:val="Heading4"/>
      </w:pPr>
      <w:bookmarkStart w:id="62" w:name="createnewprocess"/>
      <w:r>
        <w:t xml:space="preserve">CreateNewProcess</w:t>
      </w:r>
      <w:bookmarkEnd w:id="60"/>
    </w:p>
    <w:p>
      <w:pPr>
        <w:pStyle w:val="TestomanualeCSW1"/>
      </w:pPr>
      <w:r>
        <w:t xml:space="preserve">Avvia una nuova istanza di un modello di processo.</w:t>
      </w:r>
    </w:p>
    <w:p>
      <w:pPr>
        <w:pStyle w:val="TestomanualeCSW1"/>
      </w:pPr>
      <w:r>
        <w:rPr>
          <w:rStyle w:val="VerbatimChar"/>
        </w:rPr>
        <w:t xml:space="preserve">POST /api/ext/CreateNewProcess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"Ragione Sociale"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"Rossi S.p.A."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"Importo"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179.58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 modello di processo da avviare.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startObject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interno dello start da cui avviare il processo (per esempio</w:t>
            </w:r>
            <w:r>
              <w:t xml:space="preserve"> </w:t>
            </w:r>
            <w:r>
              <w:rPr>
                <w:rStyle w:val="VerbatimChar"/>
              </w:rPr>
              <w:t xml:space="preserve">start1</w:t>
            </w:r>
            <w:r>
              <w:t xml:space="preserve">). Un modello può avere più start.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Valori delle variabili richieste all’avvio.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attachments</w:t>
            </w:r>
          </w:p>
        </w:tc>
        <w:tc>
          <w:p>
            <w:pPr>
              <w:pStyle w:val="TestomanualeCSW1"/>
              <w:jc w:val="left"/>
            </w:pPr>
            <w:r>
              <w:t xml:space="preserve">Elenco facoltativo di allegati da caricare all’avvio. Vedi sotto.</w:t>
            </w:r>
          </w:p>
        </w:tc>
      </w:tr>
    </w:tbl>
    <w:p>
      <w:pPr>
        <w:pStyle w:val="Heading5"/>
      </w:pPr>
      <w:bookmarkStart w:id="63" w:name="allegati-allavvio"/>
      <w:r>
        <w:t xml:space="preserve">Allegati all’avvio</w:t>
      </w:r>
      <w:bookmarkEnd w:id="61"/>
    </w:p>
    <w:p>
      <w:pPr>
        <w:pStyle w:val="TestomanualeCSW1"/>
      </w:pPr>
      <w:r>
        <w:t xml:space="preserve">Ogni elemento di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 </w:t>
      </w:r>
      <w:r>
        <w:t xml:space="preserve">descrive un allegato: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fileName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 file.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content</w:t>
            </w:r>
          </w:p>
        </w:tc>
        <w:tc>
          <w:p>
            <w:pPr>
              <w:pStyle w:val="TestomanualeCSW1"/>
              <w:jc w:val="left"/>
            </w:pPr>
            <w:r>
              <w:t xml:space="preserve">Contenuto del file codificato in base64.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</w:t>
            </w:r>
          </w:p>
        </w:tc>
        <w:tc>
          <w:p>
            <w:pPr>
              <w:pStyle w:val="TestomanualeCSW1"/>
              <w:jc w:val="left"/>
            </w:pPr>
            <w:r>
              <w:t xml:space="preserve">Cartella allegati del processo in cui inserire il file. È una cartella virtuale di BPM, non una cartella del file system.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group</w:t>
            </w:r>
          </w:p>
        </w:tc>
        <w:tc>
          <w:p>
            <w:pPr>
              <w:pStyle w:val="TestomanualeCSW1"/>
              <w:jc w:val="left"/>
            </w:pPr>
            <w:r>
              <w:t xml:space="preserve">Gruppo di allegato, tra i valori previsti nelle tabelle di BPM.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isEmail</w:t>
            </w:r>
          </w:p>
        </w:tc>
        <w:tc>
          <w:p>
            <w:pPr>
              <w:pStyle w:val="TestomanualeCSW1"/>
              <w:jc w:val="left"/>
            </w:pPr>
            <w:r>
              <w:t xml:space="preserve">Se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il file è un messaggio email: BPM ne estrae oggetto, mittente e le altre informazioni e le conserva per eventuali elaborazioni.</w:t>
            </w:r>
          </w:p>
        </w:tc>
      </w:tr>
    </w:tbl>
    <w:p>
      <w:pPr>
        <w:pStyle w:val="TestomanualeCSW1"/>
        <w:spacing w:before="160"/>
      </w:pPr>
      <w:r>
        <w:t xml:space="preserve">Vengono eseguite formule, validazioni, controlli di obbligatorietà e script collegati all’avvio, e viene verificato che l’utente possa avviare il processo da quello start.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"P004A.19.1"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rPr>
          <w:rStyle w:val="VerbatimChar"/>
        </w:rPr>
        <w:t xml:space="preserve">documentName</w:t>
      </w:r>
      <w:r>
        <w:t xml:space="preserve"> </w:t>
      </w:r>
      <w:r>
        <w:t xml:space="preserve">è il nome dell’istanza creata, univoco all’interno del modello. Conserva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 </w:t>
      </w:r>
      <w:r>
        <w:t xml:space="preserve">per le chiamate successive.</w:t>
      </w:r>
    </w:p>
    <w:p>
      <w:pPr>
        <w:pStyle w:val="TestomanualeCSW1"/>
      </w:pPr>
      <w:r>
        <w:t xml:space="preserve">Se il modello calcola un nome già esistente, la creazione fallisce:</w:t>
      </w:r>
      <w:r>
        <w:t xml:space="preserve"> </w:t>
      </w:r>
      <w:r>
        <w:rPr>
          <w:rStyle w:val="VerbatimChar"/>
        </w:rPr>
        <w:t xml:space="preserve">isDuplicate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duplicateDocumentName</w:t>
      </w:r>
      <w:r>
        <w:t xml:space="preserve"> </w:t>
      </w:r>
      <w:r>
        <w:t xml:space="preserve">contiene il nome dell’istanza esistente.</w:t>
      </w:r>
    </w:p>
    <w:p>
      <w:pPr>
        <w:pStyle w:val="Heading4"/>
      </w:pPr>
      <w:bookmarkStart w:id="64" w:name="getprocess"/>
      <w:r>
        <w:t xml:space="preserve">GetProcess</w:t>
      </w:r>
      <w:bookmarkEnd w:id="62"/>
    </w:p>
    <w:p>
      <w:pPr>
        <w:pStyle w:val="TestomanualeCSW1"/>
      </w:pPr>
      <w:r>
        <w:t xml:space="preserve">Restituisce lo stato di avanzamento di un’istanza e, a richiesta, le sue variabili.</w:t>
      </w:r>
    </w:p>
    <w:p>
      <w:pPr>
        <w:pStyle w:val="TestomanualeCSW1"/>
      </w:pPr>
      <w:r>
        <w:rPr>
          <w:rStyle w:val="VerbatimChar"/>
        </w:rPr>
        <w:t xml:space="preserve">POST /api/ext/GetProcess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"P004A.19.1"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"includeVariables"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rPr>
          <w:rStyle w:val="VerbatimChar"/>
        </w:rPr>
        <w:t xml:space="preserve">includeVariables</w:t>
      </w:r>
      <w:r>
        <w:t xml:space="preserve"> </w:t>
      </w:r>
      <w:r>
        <w:t xml:space="preserve">stabilisce quali variabili riportare nella risposta:</w:t>
      </w:r>
    </w:p>
    <w:p>
      <w:pPr>
        <w:pStyle w:val="TestomanualeCSW1"/>
        <w:numPr>
          <w:ilvl w:val="0"/>
          <w:numId w:val="47"/>
        </w:numPr>
      </w:pPr>
      <w:r>
        <w:rPr>
          <w:rStyle w:val="VerbatimChar"/>
        </w:rPr>
        <w:t xml:space="preserve">["*"]</w:t>
      </w:r>
      <w:r>
        <w:t xml:space="preserve"> </w:t>
      </w:r>
      <w:r>
        <w:t xml:space="preserve">oppure lista vuota: tutte le variabili;</w:t>
      </w:r>
    </w:p>
    <w:p>
      <w:pPr>
        <w:pStyle w:val="TestomanualeCSW1"/>
        <w:numPr>
          <w:ilvl w:val="0"/>
          <w:numId w:val="47"/>
        </w:numPr>
      </w:pPr>
      <w:r>
        <w:t xml:space="preserve">uno o più nomi: solo le variabili indicate.</w:t>
      </w:r>
    </w:p>
    <w:p>
      <w:pPr>
        <w:pStyle w:val="TestomanualeCSW1"/>
      </w:pPr>
      <w:r>
        <w:t xml:space="preserve">Con</w:t>
      </w:r>
      <w:r>
        <w:t xml:space="preserve"> </w:t>
      </w:r>
      <w:r>
        <w:rPr>
          <w:rStyle w:val="VerbatimChar"/>
        </w:rPr>
        <w:t xml:space="preserve">includeGraph: true</w:t>
      </w:r>
      <w:r>
        <w:t xml:space="preserve"> </w:t>
      </w:r>
      <w:r>
        <w:t xml:space="preserve">la risposta contiene anche l’immagine del diagramma, con i colori di avanzamento: la stessa che vede l’utente in BPM. Un’applicazione esterna può usarla per mostrare ai propri utenti a che punto è il flusso.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"RECLAMO"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"2/2026"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"667cedef-4562-…"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"PRESO IN CARICO"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 APERTURA"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"2026-03-16T00:00:00+01:00"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 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"&lt;p&gt;Da valutare&lt;/p&gt;"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 valutare"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"ATTIVITA"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"DESCRIZIONE"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"Verifica del lotto"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"SCADENZA"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"20/03/2026"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"activeTasks"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"Activity5"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"ORDINE DI SOSTITUZIONE"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"DIRTEC"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"Activity1"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"PRESA IN CARICO"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"executionCount"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"Activity5"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"ORDINE DI SOSTITUZIONE"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"processState"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t xml:space="preserve">Come si leggono le variabili:</w:t>
      </w:r>
    </w:p>
    <w:p>
      <w:pPr>
        <w:pStyle w:val="TestomanualeCSW1"/>
        <w:numPr>
          <w:ilvl w:val="0"/>
          <w:numId w:val="48"/>
        </w:numPr>
      </w:pPr>
      <w:r>
        <w:rPr>
          <w:b/>
        </w:rPr>
        <w:t xml:space="preserve">numeri</w:t>
      </w:r>
      <w:r>
        <w:t xml:space="preserve">: sempre in formato decimale (</w:t>
      </w:r>
      <w:r>
        <w:rPr>
          <w:rStyle w:val="VerbatimChar"/>
        </w:rPr>
        <w:t xml:space="preserve">2026.0</w:t>
      </w:r>
      <w:r>
        <w:t xml:space="preserve">);</w:t>
      </w:r>
    </w:p>
    <w:p>
      <w:pPr>
        <w:pStyle w:val="TestomanualeCSW1"/>
        <w:numPr>
          <w:ilvl w:val="0"/>
          <w:numId w:val="48"/>
        </w:numPr>
      </w:pPr>
      <w:r>
        <w:rPr>
          <w:b/>
        </w:rPr>
        <w:t xml:space="preserve">date</w:t>
      </w:r>
      <w:r>
        <w:t xml:space="preserve">: formato ISO con fuso orario (</w:t>
      </w:r>
      <w:r>
        <w:rPr>
          <w:rStyle w:val="VerbatimChar"/>
        </w:rPr>
        <w:t xml:space="preserve">2026-03-16T00:00:00+01:00</w:t>
      </w:r>
      <w:r>
        <w:t xml:space="preserve">);</w:t>
      </w:r>
    </w:p>
    <w:p>
      <w:pPr>
        <w:pStyle w:val="TestomanualeCSW1"/>
        <w:numPr>
          <w:ilvl w:val="0"/>
          <w:numId w:val="48"/>
        </w:numPr>
      </w:pPr>
      <w:r>
        <w:rPr>
          <w:b/>
        </w:rPr>
        <w:t xml:space="preserve">booleani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</w:t>
      </w:r>
    </w:p>
    <w:p>
      <w:pPr>
        <w:pStyle w:val="TestomanualeCSW1"/>
        <w:numPr>
          <w:ilvl w:val="0"/>
          <w:numId w:val="48"/>
        </w:numPr>
      </w:pPr>
      <w:r>
        <w:rPr>
          <w:b/>
        </w:rPr>
        <w:t xml:space="preserve">testo esteso (Memo)</w:t>
      </w:r>
      <w:r>
        <w:t xml:space="preserve">: oggetto con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il testo semplice, 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la versione formattata;</w:t>
      </w:r>
    </w:p>
    <w:p>
      <w:pPr>
        <w:pStyle w:val="TestomanualeCSW1"/>
        <w:numPr>
          <w:ilvl w:val="0"/>
          <w:numId w:val="48"/>
        </w:numPr>
      </w:pPr>
      <w:r>
        <w:rPr>
          <w:b/>
        </w:rPr>
        <w:t xml:space="preserve">gruppi</w:t>
      </w:r>
      <w:r>
        <w:t xml:space="preserve">: array con una riga per elemento.</w:t>
      </w:r>
    </w:p>
    <w:p>
      <w:pPr>
        <w:pStyle w:val="TestomanualeCSW1"/>
      </w:pPr>
      <w:r>
        <w:t xml:space="preserve">Come si legge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: una voce per ogni oggetto del diagramma (attività, stati, gateway, operazioni), identificata dal nome interno.</w:t>
      </w:r>
    </w:p>
    <w:p>
      <w:pPr>
        <w:pStyle w:val="TestomanualeCSW1"/>
        <w:numPr>
          <w:ilvl w:val="0"/>
          <w:numId w:val="49"/>
        </w:numPr>
      </w:pP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(non ancora raggiunto),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(in corso),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(completato);</w:t>
      </w:r>
    </w:p>
    <w:p>
      <w:pPr>
        <w:pStyle w:val="TestomanualeCSW1"/>
        <w:numPr>
          <w:ilvl w:val="0"/>
          <w:numId w:val="49"/>
        </w:numPr>
      </w:pPr>
      <w:r>
        <w:rPr>
          <w:rStyle w:val="VerbatimChar"/>
        </w:rPr>
        <w:t xml:space="preserve">executionCount</w:t>
      </w:r>
      <w:r>
        <w:t xml:space="preserve">: quante volte l’oggetto è stato eseguito;</w:t>
      </w:r>
    </w:p>
    <w:p>
      <w:pPr>
        <w:pStyle w:val="TestomanualeCSW1"/>
        <w:numPr>
          <w:ilvl w:val="0"/>
          <w:numId w:val="49"/>
        </w:numPr>
      </w:pPr>
      <w:r>
        <w:rPr>
          <w:rStyle w:val="VerbatimChar"/>
        </w:rPr>
        <w:t xml:space="preserve">assignedUsers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ccUsers</w:t>
      </w:r>
      <w:r>
        <w:t xml:space="preserve">: assegnatari e utenti in copia;</w:t>
      </w:r>
    </w:p>
    <w:p>
      <w:pPr>
        <w:pStyle w:val="TestomanualeCSW1"/>
        <w:numPr>
          <w:ilvl w:val="0"/>
          <w:numId w:val="49"/>
        </w:numPr>
      </w:pPr>
      <w:r>
        <w:t xml:space="preserve">date e durate di pianificazione: prevista (</w:t>
      </w:r>
      <w:r>
        <w:rPr>
          <w:rStyle w:val="VerbatimChar"/>
        </w:rPr>
        <w:t xml:space="preserve">…Plan</w:t>
      </w:r>
      <w:r>
        <w:t xml:space="preserve">), aggiornata (</w:t>
      </w:r>
      <w:r>
        <w:rPr>
          <w:rStyle w:val="VerbatimChar"/>
        </w:rPr>
        <w:t xml:space="preserve">…Upd</w:t>
      </w:r>
      <w:r>
        <w:t xml:space="preserve">) ed effettiva (</w:t>
      </w:r>
      <w:r>
        <w:rPr>
          <w:rStyle w:val="VerbatimChar"/>
        </w:rPr>
        <w:t xml:space="preserve">…Actual</w:t>
      </w:r>
      <w:r>
        <w:t xml:space="preserve">);</w:t>
      </w:r>
    </w:p>
    <w:p>
      <w:pPr>
        <w:pStyle w:val="TestomanualeCSW1"/>
        <w:numPr>
          <w:ilvl w:val="0"/>
          <w:numId w:val="49"/>
        </w:numPr>
      </w:pPr>
      <w:r>
        <w:rPr>
          <w:rStyle w:val="VerbatimChar"/>
        </w:rPr>
        <w:t xml:space="preserve">operations</w:t>
      </w:r>
      <w:r>
        <w:t xml:space="preserve">: per le operazioni automatiche, se sono state eseguite, quando, da quale utente ed eventuale errore (</w:t>
      </w:r>
      <w:r>
        <w:rPr>
          <w:rStyle w:val="VerbatimChar"/>
        </w:rPr>
        <w:t xml:space="preserve">errorText</w:t>
      </w:r>
      <w:r>
        <w:t xml:space="preserve">).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documentName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instanceId</w:t>
            </w:r>
          </w:p>
        </w:tc>
        <w:tc>
          <w:p>
            <w:pPr>
              <w:pStyle w:val="TestomanualeCSW1"/>
              <w:jc w:val="left"/>
            </w:pPr>
            <w:r>
              <w:t xml:space="preserve">Identificazione dell’istanza.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documentText</w:t>
            </w:r>
          </w:p>
        </w:tc>
        <w:tc>
          <w:p>
            <w:pPr>
              <w:pStyle w:val="TestomanualeCSW1"/>
              <w:jc w:val="left"/>
            </w:pPr>
            <w:r>
              <w:t xml:space="preserve">Testo descrittivo dell’istanza.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Stato corrente del processo.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Le variabili richieste. I gruppi sono restituiti come array di righe. Vedi anche i</w:t>
            </w:r>
            <w:r>
              <w:t xml:space="preserve"> </w:t>
            </w:r>
            <w:hyperlink w:anchor="campi-generali">
              <w:r>
                <w:rPr>
                  <w:rStyle w:val="Hyperlink"/>
                </w:rPr>
                <w:t xml:space="preserve">campi generali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activeTasks</w:t>
            </w:r>
          </w:p>
        </w:tc>
        <w:tc>
          <w:p>
            <w:pPr>
              <w:pStyle w:val="TestomanualeCSW1"/>
              <w:jc w:val="left"/>
            </w:pPr>
            <w:r>
              <w:t xml:space="preserve">Le attività attive: nome interno (</w:t>
            </w:r>
            <w:r>
              <w:rPr>
                <w:rStyle w:val="VerbatimChar"/>
              </w:rPr>
              <w:t xml:space="preserve">activity</w:t>
            </w:r>
            <w:r>
              <w:t xml:space="preserve">), descrizione, assegnatari in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(separati da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 e in</w:t>
            </w:r>
            <w:r>
              <w:t xml:space="preserve"> </w:t>
            </w:r>
            <w:r>
              <w:rPr>
                <w:rStyle w:val="VerbatimChar"/>
              </w:rPr>
              <w:t xml:space="preserve">assignedUsers</w:t>
            </w:r>
            <w:r>
              <w:t xml:space="preserve">, con gli eventuali alias dell’applicazione esterna.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links</w:t>
            </w:r>
          </w:p>
        </w:tc>
        <w:tc>
          <w:p>
            <w:pPr>
              <w:pStyle w:val="TestomanualeCSW1"/>
              <w:jc w:val="left"/>
            </w:pPr>
            <w:r>
              <w:t xml:space="preserve">Le istanze collegate.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tasks</w:t>
            </w:r>
          </w:p>
        </w:tc>
        <w:tc>
          <w:p>
            <w:pPr>
              <w:pStyle w:val="TestomanualeCSW1"/>
              <w:jc w:val="left"/>
            </w:pPr>
            <w:r>
              <w:t xml:space="preserve">Lo stato di tutte le attività del processo, una voce per attività con il suo nome interno.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processState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Dettagli operativi sull’avanzamento generale del processo.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graph</w:t>
            </w:r>
          </w:p>
        </w:tc>
        <w:tc>
          <w:p>
            <w:pPr>
              <w:pStyle w:val="TestomanualeCSW1"/>
              <w:jc w:val="left"/>
            </w:pPr>
            <w:r>
              <w:t xml:space="preserve">Solo con</w:t>
            </w:r>
            <w:r>
              <w:t xml:space="preserve"> </w:t>
            </w:r>
            <w:r>
              <w:rPr>
                <w:rStyle w:val="VerbatimChar"/>
              </w:rPr>
              <w:t xml:space="preserve">includeGraph</w:t>
            </w:r>
            <w:r>
              <w:t xml:space="preserve">: immagine PNG del diagramma, codificata in base64.</w:t>
            </w:r>
          </w:p>
        </w:tc>
      </w:tr>
    </w:tbl>
    <w:p>
      <w:pPr>
        <w:pStyle w:val="TestomanualeCSW1"/>
        <w:spacing w:before="160"/>
      </w:pPr>
      <w:r>
        <w:t xml:space="preserve">Viene sempre verificato che l’utente abbia il diritto di accedere ai dati richiesti.</w:t>
      </w:r>
    </w:p>
    <w:p>
      <w:pPr>
        <w:pStyle w:val="Heading4"/>
      </w:pPr>
      <w:bookmarkStart w:id="65" w:name="updateprocess"/>
      <w:r>
        <w:t xml:space="preserve">UpdateProcess</w:t>
      </w:r>
      <w:bookmarkEnd w:id="63"/>
    </w:p>
    <w:p>
      <w:pPr>
        <w:pStyle w:val="TestomanualeCSW1"/>
      </w:pPr>
      <w:r>
        <w:t xml:space="preserve">Modifica le variabili di un’istanza esistente e, facoltativamente, ne forza lo stato.</w:t>
      </w:r>
    </w:p>
    <w:p>
      <w:pPr>
        <w:pStyle w:val="TestomanualeCSW1"/>
      </w:pPr>
      <w:r>
        <w:rPr>
          <w:rStyle w:val="VerbatimChar"/>
        </w:rPr>
        <w:t xml:space="preserve">POST /api/ext/UpdateProcess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"Importo"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"resetGroups"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"Righe"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Variabili da modificare.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resetGroups</w:t>
            </w:r>
          </w:p>
        </w:tc>
        <w:tc>
          <w:p>
            <w:pPr>
              <w:pStyle w:val="TestomanualeCSW1"/>
              <w:jc w:val="left"/>
            </w:pPr>
            <w:r>
              <w:t xml:space="preserve">Gruppi da svuotare prima di scrivere le nuove righe passate in</w:t>
            </w:r>
            <w:r>
              <w:t xml:space="preserve"> </w:t>
            </w:r>
            <w:r>
              <w:rPr>
                <w:rStyle w:val="VerbatimChar"/>
              </w:rPr>
              <w:t xml:space="preserve">variables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Stato da impostare. Vuoto per non cambiare lo stato.</w:t>
            </w:r>
          </w:p>
        </w:tc>
      </w:tr>
    </w:tbl>
    <w:p>
      <w:pPr>
        <w:pStyle w:val="TestomanualeCSW1"/>
        <w:spacing w:before="160"/>
      </w:pPr>
      <w:r>
        <w:t xml:space="preserve">Viene verificato che l’utente abbia il diritto di modificare le variabili e di cambiare stato. Per lo stato, il controllo dipende da come lo stato è raggiungibile: cambio di stato libero oppure secondo il flusso del processo.</w:t>
      </w:r>
    </w:p>
    <w:p>
      <w:pPr>
        <w:pStyle w:val="Heading4"/>
      </w:pPr>
      <w:bookmarkStart w:id="66" w:name="deleteprocess"/>
      <w:r>
        <w:t xml:space="preserve">DeleteProcess</w:t>
      </w:r>
      <w:bookmarkEnd w:id="64"/>
    </w:p>
    <w:p>
      <w:pPr>
        <w:pStyle w:val="TestomanualeCSW1"/>
      </w:pPr>
      <w:r>
        <w:t xml:space="preserve">Elimina un’istanza di processo, identificata da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oppure da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.</w:t>
      </w:r>
    </w:p>
    <w:p>
      <w:pPr>
        <w:pStyle w:val="TestomanualeCSW1"/>
      </w:pPr>
      <w:r>
        <w:rPr>
          <w:rStyle w:val="VerbatimChar"/>
        </w:rPr>
        <w:t xml:space="preserve">POST /api/ext/DeleteProcess</w:t>
      </w:r>
    </w:p>
    <w:p>
      <w:pPr>
        <w:pStyle w:val="TestomanualeCSW1"/>
      </w:pPr>
      <w:r>
        <w:t xml:space="preserve">L’eliminazione è completa: vengono rimossi l’istanza, le sue attività nella To-Do List, gli allegati e le variabili. Come per ogni chiamata, valgono i diritti dell’utente indicato: può eliminare un amministratore o un utente autorizzato a eliminare le istanze del modello.</w:t>
      </w:r>
    </w:p>
    <w:p>
      <w:pPr>
        <w:pStyle w:val="TestomanualeCSW1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Heading4"/>
      </w:pPr>
      <w:bookmarkStart w:id="67" w:name="uploadattachment"/>
      <w:r>
        <w:t xml:space="preserve">UploadAttachment</w:t>
      </w:r>
      <w:bookmarkEnd w:id="65"/>
    </w:p>
    <w:p>
      <w:pPr>
        <w:pStyle w:val="TestomanualeCSW1"/>
      </w:pPr>
      <w:r>
        <w:t xml:space="preserve">Inserisce un allegato in un’istanza di processo, oppure aggiorna un allegato esistente.</w:t>
      </w:r>
    </w:p>
    <w:p>
      <w:pPr>
        <w:pStyle w:val="TestomanualeCSW1"/>
      </w:pPr>
      <w:r>
        <w:rPr>
          <w:rStyle w:val="VerbatimChar"/>
        </w:rPr>
        <w:t xml:space="preserve">POST /api/ext/UploadAttachment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"Contratto 123.pdf"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"Contratto firmato"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"ALLEGATI"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</w:t>
      </w:r>
      <w:r>
        <w:rPr>
          <w:rStyle w:val="StringTok"/>
        </w:rPr>
        <w:t xml:space="preserve">Documenti Amministrativi"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"&lt;contenuto-in-base64&gt;"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…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t xml:space="preserve">La combinazione di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identifica l’allegato: se esiste già viene aggiornato, altrimenti viene creato. In aggiornamento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può restare vuoto, per modificare solo descrizione, gruppo, tipo o variabili.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fileDescription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e descrizione registrati in BPM.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p>
            <w:pPr>
              <w:pStyle w:val="TestomanualeCSW1"/>
              <w:jc w:val="left"/>
            </w:pPr>
            <w:r>
              <w:t xml:space="preserve">Percorso di archiviazione all’interno del processo. Valgono sia per gli allegati salvati su database sia per quelli su file system.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p>
            <w:pPr>
              <w:pStyle w:val="TestomanualeCSW1"/>
              <w:jc w:val="left"/>
            </w:pPr>
            <w:r>
              <w:t xml:space="preserve">Gruppo e tipo di allegato, facoltativi, tra i valori previsti nelle tabelle di BPM.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revision</w:t>
            </w:r>
          </w:p>
        </w:tc>
        <w:tc>
          <w:p>
            <w:pPr>
              <w:pStyle w:val="TestomanualeCSW1"/>
              <w:jc w:val="left"/>
            </w:pPr>
            <w:r>
              <w:t xml:space="preserve">Revisione dell’allegato, se necessaria.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Vuoto: allegato attivo e modificabile.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: approvato, non più modificabile.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: obsoleto, non più modificabile.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Variabili</w:t>
            </w:r>
            <w:r>
              <w:t xml:space="preserve"> </w:t>
            </w:r>
            <w:r>
              <w:rPr>
                <w:b/>
              </w:rPr>
              <w:t xml:space="preserve">dell’allegato</w:t>
            </w:r>
            <w:r>
              <w:t xml:space="preserve">, non del processo.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content</w:t>
            </w:r>
          </w:p>
        </w:tc>
        <w:tc>
          <w:p>
            <w:pPr>
              <w:pStyle w:val="TestomanualeCSW1"/>
              <w:jc w:val="left"/>
            </w:pPr>
            <w:r>
              <w:t xml:space="preserve">Contenuto del file codificato in base64.</w:t>
            </w:r>
          </w:p>
        </w:tc>
      </w:tr>
    </w:tbl>
    <w:p>
      <w:pPr>
        <w:pStyle w:val="TestomanualeCSW1"/>
        <w:spacing w:before="160"/>
      </w:pPr>
      <w:r>
        <w:t xml:space="preserve">In alternativa a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il contenuto si può fornire con</w:t>
      </w:r>
      <w:r>
        <w:t xml:space="preserve"> </w:t>
      </w:r>
      <w:r>
        <w:rPr>
          <w:rStyle w:val="VerbatimChar"/>
        </w:rPr>
        <w:t xml:space="preserve">sourceType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filePathSource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base64Source</w:t>
      </w:r>
      <w:r>
        <w:t xml:space="preserve">: vedi</w:t>
      </w:r>
      <w:r>
        <w:t xml:space="preserve"> </w:t>
      </w:r>
      <w:hyperlink w:anchor="contenuto-del-documento">
        <w:r>
          <w:rPr>
            <w:rStyle w:val="Hyperlink"/>
          </w:rPr>
          <w:t xml:space="preserve">Documenti e dossier</w:t>
        </w:r>
      </w:hyperlink>
      <w:r>
        <w:t xml:space="preserve">.</w:t>
      </w:r>
    </w:p>
    <w:p>
      <w:pPr>
        <w:pStyle w:val="Heading4"/>
      </w:pPr>
      <w:bookmarkStart w:id="68" w:name="addlink"/>
      <w:r>
        <w:t xml:space="preserve">AddLink</w:t>
      </w:r>
      <w:bookmarkEnd w:id="66"/>
    </w:p>
    <w:p>
      <w:pPr>
        <w:pStyle w:val="TestomanualeCSW1"/>
      </w:pPr>
      <w:r>
        <w:t xml:space="preserve">Collega due istanze di processo.</w:t>
      </w:r>
    </w:p>
    <w:p>
      <w:pPr>
        <w:pStyle w:val="TestomanualeCSW1"/>
      </w:pPr>
      <w:r>
        <w:rPr>
          <w:rStyle w:val="VerbatimChar"/>
        </w:rPr>
        <w:t xml:space="preserve">POST /api/ext/AddLink</w:t>
      </w:r>
    </w:p>
    <w:p>
      <w:pPr>
        <w:pStyle w:val="TestomanualeCSW1"/>
      </w:pPr>
      <w:r>
        <w:t xml:space="preserve">Ciascuna delle due istanze si identifica con l’id oppure con modello e nome, in qualunque combinazione: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instanceId</w:t>
            </w:r>
            <w:r>
              <w:t xml:space="preserve"> </w:t>
            </w:r>
            <w:r>
              <w:t xml:space="preserve">oppure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documentName</w:t>
            </w:r>
          </w:p>
        </w:tc>
        <w:tc>
          <w:p>
            <w:pPr>
              <w:pStyle w:val="TestomanualeCSW1"/>
              <w:jc w:val="left"/>
            </w:pPr>
            <w:r>
              <w:t xml:space="preserve">L’istanza di partenza.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linkedInstanceId</w:t>
            </w:r>
            <w:r>
              <w:t xml:space="preserve"> </w:t>
            </w:r>
            <w:r>
              <w:t xml:space="preserve">oppure</w:t>
            </w:r>
            <w:r>
              <w:t xml:space="preserve"> </w:t>
            </w:r>
            <w:r>
              <w:rPr>
                <w:rStyle w:val="VerbatimChar"/>
              </w:rPr>
              <w:t xml:space="preserve">linkedModel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linkedDocumentName</w:t>
            </w:r>
          </w:p>
        </w:tc>
        <w:tc>
          <w:p>
            <w:pPr>
              <w:pStyle w:val="TestomanualeCSW1"/>
              <w:jc w:val="left"/>
            </w:pPr>
            <w:r>
              <w:t xml:space="preserve">L’istanza da collegare.</w:t>
            </w:r>
          </w:p>
        </w:tc>
      </w:tr>
    </w:tbl>
    <w:p>
      <w:pPr>
        <w:pStyle w:val="TestomanualeCSW1"/>
        <w:spacing w:before="160"/>
      </w:pPr>
      <w:r>
        <w:t xml:space="preserve">L’utente deve essere amministratore oppure avere, sul modello dell’istanza di partenza, il diritto di aggiungere istanze collegate.</w:t>
      </w:r>
    </w:p>
    <w:p>
      <w:pPr>
        <w:pStyle w:val="TestomanualeCSW1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Heading4"/>
      </w:pPr>
      <w:bookmarkStart w:id="69" w:name="processmodels"/>
      <w:r>
        <w:t xml:space="preserve">ProcessModels</w:t>
      </w:r>
      <w:bookmarkEnd w:id="67"/>
    </w:p>
    <w:p>
      <w:pPr>
        <w:pStyle w:val="TestomanualeCSW1"/>
      </w:pPr>
      <w:r>
        <w:t xml:space="preserve">Restituisce l’elenco dei modelli di processo configurati e attivi. Richiede solo le credenziali.</w:t>
      </w:r>
    </w:p>
    <w:p>
      <w:pPr>
        <w:pStyle w:val="TestomanualeCSW1"/>
      </w:pPr>
      <w:r>
        <w:rPr>
          <w:rStyle w:val="VerbatimChar"/>
        </w:rPr>
        <w:t xml:space="preserve">POST /api/ext/ProcessModels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dei contratti di vendita"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"RICHIESTA INV"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"Richiesta di autorizzazione investimento"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TestomanualeCSW1"/>
      </w:pPr>
      <w:r>
        <w:t xml:space="preserve">La risposta è direttamente l’elenco, senza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 Se la chiave API non è valida, la chiamata restituisce il codice HTTP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.</w:t>
      </w:r>
    </w:p>
    <w:p>
      <w:pPr>
        <w:pStyle w:val="TestomanualeCSW1"/>
      </w:pPr>
      <w:r>
        <w:t xml:space="preserve">Per l’elenco delle classi documentali vedi</w:t>
      </w:r>
      <w:r>
        <w:t xml:space="preserve"> </w:t>
      </w:r>
      <w:hyperlink w:anchor="documentsets">
        <w:r>
          <w:rPr>
            <w:rStyle w:val="Hyperlink"/>
          </w:rPr>
          <w:t xml:space="preserve">DocumentSets</w:t>
        </w:r>
      </w:hyperlink>
      <w:r>
        <w:t xml:space="preserve">.</w:t>
      </w:r>
    </w:p>
    <w:p>
      <w:pPr>
        <w:pStyle w:val="Heading4"/>
      </w:pPr>
      <w:bookmarkStart w:id="70" w:name="getschema"/>
      <w:r>
        <w:t xml:space="preserve">GetSchema</w:t>
      </w:r>
      <w:bookmarkEnd w:id="68"/>
    </w:p>
    <w:p>
      <w:pPr>
        <w:pStyle w:val="TestomanualeCSW1"/>
      </w:pPr>
      <w:r>
        <w:t xml:space="preserve">Restituisce la descrizione delle variabili richieste per avviare un processo o per eseguire un’attività. È utile per costruire dinamicamente la maschera di un’applicazione esterna.</w:t>
      </w:r>
    </w:p>
    <w:p>
      <w:pPr>
        <w:pStyle w:val="TestomanualeCSW1"/>
      </w:pPr>
      <w:r>
        <w:t xml:space="preserve">Richiede solo la chiave API: la descrizione non dipende dall’utente.</w:t>
      </w:r>
    </w:p>
    <w:p>
      <w:pPr>
        <w:pStyle w:val="TestomanualeCSW1"/>
      </w:pPr>
      <w:r>
        <w:rPr>
          <w:rStyle w:val="VerbatimChar"/>
        </w:rPr>
        <w:t xml:space="preserve">POST /api/ext/GetSchema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"INTERVENTI PARCO 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"start1"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"INTERVENTI PARCO 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"TARGA MEZZO"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"variableType"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"StringType"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"RICHIEDENTE"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"variableType"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"UserType"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"propertyName"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"INTERVENTI"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"PREZZO"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"variableType"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"NumericType"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Attributo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propertyName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della variabile.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propertyType</w:t>
            </w:r>
          </w:p>
        </w:tc>
        <w:tc>
          <w:p>
            <w:pPr>
              <w:pStyle w:val="TestomanualeCSW1"/>
              <w:jc w:val="left"/>
            </w:pPr>
            <w:r>
              <w:t xml:space="preserve">Tipo JSON: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array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variableType</w:t>
            </w:r>
          </w:p>
        </w:tc>
        <w:tc>
          <w:p>
            <w:pPr>
              <w:pStyle w:val="TestomanualeCSW1"/>
              <w:jc w:val="left"/>
            </w:pPr>
            <w:r>
              <w:t xml:space="preserve">Tipo della variabile in BPM (per esempio</w:t>
            </w:r>
            <w:r>
              <w:t xml:space="preserve"> </w:t>
            </w:r>
            <w:r>
              <w:rPr>
                <w:rStyle w:val="VerbatimChar"/>
              </w:rPr>
              <w:t xml:space="preserve">StringType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NumericType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ValueListType</w:t>
            </w:r>
            <w:r>
              <w:t xml:space="preserve">).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required</w:t>
            </w:r>
          </w:p>
        </w:tc>
        <w:tc>
          <w:p>
            <w:pPr>
              <w:pStyle w:val="TestomanualeCSW1"/>
              <w:jc w:val="left"/>
            </w:pPr>
            <w:r>
              <w:t xml:space="preserve">La variabile è obbligatoria.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readOnly</w:t>
            </w:r>
          </w:p>
        </w:tc>
        <w:tc>
          <w:p>
            <w:pPr>
              <w:pStyle w:val="TestomanualeCSW1"/>
              <w:jc w:val="left"/>
            </w:pPr>
            <w:r>
              <w:t xml:space="preserve">La variabile è visualizzata ma non modificabile nell’attività: valorizzata in un passaggio precedente o calcolata.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hasDefault</w:t>
            </w:r>
          </w:p>
        </w:tc>
        <w:tc>
          <w:p>
            <w:pPr>
              <w:pStyle w:val="TestomanualeCSW1"/>
              <w:jc w:val="left"/>
            </w:pPr>
            <w:r>
              <w:t xml:space="preserve">Esiste una formula di default: se la variabile non viene passata, si usa il default.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p>
            <w:pPr>
              <w:pStyle w:val="TestomanualeCSW1"/>
              <w:jc w:val="left"/>
            </w:pPr>
            <w:r>
              <w:t xml:space="preserve">Descrizione della variabile come appare nell’attività.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availableValues</w:t>
            </w:r>
          </w:p>
        </w:tc>
        <w:tc>
          <w:p>
            <w:pPr>
              <w:pStyle w:val="TestomanualeCSW1"/>
              <w:jc w:val="left"/>
            </w:pPr>
            <w:r>
              <w:t xml:space="preserve">Per le liste valori, i valori ammessi.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subProperties</w:t>
            </w:r>
          </w:p>
        </w:tc>
        <w:tc>
          <w:p>
            <w:pPr>
              <w:pStyle w:val="TestomanualeCSW1"/>
              <w:jc w:val="left"/>
            </w:pPr>
            <w:r>
              <w:t xml:space="preserve">Per i gruppi (</w:t>
            </w:r>
            <w:r>
              <w:rPr>
                <w:rStyle w:val="VerbatimChar"/>
              </w:rPr>
              <w:t xml:space="preserve">array</w:t>
            </w:r>
            <w:r>
              <w:t xml:space="preserve">), le variabili del gruppo.</w:t>
            </w:r>
          </w:p>
        </w:tc>
      </w:tr>
    </w:tbl>
    <w:p>
      <w:pPr>
        <w:pStyle w:val="Heading2"/>
      </w:pPr>
      <w:bookmarkStart w:id="71" w:name="attività-e-to-do-list"/>
      <w:r>
        <w:t xml:space="preserve">Attività e To-Do List</w:t>
      </w:r>
      <w:bookmarkEnd w:id="69"/>
    </w:p>
    <w:p>
      <w:pPr>
        <w:pStyle w:val="TestomanualeCSW1"/>
      </w:pPr>
      <w:r>
        <w:t xml:space="preserve">Chiamate per leggere la To-Do List di un utente, eseguire un’attività e modificarne assegnazione, priorità e date. Per le regole comuni vedi</w:t>
      </w:r>
      <w:r>
        <w:t xml:space="preserve"> </w:t>
      </w:r>
      <w:hyperlink w:anchor="api-standard">
        <w:r>
          <w:rPr>
            <w:rStyle w:val="Hyperlink"/>
          </w:rPr>
          <w:t xml:space="preserve">API standard</w:t>
        </w:r>
      </w:hyperlink>
      <w:r>
        <w:t xml:space="preserve">.</w:t>
      </w:r>
    </w:p>
    <w:p>
      <w:pPr>
        <w:pStyle w:val="Heading4"/>
      </w:pPr>
      <w:bookmarkStart w:id="72" w:name="gettodolist"/>
      <w:r>
        <w:t xml:space="preserve">GetTodolist</w:t>
      </w:r>
      <w:bookmarkEnd w:id="70"/>
    </w:p>
    <w:p>
      <w:pPr>
        <w:pStyle w:val="TestomanualeCSW1"/>
      </w:pPr>
      <w:r>
        <w:t xml:space="preserve">Restituisce la To-Do List di un utente: le attività visibili o eseguibili, secondo i filtri indicati.</w:t>
      </w:r>
    </w:p>
    <w:p>
      <w:pPr>
        <w:pStyle w:val="TestomanualeCSW1"/>
      </w:pPr>
      <w:r>
        <w:rPr>
          <w:rStyle w:val="VerbatimChar"/>
        </w:rPr>
        <w:t xml:space="preserve">POST /api/ext/GetTodolist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"filterByUser"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"Commerciali"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"filterByText"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"filterByPriority"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"includeCompleted"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"includePlanned"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"includeCC"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fromDate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</w:p>
        </w:tc>
        <w:tc>
          <w:p>
            <w:pPr>
              <w:pStyle w:val="TestomanualeCSW1"/>
              <w:jc w:val="left"/>
            </w:pPr>
            <w:r>
              <w:t xml:space="preserve">Intervallo di date. Se omesse, nessun limite pratico: dal 1980 a dieci anni nel futuro.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filterByUser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o gruppo di cui leggere le attività. Può essere anche un utente esterno, con la stessa struttura dell’</w:t>
            </w:r>
            <w:hyperlink w:anchor="Xa73024d45df56122a63c4fa9d705f5ba1178ca6">
              <w:r>
                <w:rPr>
                  <w:rStyle w:val="Hyperlink"/>
                </w:rPr>
                <w:t xml:space="preserve">oggetto authorization</w:t>
              </w:r>
            </w:hyperlink>
            <w:r>
              <w:t xml:space="preserve">, per esempio</w:t>
            </w:r>
            <w:r>
              <w:t xml:space="preserve"> </w:t>
            </w:r>
            <w:r>
              <w:rPr>
                <w:rStyle w:val="VerbatimChar"/>
              </w:rPr>
              <w:t xml:space="preserve">{ "samPortalUser": "14", "samPortalCompany": "A1" }</w:t>
            </w:r>
            <w:r>
              <w:t xml:space="preserve">. Se vuoto, vedi sotto.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filterByText</w:t>
            </w:r>
          </w:p>
        </w:tc>
        <w:tc>
          <w:p>
            <w:pPr>
              <w:pStyle w:val="TestomanualeCSW1"/>
              <w:jc w:val="left"/>
            </w:pPr>
            <w:r>
              <w:t xml:space="preserve">Filtro testuale.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filterByPriority</w:t>
            </w:r>
          </w:p>
        </w:tc>
        <w:tc>
          <w:p>
            <w:pPr>
              <w:pStyle w:val="TestomanualeCSW1"/>
              <w:jc w:val="left"/>
            </w:pPr>
            <w:r>
              <w:t xml:space="preserve">Filtro per priorità.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includeCompleted</w:t>
            </w:r>
          </w:p>
        </w:tc>
        <w:tc>
          <w:p>
            <w:pPr>
              <w:pStyle w:val="TestomanualeCSW1"/>
              <w:jc w:val="left"/>
            </w:pPr>
            <w:r>
              <w:t xml:space="preserve">Include le attività completate.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includePlanned</w:t>
            </w:r>
          </w:p>
        </w:tc>
        <w:tc>
          <w:p>
            <w:pPr>
              <w:pStyle w:val="TestomanualeCSW1"/>
              <w:jc w:val="left"/>
            </w:pPr>
            <w:r>
              <w:t xml:space="preserve">Include le attività pianificate, non ancora attive.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includeCC</w:t>
            </w:r>
          </w:p>
        </w:tc>
        <w:tc>
          <w:p>
            <w:pPr>
              <w:pStyle w:val="TestomanualeCSW1"/>
              <w:jc w:val="left"/>
            </w:pPr>
            <w:r>
              <w:t xml:space="preserve">Include le attività in cui l’utente è in copia.</w:t>
            </w:r>
          </w:p>
        </w:tc>
      </w:tr>
    </w:tbl>
    <w:p>
      <w:pPr>
        <w:pStyle w:val="TestomanualeCSW1"/>
        <w:spacing w:before="160"/>
      </w:pPr>
      <w:r>
        <w:t xml:space="preserve">Se</w:t>
      </w:r>
      <w:r>
        <w:t xml:space="preserve"> </w:t>
      </w:r>
      <w:r>
        <w:rPr>
          <w:rStyle w:val="VerbatimChar"/>
        </w:rPr>
        <w:t xml:space="preserve">filterByUser</w:t>
      </w:r>
      <w:r>
        <w:t xml:space="preserve"> </w:t>
      </w:r>
      <w:r>
        <w:t xml:space="preserve">è vuoto, la risposta contiene le attività dell’utente indicato nella richiesta, quelle degli utenti di cui può vedere la To-Do List e quelle non ancora assegnate. Per un amministratore contiene le attività di tutti gli utenti.</w:t>
      </w:r>
    </w:p>
    <w:p>
      <w:pPr>
        <w:pStyle w:val="TestomanualeCSW1"/>
      </w:pPr>
      <w:r>
        <w:t xml:space="preserve">Sono considerati solo i modelli attivi.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"todoList"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"activity12"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"FIRMARE ORDINE"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"P004A.19.1"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"samUser"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"processHeaders"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"Rossi S.p.A."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"https://&lt;indirizzo-bpm&gt;/todolist?…"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assignedUsers</w:t>
      </w:r>
      <w:r>
        <w:t xml:space="preserve">: gli assegnatari, ciascuno espresso come utente BPM e, se configurato un alias, come utente dell’applicazione esterna.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isCC</w:t>
      </w:r>
      <w:r>
        <w:t xml:space="preserve">: l’attività è in copia per l’utente.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oppure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.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(priorità da 1 a 3),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(da 4 a 7) oppure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(da 8 a 10).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processHeaders</w:t>
      </w:r>
      <w:r>
        <w:t xml:space="preserve">: le intestazioni del processo, cioè l’estratto di variabili che BPM mostra nella To-Do List, come elenco di coppie nome-valore. Presente solo se le intestazioni sono configurate.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processHeadersTable</w:t>
      </w:r>
      <w:r>
        <w:t xml:space="preserve">: le stesse intestazioni in forma tabellare,</w:t>
      </w:r>
      <w:r>
        <w:t xml:space="preserve"> </w:t>
      </w:r>
      <w:r>
        <w:rPr>
          <w:rStyle w:val="VerbatimChar"/>
        </w:rPr>
        <w:t xml:space="preserve">header1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header10</w:t>
      </w:r>
      <w:r>
        <w:t xml:space="preserve">, ciascuna con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</w:t>
      </w:r>
    </w:p>
    <w:p>
      <w:pPr>
        <w:pStyle w:val="TestomanualeCSW1"/>
        <w:numPr>
          <w:ilvl w:val="0"/>
          <w:numId w:val="50"/>
        </w:numPr>
      </w:pPr>
      <w:r>
        <w:rPr>
          <w:rStyle w:val="VerbatimChar"/>
        </w:rPr>
        <w:t xml:space="preserve">activityLink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processLink</w:t>
      </w:r>
      <w:r>
        <w:t xml:space="preserve">: collegamenti diretti all’attività e al processo nell’applicazione web, utili per aprire BPM da un’altra applicazione.</w:t>
      </w:r>
    </w:p>
    <w:p>
      <w:pPr>
        <w:pStyle w:val="Heading4"/>
      </w:pPr>
      <w:bookmarkStart w:id="73" w:name="getpagetodolist"/>
      <w:r>
        <w:t xml:space="preserve">GetPageTodoList</w:t>
      </w:r>
      <w:bookmarkEnd w:id="71"/>
    </w:p>
    <w:p>
      <w:pPr>
        <w:pStyle w:val="TestomanualeCSW1"/>
      </w:pPr>
      <w:r>
        <w:t xml:space="preserve">Come</w:t>
      </w:r>
      <w:r>
        <w:t xml:space="preserve"> </w:t>
      </w:r>
      <w:hyperlink w:anchor="gettodolist">
        <w:r>
          <w:rPr>
            <w:rStyle w:val="Hyperlink"/>
          </w:rPr>
          <w:t xml:space="preserve">GetTodolist</w:t>
        </w:r>
      </w:hyperlink>
      <w:r>
        <w:t xml:space="preserve">, ma restituisce i risultati una pagina alla volta. Ai filtri si aggiungono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 il numero di pagina a partire da</w:t>
      </w:r>
      <w:r>
        <w:t xml:space="preserve"> </w:t>
      </w:r>
      <w:r>
        <w:rPr>
          <w:rStyle w:val="VerbatimChar"/>
        </w:rPr>
        <w:t xml:space="preserve">1</w:t>
      </w:r>
      <w:r>
        <w:t xml:space="preserve">, 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 il numero di attività per pagina.</w:t>
      </w:r>
    </w:p>
    <w:p>
      <w:pPr>
        <w:pStyle w:val="TestomanualeCSW1"/>
      </w:pPr>
      <w:r>
        <w:rPr>
          <w:rStyle w:val="VerbatimChar"/>
        </w:rPr>
        <w:t xml:space="preserve">POST /api/ext/GetPageTodoList</w:t>
      </w:r>
    </w:p>
    <w:p>
      <w:pPr>
        <w:pStyle w:val="TestomanualeCSW1"/>
      </w:pPr>
      <w:r>
        <w:t xml:space="preserve">Oltre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todoList</w:t>
      </w:r>
      <w:r>
        <w:t xml:space="preserve">, la risposta contiene: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p>
            <w:pPr>
              <w:pStyle w:val="TestomanualeCSW1"/>
              <w:jc w:val="left"/>
            </w:pPr>
            <w:r>
              <w:t xml:space="preserve">Pagina e dimensione richieste.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totalRecords</w:t>
            </w:r>
          </w:p>
        </w:tc>
        <w:tc>
          <w:p>
            <w:pPr>
              <w:pStyle w:val="TestomanualeCSW1"/>
              <w:jc w:val="left"/>
            </w:pPr>
            <w:r>
              <w:t xml:space="preserve">Numero totale di attività che soddisfano i filtri.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totalPages</w:t>
            </w:r>
          </w:p>
        </w:tc>
        <w:tc>
          <w:p>
            <w:pPr>
              <w:pStyle w:val="TestomanualeCSW1"/>
              <w:jc w:val="left"/>
            </w:pPr>
            <w:r>
              <w:t xml:space="preserve">Numero totale di pagine.</w:t>
            </w:r>
          </w:p>
        </w:tc>
      </w:tr>
    </w:tbl>
    <w:p>
      <w:pPr>
        <w:pStyle w:val="Heading4"/>
      </w:pPr>
      <w:bookmarkStart w:id="74" w:name="exectask"/>
      <w:r>
        <w:t xml:space="preserve">ExecTask</w:t>
      </w:r>
      <w:bookmarkEnd w:id="72"/>
    </w:p>
    <w:p>
      <w:pPr>
        <w:pStyle w:val="TestomanualeCSW1"/>
      </w:pPr>
      <w:r>
        <w:t xml:space="preserve">Esegue un’attività attiva, facendo avanzare il processo.</w:t>
      </w:r>
    </w:p>
    <w:p>
      <w:pPr>
        <w:pStyle w:val="TestomanualeCSW1"/>
      </w:pPr>
      <w:r>
        <w:rPr>
          <w:rStyle w:val="VerbatimChar"/>
        </w:rPr>
        <w:t xml:space="preserve">POST /api/ext/ExecTask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"APPROVAZIONE CONTRATTI"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"P004A.19.1"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"activity4"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"Esito Approvazione"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"APPROVATA"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activity</w:t>
            </w:r>
          </w:p>
        </w:tc>
        <w:tc>
          <w:p>
            <w:pPr>
              <w:pStyle w:val="TestomanualeCSW1"/>
              <w:jc w:val="left"/>
            </w:pPr>
            <w:r>
              <w:t xml:space="preserve">Nome</w:t>
            </w:r>
            <w:r>
              <w:t xml:space="preserve"> </w:t>
            </w:r>
            <w:r>
              <w:rPr>
                <w:b/>
              </w:rPr>
              <w:t xml:space="preserve">interno</w:t>
            </w:r>
            <w:r>
              <w:t xml:space="preserve"> </w:t>
            </w:r>
            <w:r>
              <w:t xml:space="preserve">dell’attività, per esempio</w:t>
            </w:r>
            <w:r>
              <w:t xml:space="preserve"> </w:t>
            </w:r>
            <w:r>
              <w:rPr>
                <w:rStyle w:val="VerbatimChar"/>
              </w:rPr>
              <w:t xml:space="preserve">activity4</w:t>
            </w:r>
            <w:r>
              <w:t xml:space="preserve">. Si legge nel Designer, nella proprietà</w:t>
            </w:r>
            <w:r>
              <w:t xml:space="preserve"> </w:t>
            </w:r>
            <w:r>
              <w:rPr>
                <w:b/>
              </w:rPr>
              <w:t xml:space="preserve">(NOME)</w:t>
            </w:r>
            <w:r>
              <w:t xml:space="preserve"> </w:t>
            </w:r>
            <w:r>
              <w:t xml:space="preserve">dell’attività: non è il testo visualizzato nel diagramma.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Valori delle variabili richieste dall’attività.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p>
            <w:pPr>
              <w:pStyle w:val="TestomanualeCSW1"/>
              <w:jc w:val="left"/>
            </w:pPr>
            <w:r>
              <w:t xml:space="preserve">Commento all’esecuzione.</w:t>
            </w:r>
          </w:p>
        </w:tc>
      </w:tr>
    </w:tbl>
    <w:p>
      <w:pPr>
        <w:pStyle w:val="TestomanualeCSW1"/>
        <w:spacing w:before="160"/>
      </w:pPr>
      <w:r>
        <w:t xml:space="preserve">BPM verifica che l’attività sia attiva e presente nella To-Do List dell’utente, e che l’utente abbia il diritto di eseguirla. Poi controlla validazioni e obbligatorietà delle variabili ed esegue gli script collegati all’esecuzione dell’attività. Le righe passate per le variabili di gruppo vengono aggiunte a quelle già presenti.</w:t>
      </w:r>
    </w:p>
    <w:p>
      <w:pPr>
        <w:pStyle w:val="TestomanualeCSW1"/>
      </w:pPr>
      <w:r>
        <w:t xml:space="preserve">Errori tipici:</w:t>
      </w:r>
    </w:p>
    <w:p>
      <w:pPr>
        <w:pStyle w:val="TestomanualeCSW1"/>
        <w:numPr>
          <w:ilvl w:val="0"/>
          <w:numId w:val="51"/>
        </w:numPr>
      </w:pPr>
      <w:r>
        <w:t xml:space="preserve">l’attività indicata non è attiva;</w:t>
      </w:r>
    </w:p>
    <w:p>
      <w:pPr>
        <w:pStyle w:val="TestomanualeCSW1"/>
        <w:numPr>
          <w:ilvl w:val="0"/>
          <w:numId w:val="51"/>
        </w:numPr>
      </w:pPr>
      <w:r>
        <w:t xml:space="preserve">l’utente non è autorizzato a eseguire l’attività;</w:t>
      </w:r>
    </w:p>
    <w:p>
      <w:pPr>
        <w:pStyle w:val="TestomanualeCSW1"/>
        <w:numPr>
          <w:ilvl w:val="0"/>
          <w:numId w:val="51"/>
        </w:numPr>
      </w:pPr>
      <w:r>
        <w:t xml:space="preserve">il processo è aperto in modifica da un altro utente in quel momento: la chiamata va ripetuta più tardi;</w:t>
      </w:r>
    </w:p>
    <w:p>
      <w:pPr>
        <w:pStyle w:val="TestomanualeCSW1"/>
        <w:numPr>
          <w:ilvl w:val="0"/>
          <w:numId w:val="51"/>
        </w:numPr>
      </w:pPr>
      <w:r>
        <w:t xml:space="preserve">una validazione non è superata: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riporta il messaggio della validazione.</w:t>
      </w:r>
    </w:p>
    <w:p>
      <w:pPr>
        <w:pStyle w:val="TestomanualeCSW1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Heading4"/>
      </w:pPr>
      <w:bookmarkStart w:id="75" w:name="updatetask"/>
      <w:r>
        <w:t xml:space="preserve">UpdateTask</w:t>
      </w:r>
      <w:bookmarkEnd w:id="73"/>
    </w:p>
    <w:p>
      <w:pPr>
        <w:pStyle w:val="TestomanualeCSW1"/>
      </w:pPr>
      <w:r>
        <w:t xml:space="preserve">Aggiorna i dati di un’attività: assegnatari, priorità, date e durate. Non esegue l’attività.</w:t>
      </w:r>
    </w:p>
    <w:p>
      <w:pPr>
        <w:pStyle w:val="TestomanualeCSW1"/>
      </w:pPr>
      <w:r>
        <w:rPr>
          <w:rStyle w:val="VerbatimChar"/>
        </w:rPr>
        <w:t xml:space="preserve">POST /api/ext/UpdateTask</w:t>
      </w:r>
    </w:p>
    <w:p>
      <w:pPr>
        <w:pStyle w:val="TestomanualeCSW1"/>
      </w:pPr>
      <w:r>
        <w:t xml:space="preserve">Sono obbligatori solo l’istanza (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oppure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) e</w:t>
      </w:r>
      <w:r>
        <w:t xml:space="preserve"> </w:t>
      </w:r>
      <w:r>
        <w:rPr>
          <w:rStyle w:val="VerbatimChar"/>
        </w:rPr>
        <w:t xml:space="preserve">activityName</w:t>
      </w:r>
      <w:r>
        <w:t xml:space="preserve">. Gli altri campi sono facoltativi: si valorizzano solo quelli da modificare.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"Activity4"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"assignedUser"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"samUser"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assignedUser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respUser</w:t>
            </w:r>
          </w:p>
        </w:tc>
        <w:tc>
          <w:p>
            <w:pPr>
              <w:pStyle w:val="TestomanualeCSW1"/>
              <w:jc w:val="left"/>
            </w:pPr>
            <w:r>
              <w:t xml:space="preserve">Assegnatari, utenti in copia e responsabili. Ciascuno può essere un nome utente BPM, un utente esterno con la struttura degli</w:t>
            </w:r>
            <w:r>
              <w:t xml:space="preserve"> </w:t>
            </w:r>
            <w:hyperlink w:anchor="Xa8117395d10185f4a512511e468b8c60883b136">
              <w:r>
                <w:rPr>
                  <w:rStyle w:val="Hyperlink"/>
                </w:rPr>
                <w:t xml:space="preserve">alias</w:t>
              </w:r>
            </w:hyperlink>
            <w:r>
              <w:t xml:space="preserve">, oppure un elenco dei due.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p>
            <w:pPr>
              <w:pStyle w:val="TestomanualeCSW1"/>
              <w:jc w:val="left"/>
            </w:pPr>
            <w:r>
              <w:t xml:space="preserve">Da 1 a 10.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: nessuna modifica. Un valore negativo sospende l’attività.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startDate</w:t>
            </w:r>
          </w:p>
        </w:tc>
        <w:tc>
          <w:p>
            <w:pPr>
              <w:pStyle w:val="TestomanualeCSW1"/>
              <w:jc w:val="left"/>
            </w:pPr>
            <w:r>
              <w:t xml:space="preserve">Nuova data di inizio: imposta la data di inizio aggiornata e, se l’attività è già iniziata, anche quella effettiva.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durationDays</w:t>
            </w:r>
          </w:p>
        </w:tc>
        <w:tc>
          <w:p>
            <w:pPr>
              <w:pStyle w:val="TestomanualeCSW1"/>
              <w:jc w:val="left"/>
            </w:pPr>
            <w:r>
              <w:t xml:space="preserve">Nuova durata in giorni: equivale a</w:t>
            </w:r>
            <w:r>
              <w:t xml:space="preserve"> </w:t>
            </w:r>
            <w:r>
              <w:rPr>
                <w:rStyle w:val="VerbatimChar"/>
              </w:rPr>
              <w:t xml:space="preserve">durationDaysUpdated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plannedStartDate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actualStartDate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Date di inizio pianificata, aggiornata ed effettiva.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durationDaysPlanned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durationDaysUpdated</w:t>
            </w:r>
          </w:p>
        </w:tc>
        <w:tc>
          <w:p>
            <w:pPr>
              <w:pStyle w:val="TestomanualeCSW1"/>
              <w:jc w:val="left"/>
            </w:pPr>
            <w:r>
              <w:t xml:space="preserve">Durate pianificata e aggiornata.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dueDate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di scadenza.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ignoreCalendar</w:t>
            </w:r>
          </w:p>
        </w:tc>
        <w:tc>
          <w:p>
            <w:pPr>
              <w:pStyle w:val="TestomanualeCSW1"/>
              <w:jc w:val="left"/>
            </w:pPr>
            <w:r>
              <w:t xml:space="preserve">Se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l’attività ignora il calendario dei giorni lavorativi.</w:t>
            </w:r>
          </w:p>
        </w:tc>
      </w:tr>
    </w:tbl>
    <w:p>
      <w:pPr>
        <w:pStyle w:val="TestomanualeCSW1"/>
        <w:spacing w:before="160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TestomanualeCSW1"/>
      </w:pPr>
      <w:r>
        <w:t xml:space="preserve">Vincoli sull’assegnazione:</w:t>
      </w:r>
    </w:p>
    <w:p>
      <w:pPr>
        <w:pStyle w:val="TestomanualeCSW1"/>
        <w:numPr>
          <w:ilvl w:val="0"/>
          <w:numId w:val="52"/>
        </w:numPr>
      </w:pPr>
      <w:r>
        <w:t xml:space="preserve">se gli assegnatari dell’attività sono definiti da una variabile di processo, non si possono cambiare tramite API;</w:t>
      </w:r>
    </w:p>
    <w:p>
      <w:pPr>
        <w:pStyle w:val="TestomanualeCSW1"/>
        <w:numPr>
          <w:ilvl w:val="0"/>
          <w:numId w:val="52"/>
        </w:numPr>
      </w:pPr>
      <w:r>
        <w:t xml:space="preserve">se l’attività è assegnata a un gruppo, il nuovo assegnatario deve appartenere a quel gruppo.</w:t>
      </w:r>
    </w:p>
    <w:p>
      <w:pPr>
        <w:pStyle w:val="Heading2"/>
      </w:pPr>
      <w:bookmarkStart w:id="76" w:name="documenti-e-dossier"/>
      <w:r>
        <w:t xml:space="preserve">Documenti e dossier</w:t>
      </w:r>
      <w:bookmarkEnd w:id="74"/>
    </w:p>
    <w:p>
      <w:pPr>
        <w:pStyle w:val="TestomanualeCSW1"/>
      </w:pPr>
      <w:r>
        <w:t xml:space="preserve">Chiamate per creare, aggiornare, cercare e scaricare i documenti delle classi documentali, e per inserirli nei dossier. Per le regole comuni vedi</w:t>
      </w:r>
      <w:r>
        <w:t xml:space="preserve"> </w:t>
      </w:r>
      <w:hyperlink w:anchor="api-standard">
        <w:r>
          <w:rPr>
            <w:rStyle w:val="Hyperlink"/>
          </w:rPr>
          <w:t xml:space="preserve">API standard</w:t>
        </w:r>
      </w:hyperlink>
      <w:r>
        <w:t xml:space="preserve">.</w:t>
      </w:r>
    </w:p>
    <w:p>
      <w:pPr>
        <w:pStyle w:val="Heading4"/>
      </w:pPr>
      <w:bookmarkStart w:id="77" w:name="concetti"/>
      <w:r>
        <w:t xml:space="preserve">Concetti</w:t>
      </w:r>
      <w:bookmarkEnd w:id="75"/>
    </w:p>
    <w:p>
      <w:pPr>
        <w:pStyle w:val="TestomanualeCSW1"/>
      </w:pPr>
      <w:r>
        <w:rPr>
          <w:b/>
        </w:rPr>
        <w:t xml:space="preserve">Nome del documento.</w:t>
      </w:r>
      <w:r>
        <w:t xml:space="preserve"> </w:t>
      </w:r>
      <w:r>
        <w:t xml:space="preserve">Ogni documento ha un nome (</w:t>
      </w:r>
      <w:r>
        <w:rPr>
          <w:rStyle w:val="VerbatimChar"/>
        </w:rPr>
        <w:t xml:space="preserve">documentName</w:t>
      </w:r>
      <w:r>
        <w:t xml:space="preserve">, in alcune chiamate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univoco all’interno della classe documentale. Non è il nome del file: è composto dalle variabili del documento, secondo le regole e gli script della classe documentale, e ne determina l’univocità.</w:t>
      </w:r>
    </w:p>
    <w:p>
      <w:pPr>
        <w:pStyle w:val="TestomanualeCSW1"/>
      </w:pPr>
      <w:r>
        <w:rPr>
          <w:b/>
        </w:rPr>
        <w:t xml:space="preserve">Dossier.</w:t>
      </w:r>
      <w:r>
        <w:t xml:space="preserve"> </w:t>
      </w:r>
      <w:r>
        <w:t xml:space="preserve">Un dossier raggruppa documenti di classi documentali diverse che hanno qualcosa in comune, per esempio tutti i documenti di una pratica o di un cliente. È un raggruppatore leggero: ha un identificativo, un nome, una descrizione e un eventuale contatto. L’inserimento dei documenti nei dossier si configura nella classe documentale.</w:t>
      </w:r>
    </w:p>
    <w:p>
      <w:pPr>
        <w:pStyle w:val="TestomanualeCSW1"/>
      </w:pPr>
      <w:r>
        <w:rPr>
          <w:b/>
        </w:rPr>
        <w:t xml:space="preserve">Parametri con l’iniziale maiuscola.</w:t>
      </w:r>
      <w:r>
        <w:t xml:space="preserve"> </w:t>
      </w:r>
      <w:r>
        <w:t xml:space="preserve">Alcune chiamate usano parametri con l’iniziale maiuscola (</w:t>
      </w:r>
      <w:r>
        <w:rPr>
          <w:rStyle w:val="VerbatimChar"/>
        </w:rPr>
        <w:t xml:space="preserve">InstanceId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): in questa pagina sono riportati così come appaiono nello Swagger.</w:t>
      </w:r>
    </w:p>
    <w:p>
      <w:pPr>
        <w:pStyle w:val="TestomanualeCSW1"/>
      </w:pPr>
      <w:r>
        <w:rPr>
          <w:b/>
        </w:rPr>
        <w:t xml:space="preserve">Errori.</w:t>
      </w:r>
      <w:r>
        <w:t xml:space="preserve"> </w:t>
      </w:r>
      <w:r>
        <w:t xml:space="preserve">Le chiamate SearchDocuments, DownloadDocument, DownloadDocumentJSON, DocumentVersions e DocumentSets non restituiscono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: segnalano gli errori con il codice HTTP (</w:t>
      </w:r>
      <w:r>
        <w:rPr>
          <w:rStyle w:val="VerbatimChar"/>
        </w:rPr>
        <w:t xml:space="preserve">400 Bad 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).</w:t>
      </w:r>
    </w:p>
    <w:p>
      <w:pPr>
        <w:pStyle w:val="Heading4"/>
      </w:pPr>
      <w:bookmarkStart w:id="78" w:name="contenuto-del-documento"/>
      <w:r>
        <w:t xml:space="preserve">Contenuto del documento</w:t>
      </w:r>
      <w:bookmarkEnd w:id="76"/>
    </w:p>
    <w:p>
      <w:pPr>
        <w:pStyle w:val="TestomanualeCSW1"/>
      </w:pPr>
      <w:r>
        <w:t xml:space="preserve">Le chiamate che creano o aggiornano un documento ricevono il contenuto del file in una di due forme, indicata da</w:t>
      </w:r>
      <w:r>
        <w:t xml:space="preserve"> </w:t>
      </w:r>
      <w:r>
        <w:rPr>
          <w:rStyle w:val="VerbatimChar"/>
        </w:rPr>
        <w:t xml:space="preserve">sourceType</w:t>
      </w:r>
      <w:r>
        <w:t xml:space="preserve">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sourceType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Oggetto da valorizzare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Campi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base64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base64Source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extension</w:t>
            </w:r>
            <w:r>
              <w:t xml:space="preserve"> </w:t>
            </w:r>
            <w:r>
              <w:t xml:space="preserve">(estensione del file),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(contenuto in base64)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filePath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filePathSource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extension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 </w:t>
            </w:r>
            <w:r>
              <w:t xml:space="preserve">(percorso del file),</w:t>
            </w:r>
            <w:r>
              <w:t xml:space="preserve"> </w:t>
            </w:r>
            <w:r>
              <w:rPr>
                <w:rStyle w:val="VerbatimChar"/>
              </w:rPr>
              <w:t xml:space="preserve">deleteAfter</w:t>
            </w:r>
            <w:r>
              <w:t xml:space="preserve"> </w:t>
            </w:r>
            <w:r>
              <w:t xml:space="preserve">(elimina il file dopo l’acquisizione)</w:t>
            </w:r>
          </w:p>
        </w:tc>
      </w:tr>
    </w:tbl>
    <w:p>
      <w:pPr>
        <w:pStyle w:val="SourceCode"/>
        <w:spacing w:before="160"/>
      </w:pPr>
      <w:r>
        <w:rPr>
          <w:rStyle w:val="ErrorTok"/>
        </w:rPr>
        <w:t xml:space="preserve">"sourceType":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"base64",</w:t>
      </w:r>
      <w:r>
        <w:br/>
      </w:r>
      <w:r>
        <w:rPr>
          <w:rStyle w:val="ErrorTok"/>
        </w:rPr>
        <w:t xml:space="preserve">"base64Source":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"extension"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"&lt;contenuto-in-base64&gt;"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TestomanualeCSW1"/>
        <w:pBdr>
          <w:left w:val="single" w:sz="12" w:space="8" w:color="3093EF"/>
        </w:pBdr>
        <w:spacing w:before="160"/>
        <w:ind w:left="567"/>
      </w:pPr>
      <w:r>
        <w:rPr>
          <w:b/>
        </w:rPr>
        <w:t xml:space="preserve">Percorsi di file</w:t>
      </w:r>
    </w:p>
    <w:p>
      <w:pPr>
        <w:pStyle w:val="TestomanualeCSW1"/>
        <w:pBdr>
          <w:left w:val="single" w:sz="12" w:space="8" w:color="3093EF"/>
        </w:pBdr>
        <w:spacing w:after="160"/>
        <w:ind w:left="567"/>
      </w:pPr>
      <w:r>
        <w:t xml:space="preserve">Con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 </w:t>
      </w:r>
      <w:r>
        <w:t xml:space="preserve">è il</w:t>
      </w:r>
      <w:r>
        <w:t xml:space="preserve"> </w:t>
      </w:r>
      <w:r>
        <w:rPr>
          <w:b/>
        </w:rPr>
        <w:t xml:space="preserve">server BPM</w:t>
      </w:r>
      <w:r>
        <w:t xml:space="preserve"> </w:t>
      </w:r>
      <w:r>
        <w:t xml:space="preserve">a leggere il file, ed eventualmente a eliminarlo. Il percorso deve essere raggiungibile dal server e l’account del servizio BPM deve avere i permessi di lettura (e di scrittura, se si usa</w:t>
      </w:r>
      <w:r>
        <w:t xml:space="preserve"> </w:t>
      </w:r>
      <w:r>
        <w:rPr>
          <w:rStyle w:val="VerbatimChar"/>
        </w:rPr>
        <w:t xml:space="preserve">deleteAfter</w:t>
      </w:r>
      <w:r>
        <w:t xml:space="preserve">) su quella cartella.</w:t>
      </w:r>
    </w:p>
    <w:p>
      <w:pPr>
        <w:pStyle w:val="Heading5"/>
      </w:pPr>
      <w:bookmarkStart w:id="79" w:name="versioni-e-copia-firmata"/>
      <w:r>
        <w:t xml:space="preserve">Versioni e copia firmata</w:t>
      </w:r>
      <w:bookmarkEnd w:id="77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newVersion</w:t>
            </w:r>
          </w:p>
        </w:tc>
        <w:tc>
          <w:p>
            <w:pPr>
              <w:pStyle w:val="TestomanualeCSW1"/>
              <w:jc w:val="left"/>
            </w:pPr>
            <w:r>
              <w:t xml:space="preserve">Modalità della nuova versione:</w:t>
            </w:r>
            <w:r>
              <w:t xml:space="preserve"> </w:t>
            </w:r>
            <w:r>
              <w:rPr>
                <w:rStyle w:val="VerbatimChar"/>
              </w:rPr>
              <w:t xml:space="preserve">new_draft</w:t>
            </w:r>
            <w:r>
              <w:t xml:space="preserve"> </w:t>
            </w:r>
            <w:r>
              <w:t xml:space="preserve">se la versione caricata è una bozza da approvare,</w:t>
            </w:r>
            <w:r>
              <w:t xml:space="preserve"> </w:t>
            </w:r>
            <w:r>
              <w:rPr>
                <w:rStyle w:val="VerbatimChar"/>
              </w:rPr>
              <w:t xml:space="preserve">new_active</w:t>
            </w:r>
            <w:r>
              <w:t xml:space="preserve"> </w:t>
            </w:r>
            <w:r>
              <w:t xml:space="preserve">se diventa subito la versione attiva del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newVersionNumber</w:t>
            </w:r>
          </w:p>
        </w:tc>
        <w:tc>
          <w:p>
            <w:pPr>
              <w:pStyle w:val="TestomanualeCSW1"/>
              <w:jc w:val="left"/>
            </w:pPr>
            <w:r>
              <w:t xml:space="preserve">Numero della nuova versione, secondo le regole di numerazione che ci si dà.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newVersionDescription</w:t>
            </w:r>
          </w:p>
        </w:tc>
        <w:tc>
          <w:p>
            <w:pPr>
              <w:pStyle w:val="TestomanualeCSW1"/>
              <w:jc w:val="left"/>
            </w:pPr>
            <w:r>
              <w:t xml:space="preserve">Descrizione libera della versione.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newVersionDate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della versione, nel formato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signedCopy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se il file caricato è la</w:t>
            </w:r>
            <w:r>
              <w:t xml:space="preserve"> </w:t>
            </w:r>
            <w:r>
              <w:rPr>
                <w:b/>
              </w:rPr>
              <w:t xml:space="preserve">copia firmata</w:t>
            </w:r>
            <w:r>
              <w:t xml:space="preserve"> </w:t>
            </w:r>
            <w:r>
              <w:t xml:space="preserve">del documento: un file aggiuntivo conservato accanto all’originale, per le classi documentali che la prevedono.</w:t>
            </w:r>
          </w:p>
        </w:tc>
      </w:tr>
    </w:tbl>
    <w:p>
      <w:pPr>
        <w:pStyle w:val="Heading4"/>
      </w:pPr>
      <w:bookmarkStart w:id="80" w:name="createnewdocument"/>
      <w:r>
        <w:t xml:space="preserve">CreateNewDocument</w:t>
      </w:r>
      <w:bookmarkEnd w:id="78"/>
    </w:p>
    <w:p>
      <w:pPr>
        <w:pStyle w:val="TestomanualeCSW1"/>
      </w:pPr>
      <w:r>
        <w:t xml:space="preserve">Crea un nuovo documento in una classe documentale.</w:t>
      </w:r>
    </w:p>
    <w:p>
      <w:pPr>
        <w:pStyle w:val="TestomanualeCSW1"/>
      </w:pPr>
      <w:r>
        <w:rPr>
          <w:rStyle w:val="VerbatimChar"/>
        </w:rPr>
        <w:t xml:space="preserve">POST /api/ext/CreateNewDocument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"FATTURE PASSIVE"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"Fornitore"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"Rossi S.p.A."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"base64Source"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"extension"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"&lt;contenuto-in-base64&gt;"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p>
            <w:pPr>
              <w:pStyle w:val="TestomanualeCSW1"/>
              <w:jc w:val="left"/>
            </w:pPr>
            <w:r>
              <w:t xml:space="preserve">Classe documentale.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startObject</w:t>
            </w:r>
          </w:p>
        </w:tc>
        <w:tc>
          <w:p>
            <w:pPr>
              <w:pStyle w:val="TestomanualeCSW1"/>
              <w:jc w:val="left"/>
            </w:pPr>
            <w:r>
              <w:t xml:space="preserve">Start da cui creare il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Metadati del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attachments</w:t>
            </w:r>
          </w:p>
        </w:tc>
        <w:tc>
          <w:p>
            <w:pPr>
              <w:pStyle w:val="TestomanualeCSW1"/>
              <w:jc w:val="left"/>
            </w:pPr>
            <w:r>
              <w:t xml:space="preserve">Allegati, come in</w:t>
            </w:r>
            <w:r>
              <w:t xml:space="preserve"> </w:t>
            </w:r>
            <w:hyperlink w:anchor="allegati-allavvio">
              <w:r>
                <w:rPr>
                  <w:rStyle w:val="Hyperlink"/>
                </w:rPr>
                <w:t xml:space="preserve">CreateNewProcess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base64Source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filePathSource</w:t>
            </w:r>
          </w:p>
        </w:tc>
        <w:tc>
          <w:p>
            <w:pPr>
              <w:pStyle w:val="TestomanualeCSW1"/>
              <w:jc w:val="left"/>
            </w:pPr>
            <w:r>
              <w:t xml:space="preserve">Il file: vedi</w:t>
            </w:r>
            <w:r>
              <w:t xml:space="preserve"> </w:t>
            </w:r>
            <w:hyperlink w:anchor="contenuto-del-documento">
              <w:r>
                <w:rPr>
                  <w:rStyle w:val="Hyperlink"/>
                </w:rPr>
                <w:t xml:space="preserve">Contenuto del documento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barcode</w:t>
            </w:r>
          </w:p>
        </w:tc>
        <w:tc>
          <w:p>
            <w:pPr>
              <w:pStyle w:val="TestomanualeCSW1"/>
              <w:jc w:val="left"/>
            </w:pPr>
            <w:r>
              <w:t xml:space="preserve">Codice a barre associato al documento.</w:t>
            </w:r>
          </w:p>
        </w:tc>
      </w:tr>
    </w:tbl>
    <w:p>
      <w:pPr>
        <w:pStyle w:val="TestomanualeCSW1"/>
        <w:spacing w:before="160"/>
      </w:pPr>
      <w:r>
        <w:t xml:space="preserve">Come per i processi, vengono eseguite formule, validazioni e script collegati alla creazione.</w:t>
      </w:r>
    </w:p>
    <w:p>
      <w:pPr>
        <w:pStyle w:val="TestomanualeCSW1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TestomanualeCSW1"/>
      </w:pPr>
      <w:r>
        <w:t xml:space="preserve">Se esiste già un documento con lo stesso nome nella classe documentale, la creazione fallisce:</w:t>
      </w:r>
      <w:r>
        <w:t xml:space="preserve"> </w:t>
      </w:r>
      <w:r>
        <w:rPr>
          <w:rStyle w:val="VerbatimChar"/>
        </w:rPr>
        <w:t xml:space="preserve">isDuplicate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duplicateDocumentName</w:t>
      </w:r>
      <w:r>
        <w:t xml:space="preserve"> </w:t>
      </w:r>
      <w:r>
        <w:t xml:space="preserve">contiene il nome del documento esistente. Per aggiornarlo in questo caso, usa</w:t>
      </w:r>
      <w:r>
        <w:t xml:space="preserve"> </w:t>
      </w:r>
      <w:hyperlink w:anchor="createorupdatedocument">
        <w:r>
          <w:rPr>
            <w:rStyle w:val="Hyperlink"/>
          </w:rPr>
          <w:t xml:space="preserve">CreateOrUpdateDocument</w:t>
        </w:r>
      </w:hyperlink>
      <w:r>
        <w:t xml:space="preserve">.</w:t>
      </w:r>
    </w:p>
    <w:p>
      <w:pPr>
        <w:pStyle w:val="Heading4"/>
      </w:pPr>
      <w:bookmarkStart w:id="81" w:name="createorupdatedocument"/>
      <w:r>
        <w:t xml:space="preserve">CreateOrUpdateDocument</w:t>
      </w:r>
      <w:bookmarkEnd w:id="79"/>
    </w:p>
    <w:p>
      <w:pPr>
        <w:pStyle w:val="TestomanualeCSW1"/>
      </w:pPr>
      <w:r>
        <w:t xml:space="preserve">Crea il documento se non esiste, altrimenti aggiorna quello esistente con lo stesso nome. Accetta gli stessi parametri di</w:t>
      </w:r>
      <w:r>
        <w:t xml:space="preserve"> </w:t>
      </w:r>
      <w:hyperlink w:anchor="createnewdocument">
        <w:r>
          <w:rPr>
            <w:rStyle w:val="Hyperlink"/>
          </w:rPr>
          <w:t xml:space="preserve">CreateNewDocument</w:t>
        </w:r>
      </w:hyperlink>
      <w:r>
        <w:t xml:space="preserve">.</w:t>
      </w:r>
    </w:p>
    <w:p>
      <w:pPr>
        <w:pStyle w:val="TestomanualeCSW1"/>
      </w:pPr>
      <w:r>
        <w:rPr>
          <w:rStyle w:val="VerbatimChar"/>
        </w:rPr>
        <w:t xml:space="preserve">POST /api/ext/CreateOrUpdateDocument</w:t>
      </w:r>
    </w:p>
    <w:p>
      <w:pPr>
        <w:pStyle w:val="TestomanualeCSW1"/>
      </w:pPr>
      <w:r>
        <w:t xml:space="preserve">In aggiornamento vengono modificati metadati e contenuto; se per la classe documentale è attiva la gestione delle versioni, il nuovo file diventa una nuova versione.</w:t>
      </w:r>
    </w:p>
    <w:p>
      <w:pPr>
        <w:pStyle w:val="TestomanualeCSW1"/>
      </w:pPr>
      <w:r>
        <w:t xml:space="preserve">La risposta indica con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quale delle due operazioni è stata eseguita.</w:t>
      </w:r>
    </w:p>
    <w:p>
      <w:pPr>
        <w:pStyle w:val="TestomanualeCSW1"/>
      </w:pPr>
      <w:r>
        <w:t xml:space="preserve">È il comportamento dell’omonima operazione</w:t>
      </w:r>
      <w:r>
        <w:t xml:space="preserve"> </w:t>
      </w:r>
      <w:r>
        <w:rPr>
          <w:b/>
        </w:rPr>
        <w:t xml:space="preserve">CreateOrUpdateDocument</w:t>
      </w:r>
      <w:r>
        <w:t xml:space="preserve"> </w:t>
      </w:r>
      <w:r>
        <w:t xml:space="preserve">disponibile nei processi.</w:t>
      </w:r>
    </w:p>
    <w:p>
      <w:pPr>
        <w:pStyle w:val="Heading4"/>
      </w:pPr>
      <w:bookmarkStart w:id="82" w:name="updatedocument"/>
      <w:r>
        <w:t xml:space="preserve">UpdateDocument</w:t>
      </w:r>
      <w:bookmarkEnd w:id="80"/>
    </w:p>
    <w:p>
      <w:pPr>
        <w:pStyle w:val="TestomanualeCSW1"/>
      </w:pPr>
      <w:r>
        <w:t xml:space="preserve">Aggiorna metadati, stato e, facoltativamente, contenuto di un documento esistente.</w:t>
      </w:r>
    </w:p>
    <w:p>
      <w:pPr>
        <w:pStyle w:val="TestomanualeCSW1"/>
      </w:pPr>
      <w:r>
        <w:rPr>
          <w:rStyle w:val="VerbatimChar"/>
        </w:rPr>
        <w:t xml:space="preserve">POST /api/ext/UpdateDocument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instanceId</w:t>
            </w:r>
            <w:r>
              <w:t xml:space="preserve"> </w:t>
            </w:r>
            <w:r>
              <w:t xml:space="preserve">oppure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documentName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Metadati da modificare.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resetGroups</w:t>
            </w:r>
          </w:p>
        </w:tc>
        <w:tc>
          <w:p>
            <w:pPr>
              <w:pStyle w:val="TestomanualeCSW1"/>
              <w:jc w:val="left"/>
            </w:pPr>
            <w:r>
              <w:t xml:space="preserve">Gruppi da svuotare prima di scrivere le nuove righe.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Stato da impostare.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sourceType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base64Source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filePathSource</w:t>
            </w:r>
          </w:p>
        </w:tc>
        <w:tc>
          <w:p>
            <w:pPr>
              <w:pStyle w:val="TestomanualeCSW1"/>
              <w:jc w:val="left"/>
            </w:pPr>
            <w:r>
              <w:t xml:space="preserve">Nuovo contenuto, facoltativo.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newVersion…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signedCopy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barcode</w:t>
            </w:r>
          </w:p>
        </w:tc>
        <w:tc>
          <w:p>
            <w:pPr>
              <w:pStyle w:val="TestomanualeCSW1"/>
              <w:jc w:val="left"/>
            </w:pPr>
            <w:r>
              <w:t xml:space="preserve">Vedi</w:t>
            </w:r>
            <w:r>
              <w:t xml:space="preserve"> </w:t>
            </w:r>
            <w:hyperlink w:anchor="versioni-e-copia-firmata">
              <w:r>
                <w:rPr>
                  <w:rStyle w:val="Hyperlink"/>
                </w:rPr>
                <w:t xml:space="preserve">Versioni e copia firmata</w:t>
              </w:r>
            </w:hyperlink>
            <w:r>
              <w:t xml:space="preserve">.</w:t>
            </w:r>
          </w:p>
        </w:tc>
      </w:tr>
    </w:tbl>
    <w:p>
      <w:pPr>
        <w:pStyle w:val="TestomanualeCSW1"/>
        <w:spacing w:before="160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Heading4"/>
      </w:pPr>
      <w:bookmarkStart w:id="83" w:name="updatedocumentcontent"/>
      <w:r>
        <w:t xml:space="preserve">UpdateDocumentContent</w:t>
      </w:r>
      <w:bookmarkEnd w:id="81"/>
    </w:p>
    <w:p>
      <w:pPr>
        <w:pStyle w:val="TestomanualeCSW1"/>
      </w:pPr>
      <w:r>
        <w:t xml:space="preserve">Sostituisce solo il file di un documento esistente, senza modificarne i metadati.</w:t>
      </w:r>
    </w:p>
    <w:p>
      <w:pPr>
        <w:pStyle w:val="TestomanualeCSW1"/>
      </w:pPr>
      <w:r>
        <w:rPr>
          <w:rStyle w:val="VerbatimChar"/>
        </w:rPr>
        <w:t xml:space="preserve">POST /api/ext/UpdateDocumentContent</w:t>
      </w:r>
    </w:p>
    <w:p>
      <w:pPr>
        <w:pStyle w:val="TestomanualeCSW1"/>
      </w:pPr>
      <w:r>
        <w:t xml:space="preserve">Parametri: il documento (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oppure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documentName</w:t>
      </w:r>
      <w:r>
        <w:t xml:space="preserve">), il contenuto e, facoltativamente, i dati di versione e</w:t>
      </w:r>
      <w:r>
        <w:t xml:space="preserve"> </w:t>
      </w:r>
      <w:r>
        <w:rPr>
          <w:rStyle w:val="VerbatimChar"/>
        </w:rPr>
        <w:t xml:space="preserve">signedCopy</w:t>
      </w:r>
      <w:r>
        <w:t xml:space="preserve">.</w:t>
      </w:r>
    </w:p>
    <w:p>
      <w:pPr>
        <w:pStyle w:val="Heading4"/>
      </w:pPr>
      <w:bookmarkStart w:id="84" w:name="getdocument"/>
      <w:r>
        <w:t xml:space="preserve">GetDocument</w:t>
      </w:r>
      <w:bookmarkEnd w:id="82"/>
    </w:p>
    <w:p>
      <w:pPr>
        <w:pStyle w:val="TestomanualeCSW1"/>
      </w:pPr>
      <w:r>
        <w:t xml:space="preserve">Restituisce i dati di un documento. Funziona come</w:t>
      </w:r>
      <w:r>
        <w:t xml:space="preserve"> </w:t>
      </w:r>
      <w:hyperlink w:anchor="getprocess">
        <w:r>
          <w:rPr>
            <w:rStyle w:val="Hyperlink"/>
          </w:rPr>
          <w:t xml:space="preserve">GetProcess</w:t>
        </w:r>
      </w:hyperlink>
      <w:r>
        <w:t xml:space="preserve">.</w:t>
      </w:r>
    </w:p>
    <w:p>
      <w:pPr>
        <w:pStyle w:val="TestomanualeCSW1"/>
      </w:pPr>
      <w:r>
        <w:rPr>
          <w:rStyle w:val="VerbatimChar"/>
        </w:rPr>
        <w:t xml:space="preserve">POST /api/ext/GetDocument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InstanceId</w:t>
            </w:r>
            <w:r>
              <w:t xml:space="preserve"> </w:t>
            </w:r>
            <w:r>
              <w:t xml:space="preserve">oppure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IncludeVariables</w:t>
            </w:r>
          </w:p>
        </w:tc>
        <w:tc>
          <w:p>
            <w:pPr>
              <w:pStyle w:val="TestomanualeCSW1"/>
              <w:jc w:val="left"/>
            </w:pPr>
            <w:r>
              <w:t xml:space="preserve">Metadati da includere:</w:t>
            </w:r>
            <w:r>
              <w:t xml:space="preserve"> </w:t>
            </w:r>
            <w:r>
              <w:rPr>
                <w:rStyle w:val="VerbatimChar"/>
              </w:rPr>
              <w:t xml:space="preserve">["*"]</w:t>
            </w:r>
            <w:r>
              <w:t xml:space="preserve"> </w:t>
            </w:r>
            <w:r>
              <w:t xml:space="preserve">o lista vuota per tutti, oppure i nomi delle variabili.</w:t>
            </w:r>
          </w:p>
        </w:tc>
      </w:tr>
    </w:tbl>
    <w:p>
      <w:pPr>
        <w:pStyle w:val="TestomanualeCSW1"/>
        <w:spacing w:before="160"/>
      </w:pPr>
      <w:r>
        <w:t xml:space="preserve">La risposta contiene gli stessi campi di GetProcess, compresi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processState</w:t>
      </w:r>
      <w:r>
        <w:t xml:space="preserve">, tranne l’immagine del diagramma. In più: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documentDate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del documento, se presente.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documentDueDate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di scadenza, se presente.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documentBarcode</w:t>
            </w:r>
          </w:p>
        </w:tc>
        <w:tc>
          <w:p>
            <w:pPr>
              <w:pStyle w:val="TestomanualeCSW1"/>
              <w:jc w:val="left"/>
            </w:pPr>
            <w:r>
              <w:t xml:space="preserve">Codice a barre, se presente.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versions</w:t>
            </w:r>
          </w:p>
        </w:tc>
        <w:tc>
          <w:p>
            <w:pPr>
              <w:pStyle w:val="TestomanualeCSW1"/>
              <w:jc w:val="left"/>
            </w:pPr>
            <w:r>
              <w:t xml:space="preserve">Le versioni del documento.</w:t>
            </w:r>
          </w:p>
        </w:tc>
      </w:tr>
    </w:tbl>
    <w:p>
      <w:pPr>
        <w:pStyle w:val="Heading4"/>
      </w:pPr>
      <w:bookmarkStart w:id="85" w:name="searchdocuments"/>
      <w:r>
        <w:t xml:space="preserve">SearchDocuments</w:t>
      </w:r>
      <w:bookmarkEnd w:id="83"/>
    </w:p>
    <w:p>
      <w:pPr>
        <w:pStyle w:val="TestomanualeCSW1"/>
      </w:pPr>
      <w:r>
        <w:t xml:space="preserve">Cerca documenti per metadati e campi generali.</w:t>
      </w:r>
    </w:p>
    <w:p>
      <w:pPr>
        <w:pStyle w:val="TestomanualeCSW1"/>
      </w:pPr>
      <w:r>
        <w:rPr>
          <w:rStyle w:val="VerbatimChar"/>
        </w:rPr>
        <w:t xml:space="preserve">POST /api/ext/SearchDocuments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"FATTURE PASSIVE"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"Fornitore"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"Rossi S.p.A."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"2025"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p>
            <w:pPr>
              <w:pStyle w:val="TestomanualeCSW1"/>
              <w:jc w:val="left"/>
            </w:pPr>
            <w:r>
              <w:t xml:space="preserve">Obbligatorio. Classi documentali in cui cercare: di solito una sola. Sono considerate solo quelle che l’utente è autorizzato a leggere.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Filters</w:t>
            </w:r>
          </w:p>
        </w:tc>
        <w:tc>
          <w:p>
            <w:pPr>
              <w:pStyle w:val="TestomanualeCSW1"/>
              <w:jc w:val="left"/>
            </w:pPr>
            <w:r>
              <w:t xml:space="preserve">Filtri facoltativi: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(nome della variabile o di un</w:t>
            </w:r>
            <w:r>
              <w:t xml:space="preserve"> </w:t>
            </w:r>
            <w:hyperlink w:anchor="campi-generali">
              <w:r>
                <w:rPr>
                  <w:rStyle w:val="Hyperlink"/>
                </w:rPr>
                <w:t xml:space="preserve">campo generale</w:t>
              </w:r>
            </w:hyperlink>
            <w:r>
              <w:t xml:space="preserve">, per esempio</w:t>
            </w:r>
            <w:r>
              <w:t xml:space="preserve"> </w:t>
            </w:r>
            <w:r>
              <w:rPr>
                <w:rStyle w:val="VerbatimChar"/>
              </w:rPr>
              <w:t xml:space="preserve">fix_documentdate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(valore singolo) oppure</w:t>
            </w:r>
            <w:r>
              <w:t xml:space="preserve"> </w:t>
            </w:r>
            <w:r>
              <w:rPr>
                <w:rStyle w:val="VerbatimChar"/>
              </w:rPr>
              <w:t xml:space="preserve">ValueIn</w:t>
            </w:r>
            <w:r>
              <w:t xml:space="preserve"> </w:t>
            </w:r>
            <w:r>
              <w:t xml:space="preserve">(elenco di valori ammessi).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dossierType</w:t>
            </w:r>
          </w:p>
        </w:tc>
        <w:tc>
          <w:p>
            <w:pPr>
              <w:pStyle w:val="TestomanualeCSW1"/>
              <w:jc w:val="left"/>
            </w:pPr>
            <w:r>
              <w:t xml:space="preserve">Limita la ricerca ai documenti di un tipo di dossier.</w:t>
            </w:r>
          </w:p>
        </w:tc>
      </w:tr>
    </w:tbl>
    <w:p>
      <w:pPr>
        <w:pStyle w:val="TestomanualeCSW1"/>
        <w:spacing w:before="160"/>
      </w:pPr>
      <w:r>
        <w:t xml:space="preserve">Con</w:t>
      </w:r>
      <w:r>
        <w:t xml:space="preserve"> </w:t>
      </w:r>
      <w:r>
        <w:rPr>
          <w:rStyle w:val="VerbatimChar"/>
        </w:rPr>
        <w:t xml:space="preserve">Filters</w:t>
      </w:r>
      <w:r>
        <w:t xml:space="preserve"> </w:t>
      </w:r>
      <w:r>
        <w:t xml:space="preserve">vuoto la ricerca restituisce tutti i documenti della classe documentale visibili all’utente.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TestomanualeCSW1"/>
      </w:pPr>
      <w:r>
        <w:t xml:space="preserve">La risposta è direttamente un elenco, con un elemento per ogni documento trovato. Ogni elemento contiene le variabili della classe documentale, i</w:t>
      </w:r>
      <w:r>
        <w:t xml:space="preserve"> </w:t>
      </w:r>
      <w:hyperlink w:anchor="campi-generali">
        <w:r>
          <w:rPr>
            <w:rStyle w:val="Hyperlink"/>
          </w:rPr>
          <w:t xml:space="preserve">campi generali</w:t>
        </w:r>
      </w:hyperlink>
      <w:r>
        <w:t xml:space="preserve"> </w:t>
      </w:r>
      <w:r>
        <w:t xml:space="preserve">e l’identificativo del documento. La struttura dipende quindi dalla classe documentale: per questo lo Swagger non la descrive.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"CODCLI"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"2024-02-05T00:00:00"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"FIX_NAME"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"FIX_STATE"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"INSERITO"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"FIX_DOCUMENTDATE"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"2024-02-05T00:00:00"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"FIX_FILENAME"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"COM_A1-1.pdf"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"FIX_HAS_ATTACHMENTS"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"402f9fff-dcf0-4d57-baf1-3fd5dd747435"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…</w:t>
      </w:r>
      <w:r>
        <w:br/>
      </w:r>
      <w:r>
        <w:rPr>
          <w:rStyle w:val="OtherTok"/>
        </w:rPr>
        <w:t xml:space="preserve">]</w:t>
      </w:r>
    </w:p>
    <w:p>
      <w:pPr>
        <w:pStyle w:val="TestomanualeCSW1"/>
      </w:pPr>
      <w:r>
        <w:t xml:space="preserve">Nella risposta i nomi dei campi generali sono in maiuscolo.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è l’identificativo da usare nelle chiamate successive, per esempio</w:t>
      </w:r>
      <w:r>
        <w:t xml:space="preserve"> </w:t>
      </w:r>
      <w:hyperlink w:anchor="downloaddocument">
        <w:r>
          <w:rPr>
            <w:rStyle w:val="Hyperlink"/>
          </w:rPr>
          <w:t xml:space="preserve">DownloadDocument</w:t>
        </w:r>
      </w:hyperlink>
      <w:r>
        <w:t xml:space="preserve">.</w:t>
      </w:r>
    </w:p>
    <w:p>
      <w:pPr>
        <w:pStyle w:val="Heading4"/>
      </w:pPr>
      <w:bookmarkStart w:id="86" w:name="downloaddocument"/>
      <w:r>
        <w:t xml:space="preserve">DownloadDocument</w:t>
      </w:r>
      <w:bookmarkEnd w:id="84"/>
    </w:p>
    <w:p>
      <w:pPr>
        <w:pStyle w:val="TestomanualeCSW1"/>
      </w:pPr>
      <w:r>
        <w:t xml:space="preserve">Scarica il file di un documento.</w:t>
      </w:r>
    </w:p>
    <w:p>
      <w:pPr>
        <w:pStyle w:val="TestomanualeCSW1"/>
      </w:pPr>
      <w:r>
        <w:rPr>
          <w:rStyle w:val="VerbatimChar"/>
        </w:rPr>
        <w:t xml:space="preserve">POST /api/ext/DownloadDocument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è facoltativo: permette di scaricare una versione precedente, se per la classe documentale è attivo il salvataggio delle versioni.</w:t>
      </w:r>
    </w:p>
    <w:p>
      <w:pPr>
        <w:pStyle w:val="TestomanualeCSW1"/>
      </w:pPr>
      <w:r>
        <w:t xml:space="preserve">La risposta è direttamente il file, con il nome nell’intestazione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. L’utente deve avere il diritto di leggere i dati del documento.</w:t>
      </w:r>
    </w:p>
    <w:p>
      <w:pPr>
        <w:pStyle w:val="Heading4"/>
      </w:pPr>
      <w:bookmarkStart w:id="87" w:name="downloaddocumentjson"/>
      <w:r>
        <w:t xml:space="preserve">DownloadDocumentJSON</w:t>
      </w:r>
      <w:bookmarkEnd w:id="85"/>
    </w:p>
    <w:p>
      <w:pPr>
        <w:pStyle w:val="TestomanualeCSW1"/>
      </w:pPr>
      <w:r>
        <w:t xml:space="preserve">Come</w:t>
      </w:r>
      <w:r>
        <w:t xml:space="preserve"> </w:t>
      </w:r>
      <w:hyperlink w:anchor="downloaddocument">
        <w:r>
          <w:rPr>
            <w:rStyle w:val="Hyperlink"/>
          </w:rPr>
          <w:t xml:space="preserve">DownloadDocument</w:t>
        </w:r>
      </w:hyperlink>
      <w:r>
        <w:t xml:space="preserve">, ma restituisce il file dentro un oggetto JSON:</w:t>
      </w:r>
    </w:p>
    <w:p>
      <w:pPr>
        <w:pStyle w:val="TestomanualeCSW1"/>
      </w:pPr>
      <w:r>
        <w:rPr>
          <w:rStyle w:val="VerbatimChar"/>
        </w:rPr>
        <w:t xml:space="preserve">POST /api/ext/DownloadDocumentJSON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ed estensione del file.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FileData</w:t>
            </w:r>
          </w:p>
        </w:tc>
        <w:tc>
          <w:p>
            <w:pPr>
              <w:pStyle w:val="TestomanualeCSW1"/>
              <w:jc w:val="left"/>
            </w:pPr>
            <w:r>
              <w:t xml:space="preserve">Contenuto del file in base64.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VersionUser</w:t>
            </w:r>
          </w:p>
        </w:tc>
        <w:tc>
          <w:p>
            <w:pPr>
              <w:pStyle w:val="TestomanualeCSW1"/>
              <w:jc w:val="left"/>
            </w:pPr>
            <w:r>
              <w:t xml:space="preserve">Versione scaricata, data e utente che l’ha caricata.</w:t>
            </w:r>
          </w:p>
        </w:tc>
      </w:tr>
    </w:tbl>
    <w:p>
      <w:pPr>
        <w:pStyle w:val="Heading4"/>
      </w:pPr>
      <w:bookmarkStart w:id="88" w:name="documentversions"/>
      <w:r>
        <w:t xml:space="preserve">DocumentVersions</w:t>
      </w:r>
      <w:bookmarkEnd w:id="86"/>
    </w:p>
    <w:p>
      <w:pPr>
        <w:pStyle w:val="TestomanualeCSW1"/>
      </w:pPr>
      <w:r>
        <w:t xml:space="preserve">Restituisce l’elenco delle versioni di un documento (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oppure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L’utente deve avere il diritto di leggere i dati del documento.</w:t>
      </w:r>
    </w:p>
    <w:p>
      <w:pPr>
        <w:pStyle w:val="TestomanualeCSW1"/>
      </w:pPr>
      <w:r>
        <w:rPr>
          <w:rStyle w:val="VerbatimChar"/>
        </w:rPr>
        <w:t xml:space="preserve">POST /api/ext/DocumentVersions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"Disegno1"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"Extension"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"Disegno PXX"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"UploadDate"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"2025-09-23T00:00:00"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"Disegno2"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"Extension"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"Disegno PXX"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"UploadDate"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"2025-09-23T00:00:00"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p>
            <w:pPr>
              <w:pStyle w:val="TestomanualeCSW1"/>
              <w:jc w:val="left"/>
            </w:pPr>
            <w:r>
              <w:t xml:space="preserve">Numero della versione, da usare in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hyperlink w:anchor="downloaddocument">
              <w:r>
                <w:rPr>
                  <w:rStyle w:val="Hyperlink"/>
                </w:rPr>
                <w:t xml:space="preserve">DownloadDocument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FileName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ed estensione del file della versione.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p>
            <w:pPr>
              <w:pStyle w:val="TestomanualeCSW1"/>
              <w:jc w:val="left"/>
            </w:pPr>
            <w:r>
              <w:t xml:space="preserve">Descrizione della versione.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UploadDate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di caricamento e utente che l’ha caricata.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p>
            <w:pPr>
              <w:pStyle w:val="TestomanualeCSW1"/>
              <w:jc w:val="left"/>
            </w:pPr>
            <w:r>
              <w:t xml:space="preserve">Stato della versione: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per la versione attiva,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per le versioni precedenti,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per una bozza da approvare (caricata con</w:t>
            </w:r>
            <w:r>
              <w:t xml:space="preserve"> </w:t>
            </w:r>
            <w:r>
              <w:rPr>
                <w:rStyle w:val="VerbatimChar"/>
              </w:rPr>
              <w:t xml:space="preserve">newVersion: "new_draft"</w:t>
            </w:r>
            <w:r>
              <w:t xml:space="preserve">).</w:t>
            </w:r>
          </w:p>
        </w:tc>
      </w:tr>
    </w:tbl>
    <w:p>
      <w:pPr>
        <w:pStyle w:val="Heading4"/>
      </w:pPr>
      <w:bookmarkStart w:id="89" w:name="deletedocument"/>
      <w:r>
        <w:t xml:space="preserve">DeleteDocument</w:t>
      </w:r>
      <w:bookmarkEnd w:id="87"/>
    </w:p>
    <w:p>
      <w:pPr>
        <w:pStyle w:val="TestomanualeCSW1"/>
      </w:pPr>
      <w:r>
        <w:t xml:space="preserve">Elimina un documento (</w:t>
      </w:r>
      <w:r>
        <w:rPr>
          <w:rStyle w:val="VerbatimChar"/>
        </w:rPr>
        <w:t xml:space="preserve">InstanceId</w:t>
      </w:r>
      <w:r>
        <w:t xml:space="preserve"> </w:t>
      </w:r>
      <w:r>
        <w:t xml:space="preserve">oppure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), con le sue versioni e i suoi dati. Valgono i diritti dell’utente indicato.</w:t>
      </w:r>
    </w:p>
    <w:p>
      <w:pPr>
        <w:pStyle w:val="TestomanualeCSW1"/>
      </w:pPr>
      <w:r>
        <w:rPr>
          <w:rStyle w:val="VerbatimChar"/>
        </w:rPr>
        <w:t xml:space="preserve">POST /api/ext/DeleteDocument</w:t>
      </w:r>
    </w:p>
    <w:p>
      <w:pPr>
        <w:pStyle w:val="TestomanualeCSW1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Heading4"/>
      </w:pPr>
      <w:bookmarkStart w:id="90" w:name="documentsets"/>
      <w:r>
        <w:t xml:space="preserve">DocumentSets</w:t>
      </w:r>
      <w:bookmarkEnd w:id="88"/>
    </w:p>
    <w:p>
      <w:pPr>
        <w:pStyle w:val="TestomanualeCSW1"/>
      </w:pPr>
      <w:r>
        <w:t xml:space="preserve">Restituisce l’elenco delle classi documentali configurate e attive, con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 Richiede solo le credenziali. Stessa struttura di</w:t>
      </w:r>
      <w:r>
        <w:t xml:space="preserve"> </w:t>
      </w:r>
      <w:hyperlink w:anchor="processmodels">
        <w:r>
          <w:rPr>
            <w:rStyle w:val="Hyperlink"/>
          </w:rPr>
          <w:t xml:space="preserve">ProcessModels</w:t>
        </w:r>
      </w:hyperlink>
      <w:r>
        <w:t xml:space="preserve">.</w:t>
      </w:r>
    </w:p>
    <w:p>
      <w:pPr>
        <w:pStyle w:val="TestomanualeCSW1"/>
      </w:pPr>
      <w:r>
        <w:rPr>
          <w:rStyle w:val="VerbatimChar"/>
        </w:rPr>
        <w:t xml:space="preserve">POST /api/ext/DocumentSets</w:t>
      </w:r>
    </w:p>
    <w:p>
      <w:pPr>
        <w:pStyle w:val="Heading4"/>
      </w:pPr>
      <w:bookmarkStart w:id="91" w:name="adddocumenttodossier"/>
      <w:r>
        <w:t xml:space="preserve">AddDocumentToDossier</w:t>
      </w:r>
      <w:bookmarkEnd w:id="89"/>
    </w:p>
    <w:p>
      <w:pPr>
        <w:pStyle w:val="TestomanualeCSW1"/>
      </w:pPr>
      <w:r>
        <w:t xml:space="preserve">Inserisce un documento in un dossier. Se il dossier non esiste, viene creato.</w:t>
      </w:r>
    </w:p>
    <w:p>
      <w:pPr>
        <w:pStyle w:val="TestomanualeCSW1"/>
      </w:pPr>
      <w:r>
        <w:rPr>
          <w:rStyle w:val="VerbatimChar"/>
        </w:rPr>
        <w:t xml:space="preserve">POST /api/ext/AddDocumentToDossier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"&lt;id-istanza&gt;"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"Dossier"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"PRATICA"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"Pratica 2026/045"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"Pratica cliente 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InstanceId</w:t>
            </w:r>
            <w:r>
              <w:t xml:space="preserve"> </w:t>
            </w:r>
            <w:r>
              <w:t xml:space="preserve">oppure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DocumentName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Il documento.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Dossier.Type</w:t>
            </w:r>
          </w:p>
        </w:tc>
        <w:tc>
          <w:p>
            <w:pPr>
              <w:pStyle w:val="TestomanualeCSW1"/>
              <w:jc w:val="left"/>
            </w:pPr>
            <w:r>
              <w:t xml:space="preserve">Obbligatorio. Tipo di dossier.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Dossier.ID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Dossier.Name</w:t>
            </w:r>
          </w:p>
        </w:tc>
        <w:tc>
          <w:p>
            <w:pPr>
              <w:pStyle w:val="TestomanualeCSW1"/>
              <w:jc w:val="left"/>
            </w:pPr>
            <w:r>
              <w:t xml:space="preserve">Identificano il dossier.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Dossier.Description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Dossier.Contact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Dossier.Company</w:t>
            </w:r>
          </w:p>
        </w:tc>
        <w:tc>
          <w:p>
            <w:pPr>
              <w:pStyle w:val="TestomanualeCSW1"/>
              <w:jc w:val="left"/>
            </w:pPr>
            <w:r>
              <w:t xml:space="preserve">Dati descrittivi facoltativi.</w:t>
            </w:r>
          </w:p>
        </w:tc>
      </w:tr>
    </w:tbl>
    <w:p>
      <w:pPr>
        <w:pStyle w:val="TestomanualeCSW1"/>
        <w:spacing w:before="160"/>
      </w:pPr>
      <w:r>
        <w:t xml:space="preserve">Una volta nel dossier, il documento si trova sia dall’interfaccia sia con</w:t>
      </w:r>
      <w:r>
        <w:t xml:space="preserve"> </w:t>
      </w:r>
      <w:hyperlink w:anchor="searchdocuments">
        <w:r>
          <w:rPr>
            <w:rStyle w:val="Hyperlink"/>
          </w:rPr>
          <w:t xml:space="preserve">SearchDocuments</w:t>
        </w:r>
      </w:hyperlink>
      <w:r>
        <w:t xml:space="preserve">.</w:t>
      </w:r>
    </w:p>
    <w:p>
      <w:pPr>
        <w:pStyle w:val="TestomanualeCSW1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Heading2"/>
      </w:pPr>
      <w:bookmarkStart w:id="92" w:name="utilità"/>
      <w:r>
        <w:t xml:space="preserve">Utilità</w:t>
      </w:r>
      <w:bookmarkEnd w:id="90"/>
    </w:p>
    <w:p>
      <w:pPr>
        <w:pStyle w:val="Heading4"/>
      </w:pPr>
      <w:bookmarkStart w:id="93" w:name="getuser"/>
      <w:r>
        <w:t xml:space="preserve">GetUser</w:t>
      </w:r>
      <w:bookmarkEnd w:id="91"/>
    </w:p>
    <w:p>
      <w:pPr>
        <w:pStyle w:val="TestomanualeCSW1"/>
      </w:pPr>
      <w:r>
        <w:t xml:space="preserve">Verifica che un utente esista e ne restituisce i dati principali. È utile per controllare chiave API e</w:t>
      </w:r>
      <w:r>
        <w:t xml:space="preserve"> </w:t>
      </w:r>
      <w:hyperlink w:anchor="Xa8117395d10185f4a512511e468b8c60883b136">
        <w:r>
          <w:rPr>
            <w:rStyle w:val="Hyperlink"/>
          </w:rPr>
          <w:t xml:space="preserve">alias</w:t>
        </w:r>
      </w:hyperlink>
      <w:r>
        <w:t xml:space="preserve"> </w:t>
      </w:r>
      <w:r>
        <w:t xml:space="preserve">prima di usare le altre chiamate.</w:t>
      </w:r>
    </w:p>
    <w:p>
      <w:pPr>
        <w:pStyle w:val="TestomanualeCSW1"/>
      </w:pPr>
      <w:r>
        <w:rPr>
          <w:rStyle w:val="VerbatimChar"/>
        </w:rPr>
        <w:t xml:space="preserve">POST /api/ext/GetUser</w:t>
      </w:r>
      <w:r>
        <w:t xml:space="preserve"> </w:t>
      </w:r>
      <w:r>
        <w:t xml:space="preserve">(disponibile anche 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con i parametri nella query string)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t xml:space="preserve">Oppure, con un utente esterno: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"authenticationToken"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"&lt;chiave-api&gt;"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"samUser"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</w:pPr>
      <w:r>
        <w:rPr>
          <w:b/>
        </w:rPr>
        <w:t xml:space="preserve">Risposta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"mrossi"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"mario.rossi@azienda.it"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"isExternal"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"Amministrazione"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TestomanualeCSW1"/>
        <w:numPr>
          <w:ilvl w:val="0"/>
          <w:numId w:val="53"/>
        </w:numPr>
      </w:pPr>
      <w:r>
        <w:rPr>
          <w:rStyle w:val="VerbatimChar"/>
        </w:rPr>
        <w:t xml:space="preserve">userName</w:t>
      </w:r>
      <w:r>
        <w:t xml:space="preserve">: il nome dell’utente BPM, anche quando la richiesta indicava un utente esterno.</w:t>
      </w:r>
    </w:p>
    <w:p>
      <w:pPr>
        <w:pStyle w:val="TestomanualeCSW1"/>
        <w:numPr>
          <w:ilvl w:val="0"/>
          <w:numId w:val="53"/>
        </w:numPr>
      </w:pPr>
      <w:r>
        <w:rPr>
          <w:rStyle w:val="VerbatimChar"/>
        </w:rPr>
        <w:t xml:space="preserve">isExternal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per gli utenti di collaborazione esterna, per esempio i fornitori.</w:t>
      </w:r>
    </w:p>
    <w:p>
      <w:pPr>
        <w:pStyle w:val="TestomanualeCSW1"/>
        <w:numPr>
          <w:ilvl w:val="0"/>
          <w:numId w:val="53"/>
        </w:numPr>
      </w:pPr>
      <w:r>
        <w:rPr>
          <w:rStyle w:val="VerbatimChar"/>
        </w:rPr>
        <w:t xml:space="preserve">groups</w:t>
      </w:r>
      <w:r>
        <w:t xml:space="preserve">: i gruppi a cui l’utente appartiene.</w:t>
      </w:r>
    </w:p>
    <w:p>
      <w:pPr>
        <w:pStyle w:val="TestomanualeCSW1"/>
      </w:pPr>
      <w:r>
        <w:t xml:space="preserve">Se l’utente non esiste,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contiene l’errore.</w:t>
      </w:r>
    </w:p>
    <w:p>
      <w:pPr>
        <w:pStyle w:val="Heading4"/>
      </w:pPr>
      <w:bookmarkStart w:id="94" w:name="createorupdateuser"/>
      <w:r>
        <w:t xml:space="preserve">CreateOrUpdateUser</w:t>
      </w:r>
      <w:bookmarkEnd w:id="92"/>
    </w:p>
    <w:p>
      <w:pPr>
        <w:pStyle w:val="TestomanualeCSW1"/>
      </w:pPr>
      <w:r>
        <w:t xml:space="preserve">Crea un utente BPM oppure aggiorna un utente esistente.</w:t>
      </w:r>
    </w:p>
    <w:p>
      <w:pPr>
        <w:pStyle w:val="TestomanualeCSW1"/>
      </w:pPr>
      <w:r>
        <w:rPr>
          <w:rStyle w:val="VerbatimChar"/>
        </w:rPr>
        <w:t xml:space="preserve">POST /api/ext/CreateOrUpdateUser</w:t>
      </w:r>
    </w:p>
    <w:p>
      <w:pPr>
        <w:pStyle w:val="TestomanualeCSW1"/>
      </w:pPr>
      <w:r>
        <w:t xml:space="preserve">L’utente indicato in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è quello che esegue l’operazione e deve avere il diritto di gestire utenti e autorizzazioni.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targetUserName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dell’utente da creare o aggiornare.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password</w:t>
            </w:r>
          </w:p>
        </w:tc>
        <w:tc>
          <w:p>
            <w:pPr>
              <w:pStyle w:val="TestomanualeCSW1"/>
              <w:jc w:val="left"/>
            </w:pPr>
            <w:r>
              <w:t xml:space="preserve">Password.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p>
            <w:pPr>
              <w:pStyle w:val="TestomanualeCSW1"/>
              <w:jc w:val="left"/>
            </w:pPr>
            <w:r>
              <w:t xml:space="preserve">Email e descrizione.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isExternal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di collaborazione esterna.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passwordExpired</w:t>
            </w:r>
          </w:p>
        </w:tc>
        <w:tc>
          <w:p>
            <w:pPr>
              <w:pStyle w:val="TestomanualeCSW1"/>
              <w:jc w:val="left"/>
            </w:pPr>
            <w:r>
              <w:t xml:space="preserve">Password scaduta: l’utente dovrà cambiarla al primo accesso.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singleSignOn</w:t>
            </w:r>
          </w:p>
        </w:tc>
        <w:tc>
          <w:p>
            <w:pPr>
              <w:pStyle w:val="TestomanualeCSW1"/>
              <w:jc w:val="left"/>
            </w:pPr>
            <w:r>
              <w:t xml:space="preserve">Accesso con autenticazione di dominio.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systemUserName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di sistema e dominio, per l’accesso con autenticazione di dominio.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groups</w:t>
            </w:r>
          </w:p>
        </w:tc>
        <w:tc>
          <w:p>
            <w:pPr>
              <w:pStyle w:val="TestomanualeCSW1"/>
              <w:jc w:val="left"/>
            </w:pPr>
            <w:r>
              <w:t xml:space="preserve">Gruppi a cui l’utente appartiene.</w:t>
            </w:r>
          </w:p>
        </w:tc>
      </w:tr>
    </w:tbl>
    <w:p>
      <w:pPr>
        <w:pStyle w:val="TestomanualeCSW1"/>
        <w:spacing w:before="160"/>
      </w:pPr>
      <w:r>
        <w:t xml:space="preserve">Risposta: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l’utente è stato creato,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aggiornato).</w:t>
      </w:r>
    </w:p>
    <w:p>
      <w:pPr>
        <w:pStyle w:val="Heading4"/>
      </w:pPr>
      <w:bookmarkStart w:id="95" w:name="getversion"/>
      <w:r>
        <w:t xml:space="preserve">GetVersion</w:t>
      </w:r>
      <w:bookmarkEnd w:id="93"/>
    </w:p>
    <w:p>
      <w:pPr>
        <w:pStyle w:val="TestomanualeCSW1"/>
      </w:pPr>
      <w:r>
        <w:t xml:space="preserve">Restituisce la versione dell’applicazione. Disponibile 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 in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senza parametri né chiave API: è utile per verificare che le API siano raggiungibili.</w:t>
      </w:r>
    </w:p>
    <w:p>
      <w:pPr>
        <w:pStyle w:val="TestomanualeCSW1"/>
      </w:pPr>
      <w:r>
        <w:rPr>
          <w:rStyle w:val="VerbatimChar"/>
        </w:rPr>
        <w:t xml:space="preserve">GET /api/ext/GetVersion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"2026.7.3"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Heading1"/>
      </w:pPr>
      <w:bookmarkStart w:id="96" w:name="coda-delle-chiamate"/>
      <w:r>
        <w:t xml:space="preserve">Coda delle chiamate</w:t>
      </w:r>
      <w:bookmarkEnd w:id="94"/>
    </w:p>
    <w:p>
      <w:pPr>
        <w:pStyle w:val="TestomanualeCSW1"/>
      </w:pPr>
      <w:r>
        <w:t xml:space="preserve">La coda delle chiamate è una</w:t>
      </w:r>
      <w:r>
        <w:t xml:space="preserve"> </w:t>
      </w:r>
      <w:r>
        <w:rPr>
          <w:b/>
        </w:rPr>
        <w:t xml:space="preserve">porta d’ingresso alternativa</w:t>
      </w:r>
      <w:r>
        <w:t xml:space="preserve"> </w:t>
      </w:r>
      <w:r>
        <w:t xml:space="preserve">alle</w:t>
      </w:r>
      <w:r>
        <w:t xml:space="preserve"> </w:t>
      </w:r>
      <w:hyperlink w:anchor="api-standard">
        <w:r>
          <w:rPr>
            <w:rStyle w:val="Hyperlink"/>
          </w:rPr>
          <w:t xml:space="preserve">API standard</w:t>
        </w:r>
      </w:hyperlink>
      <w:r>
        <w:t xml:space="preserve">, pensata per i casi in cui il sistema esterno non può chiamare le API ma può scrivere sul database.</w:t>
      </w:r>
    </w:p>
    <w:p>
      <w:pPr>
        <w:pStyle w:val="TestomanualeCSW1"/>
        <w:pBdr>
          <w:left w:val="single" w:sz="12" w:space="8" w:color="3093EF"/>
        </w:pBdr>
        <w:spacing w:before="160"/>
        <w:ind w:left="567"/>
      </w:pPr>
      <w:r>
        <w:rPr>
          <w:b/>
        </w:rPr>
        <w:t xml:space="preserve">Un’alternativa, non un’altra API</w:t>
      </w:r>
    </w:p>
    <w:p>
      <w:pPr>
        <w:pStyle w:val="TestomanualeCSW1"/>
        <w:pBdr>
          <w:left w:val="single" w:sz="12" w:space="8" w:color="3093EF"/>
        </w:pBdr>
        <w:spacing w:after="160"/>
        <w:ind w:left="567"/>
      </w:pPr>
      <w:r>
        <w:t xml:space="preserve">La strada principale per integrare un’applicazione esterna è la chiamata diretta alle</w:t>
      </w:r>
      <w:r>
        <w:t xml:space="preserve"> </w:t>
      </w:r>
      <w:hyperlink w:anchor="api-standard">
        <w:r>
          <w:rPr>
            <w:rStyle w:val="Hyperlink"/>
          </w:rPr>
          <w:t xml:space="preserve">API standard</w:t>
        </w:r>
      </w:hyperlink>
      <w:r>
        <w:t xml:space="preserve">. La coda serve quando questa non è praticabile: software che lavorano solo sul database, trigger, stored procedure, situazioni in cui serve interagire con BPM rapidamente senza una programmazione più strutturata.</w:t>
      </w:r>
    </w:p>
    <w:p>
      <w:pPr>
        <w:pStyle w:val="TestomanualeCSW1"/>
      </w:pPr>
      <w:r>
        <w:t xml:space="preserve">Invece di chiamare le API, il sistema esterno</w:t>
      </w:r>
      <w:r>
        <w:t xml:space="preserve"> </w:t>
      </w:r>
      <w:r>
        <w:rPr>
          <w:b/>
        </w:rPr>
        <w:t xml:space="preserve">inserisce una riga</w:t>
      </w:r>
      <w:r>
        <w:t xml:space="preserve"> </w:t>
      </w:r>
      <w:r>
        <w:t xml:space="preserve">nella tabella</w:t>
      </w:r>
      <w:r>
        <w:t xml:space="preserve"> </w:t>
      </w:r>
      <w:r>
        <w:rPr>
          <w:rStyle w:val="VerbatimChar"/>
        </w:rPr>
        <w:t xml:space="preserve">ChiamateAPI</w:t>
      </w:r>
      <w:r>
        <w:t xml:space="preserve"> </w:t>
      </w:r>
      <w:r>
        <w:t xml:space="preserve">del database di BPM. Un servizio di BPM legge la coda, esegue la chiamata corrispondente e scrive l’esito nella stessa riga.</w:t>
      </w:r>
    </w:p>
    <w:p>
      <w:pPr>
        <w:pStyle w:val="Heading3"/>
      </w:pPr>
      <w:bookmarkStart w:id="97" w:name="come-funziona"/>
      <w:r>
        <w:t xml:space="preserve">Come funziona</w:t>
      </w:r>
      <w:bookmarkEnd w:id="95"/>
    </w:p>
    <w:p>
      <w:pPr>
        <w:pStyle w:val="TestomanualeCSW1"/>
        <w:numPr>
          <w:ilvl w:val="0"/>
          <w:numId w:val="54"/>
        </w:numPr>
      </w:pPr>
      <w:r>
        <w:t xml:space="preserve">Il sistema esterno inserisce una riga in</w:t>
      </w:r>
      <w:r>
        <w:t xml:space="preserve"> </w:t>
      </w:r>
      <w:r>
        <w:rPr>
          <w:rStyle w:val="VerbatimChar"/>
        </w:rPr>
        <w:t xml:space="preserve">ChiamateAPI</w:t>
      </w:r>
      <w:r>
        <w:t xml:space="preserve"> </w:t>
      </w:r>
      <w:r>
        <w:t xml:space="preserve">con il nome della chiamata e i parametri in JSON.</w:t>
      </w:r>
    </w:p>
    <w:p>
      <w:pPr>
        <w:pStyle w:val="TestomanualeCSW1"/>
        <w:numPr>
          <w:ilvl w:val="0"/>
          <w:numId w:val="54"/>
        </w:numPr>
      </w:pPr>
      <w:r>
        <w:t xml:space="preserve">Il servizio di BPM, che controlla la coda ogni pochi secondi, prende in carico la riga ed esegue la chiamata.</w:t>
      </w:r>
    </w:p>
    <w:p>
      <w:pPr>
        <w:pStyle w:val="TestomanualeCSW1"/>
        <w:numPr>
          <w:ilvl w:val="0"/>
          <w:numId w:val="54"/>
        </w:numPr>
      </w:pPr>
      <w:r>
        <w:t xml:space="preserve">L’esito viene scritto nella riga: risposta completa, esito sintetico ed eventuale messaggio di errore.</w:t>
      </w:r>
    </w:p>
    <w:p>
      <w:pPr>
        <w:pStyle w:val="TestomanualeCSW1"/>
        <w:numPr>
          <w:ilvl w:val="0"/>
          <w:numId w:val="54"/>
        </w:numPr>
      </w:pPr>
      <w:r>
        <w:t xml:space="preserve">Il sistema esterno, se gli serve, rilegge l’esito qualche secondo dopo.</w:t>
      </w:r>
    </w:p>
    <w:p>
      <w:pPr>
        <w:pStyle w:val="TestomanualeCSW1"/>
      </w:pPr>
      <w:r>
        <w:t xml:space="preserve">Le chiamate accodate seguono le stesse regole delle chiamate dirette: stesse</w:t>
      </w:r>
      <w:r>
        <w:t xml:space="preserve"> </w:t>
      </w:r>
      <w:hyperlink w:anchor="autenticazione-e-utenti">
        <w:r>
          <w:rPr>
            <w:rStyle w:val="Hyperlink"/>
          </w:rPr>
          <w:t xml:space="preserve">credenziali</w:t>
        </w:r>
      </w:hyperlink>
      <w:r>
        <w:t xml:space="preserve">, stessi parametri, stessi controlli.</w:t>
      </w:r>
    </w:p>
    <w:p>
      <w:pPr>
        <w:pStyle w:val="Heading3"/>
      </w:pPr>
      <w:bookmarkStart w:id="98" w:name="la-tabella-chiamateapi"/>
      <w:r>
        <w:t xml:space="preserve">La tabella</w:t>
      </w:r>
      <w:r>
        <w:t xml:space="preserve"> </w:t>
      </w:r>
      <w:r>
        <w:rPr>
          <w:rStyle w:val="VerbatimChar"/>
        </w:rPr>
        <w:t xml:space="preserve">ChiamateAPI</w:t>
      </w:r>
      <w:bookmarkEnd w:id="96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Chi la scrive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Funzione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Sistema esterno</w:t>
            </w:r>
          </w:p>
        </w:tc>
        <w:tc>
          <w:p>
            <w:pPr>
              <w:pStyle w:val="TestomanualeCSW1"/>
              <w:jc w:val="left"/>
            </w:pPr>
            <w:r>
              <w:t xml:space="preserve">Nome della chiamata, per esempio</w:t>
            </w:r>
            <w:r>
              <w:t xml:space="preserve"> </w:t>
            </w:r>
            <w:r>
              <w:rPr>
                <w:rStyle w:val="VerbatimChar"/>
              </w:rPr>
              <w:t xml:space="preserve">CreateNewProcess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ExecTask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Parametri</w:t>
            </w:r>
          </w:p>
        </w:tc>
        <w:tc>
          <w:p>
            <w:pPr>
              <w:pStyle w:val="TestomanualeCSW1"/>
              <w:jc w:val="left"/>
            </w:pPr>
            <w:r>
              <w:t xml:space="preserve">Sistema esterno</w:t>
            </w:r>
          </w:p>
        </w:tc>
        <w:tc>
          <w:p>
            <w:pPr>
              <w:pStyle w:val="TestomanualeCSW1"/>
              <w:jc w:val="left"/>
            </w:pPr>
            <w:r>
              <w:t xml:space="preserve">Il corpo JSON della chiamata, credenziali comprese.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p>
            <w:pPr>
              <w:pStyle w:val="TestomanualeCSW1"/>
              <w:jc w:val="left"/>
            </w:pPr>
            <w:r>
              <w:t xml:space="preserve">Sistema esterno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e ora di inserimento.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EseguitoInData</w:t>
            </w:r>
          </w:p>
        </w:tc>
        <w:tc>
          <w:p>
            <w:pPr>
              <w:pStyle w:val="TestomanualeCSW1"/>
              <w:jc w:val="left"/>
            </w:pPr>
            <w:r>
              <w:t xml:space="preserve">BPM</w:t>
            </w:r>
          </w:p>
        </w:tc>
        <w:tc>
          <w:p>
            <w:pPr>
              <w:pStyle w:val="TestomanualeCSW1"/>
              <w:jc w:val="left"/>
            </w:pPr>
            <w:r>
              <w:t xml:space="preserve">Data e ora in cui BPM ha elaborato la riga. Vuota finché la richiesta è in coda.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Response</w:t>
            </w:r>
          </w:p>
        </w:tc>
        <w:tc>
          <w:p>
            <w:pPr>
              <w:pStyle w:val="TestomanualeCSW1"/>
              <w:jc w:val="left"/>
            </w:pPr>
            <w:r>
              <w:t xml:space="preserve">BPM</w:t>
            </w:r>
          </w:p>
        </w:tc>
        <w:tc>
          <w:p>
            <w:pPr>
              <w:pStyle w:val="TestomanualeCSW1"/>
              <w:jc w:val="left"/>
            </w:pPr>
            <w:r>
              <w:t xml:space="preserve">La risposta JSON della chiamata, con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Risultato</w:t>
            </w:r>
          </w:p>
        </w:tc>
        <w:tc>
          <w:p>
            <w:pPr>
              <w:pStyle w:val="TestomanualeCSW1"/>
              <w:jc w:val="left"/>
            </w:pPr>
            <w:r>
              <w:t xml:space="preserve">BPM</w:t>
            </w:r>
          </w:p>
        </w:tc>
        <w:tc>
          <w:p>
            <w:pPr>
              <w:pStyle w:val="TestomanualeCSW1"/>
              <w:jc w:val="left"/>
            </w:pPr>
            <w:r>
              <w:t xml:space="preserve">Esito sintetico: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oppure</w:t>
            </w:r>
            <w:r>
              <w:t xml:space="preserve"> </w:t>
            </w:r>
            <w:r>
              <w:rPr>
                <w:rStyle w:val="VerbatimChar"/>
              </w:rPr>
              <w:t xml:space="preserve">KO</w:t>
            </w:r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ErrorMessage</w:t>
            </w:r>
          </w:p>
        </w:tc>
        <w:tc>
          <w:p>
            <w:pPr>
              <w:pStyle w:val="TestomanualeCSW1"/>
              <w:jc w:val="left"/>
            </w:pPr>
            <w:r>
              <w:t xml:space="preserve">BPM</w:t>
            </w:r>
          </w:p>
        </w:tc>
        <w:tc>
          <w:p>
            <w:pPr>
              <w:pStyle w:val="TestomanualeCSW1"/>
              <w:jc w:val="left"/>
            </w:pPr>
            <w:r>
              <w:t xml:space="preserve">In caso di</w:t>
            </w:r>
            <w:r>
              <w:t xml:space="preserve"> </w:t>
            </w:r>
            <w:r>
              <w:rPr>
                <w:rStyle w:val="VerbatimChar"/>
              </w:rPr>
              <w:t xml:space="preserve">KO</w:t>
            </w:r>
            <w:r>
              <w:t xml:space="preserve">, il messaggio di errore, ripreso da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.</w:t>
            </w:r>
          </w:p>
        </w:tc>
      </w:tr>
    </w:tbl>
    <w:p>
      <w:pPr>
        <w:pStyle w:val="TestomanualeCSW1"/>
        <w:spacing w:before="160"/>
      </w:pPr>
      <w:r>
        <w:t xml:space="preserve">Inserimento diretto: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ChiamateAPI (Funzione, Parametri,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'ExecTask'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'{"authorization": {"authenticationToken": "&lt;chiave-api&gt;", "samUser": "2"},</w:t>
      </w:r>
      <w:r>
        <w:br/>
      </w:r>
      <w:r>
        <w:rPr>
          <w:rStyle w:val="StringTok"/>
        </w:rPr>
        <w:t xml:space="preserve">          "model": "APPROVAZIONE ODA", "instanceId": "&lt;id-istanza&gt;", "activity": "Activity3"}'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GETDATE())</w:t>
      </w:r>
    </w:p>
    <w:p>
      <w:pPr>
        <w:pStyle w:val="Heading3"/>
      </w:pPr>
      <w:bookmarkStart w:id="99" w:name="leggere-lesito"/>
      <w:r>
        <w:t xml:space="preserve">Leggere l’esito</w:t>
      </w:r>
      <w:bookmarkEnd w:id="97"/>
    </w:p>
    <w:p>
      <w:pPr>
        <w:pStyle w:val="TestomanualeCSW1"/>
      </w:pPr>
      <w:r>
        <w:t xml:space="preserve">Una riga elaborata ha</w:t>
      </w:r>
      <w:r>
        <w:t xml:space="preserve"> </w:t>
      </w:r>
      <w:r>
        <w:rPr>
          <w:rStyle w:val="VerbatimChar"/>
        </w:rPr>
        <w:t xml:space="preserve">EseguitoInData</w:t>
      </w:r>
      <w:r>
        <w:t xml:space="preserve"> </w:t>
      </w:r>
      <w:r>
        <w:t xml:space="preserve">valorizzata. Se</w:t>
      </w:r>
      <w:r>
        <w:t xml:space="preserve"> </w:t>
      </w:r>
      <w:r>
        <w:rPr>
          <w:rStyle w:val="VerbatimChar"/>
        </w:rPr>
        <w:t xml:space="preserve">Risultato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KO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 </w:t>
      </w:r>
      <w:r>
        <w:t xml:space="preserve">spiega il motivo. Può trattarsi di:</w:t>
      </w:r>
    </w:p>
    <w:p>
      <w:pPr>
        <w:pStyle w:val="TestomanualeCSW1"/>
        <w:numPr>
          <w:ilvl w:val="0"/>
          <w:numId w:val="55"/>
        </w:numPr>
      </w:pPr>
      <w:r>
        <w:rPr>
          <w:b/>
        </w:rPr>
        <w:t xml:space="preserve">un controllo di BPM</w:t>
      </w:r>
      <w:r>
        <w:t xml:space="preserve">: nome di processo già esistente, variabile obbligatoria mancante, validazione non superata, processo non trovato…;</w:t>
      </w:r>
    </w:p>
    <w:p>
      <w:pPr>
        <w:pStyle w:val="TestomanualeCSW1"/>
        <w:numPr>
          <w:ilvl w:val="0"/>
          <w:numId w:val="55"/>
        </w:numPr>
      </w:pPr>
      <w:r>
        <w:rPr>
          <w:b/>
        </w:rPr>
        <w:t xml:space="preserve">un errore delle configurazioni eseguite dalla chiamata</w:t>
      </w:r>
      <w:r>
        <w:t xml:space="preserve">, per esempio una query SQL errata in un’operazione collegata allo start del processo.</w:t>
      </w:r>
    </w:p>
    <w:p>
      <w:pPr>
        <w:pStyle w:val="TestomanualeCSW1"/>
      </w:pPr>
      <w:r>
        <w:t xml:space="preserve">Esempi di righe elaborate (colonne principali):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Funzione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Risultato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ErrorMessage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ExecTask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OK</w:t>
            </w:r>
          </w:p>
        </w:tc>
        <w:tc>
          <w:p/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CreateNewProcess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Nome processo già esistente: "Sollecito Ordine ID 31"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UpdateProcess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KO</w:t>
            </w:r>
          </w:p>
        </w:tc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Process Not Found: 2024 - 2 - CONTROLLO FATTURE PASSIVE</w:t>
            </w:r>
          </w:p>
        </w:tc>
      </w:tr>
    </w:tbl>
    <w:p>
      <w:pPr>
        <w:pStyle w:val="TestomanualeCSW1"/>
        <w:spacing w:before="160"/>
      </w:pPr>
      <w:r>
        <w:t xml:space="preserve">Con la coda gli errori non tornano al chiamante nel momento dell’inserimento: se il sistema esterno deve reagire a un errore, deve rileggere la riga.</w:t>
      </w:r>
    </w:p>
    <w:p>
      <w:pPr>
        <w:pStyle w:val="Heading3"/>
      </w:pPr>
      <w:bookmarkStart w:id="100" w:name="chiamata-diretta-o-coda"/>
      <w:r>
        <w:t xml:space="preserve">Chiamata diretta o coda?</w:t>
      </w:r>
      <w:bookmarkEnd w:id="98"/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/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Chiamata diretta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Coda delle chiamate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Come</w:t>
            </w:r>
          </w:p>
        </w:tc>
        <w:tc>
          <w:p>
            <w:pPr>
              <w:pStyle w:val="TestomanualeCSW1"/>
              <w:jc w:val="left"/>
            </w:pPr>
            <w:r>
              <w:t xml:space="preserve">Richiesta HTTP alle API standard</w:t>
            </w:r>
          </w:p>
        </w:tc>
        <w:tc>
          <w:p>
            <w:pPr>
              <w:pStyle w:val="TestomanualeCSW1"/>
              <w:jc w:val="left"/>
            </w:pPr>
            <w:r>
              <w:t xml:space="preserve">Inserimento di una riga in una tabella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Esito</w:t>
            </w:r>
          </w:p>
        </w:tc>
        <w:tc>
          <w:p>
            <w:pPr>
              <w:pStyle w:val="TestomanualeCSW1"/>
              <w:jc w:val="left"/>
            </w:pPr>
            <w:r>
              <w:t xml:space="preserve">Immediato, nella risposta</w:t>
            </w:r>
          </w:p>
        </w:tc>
        <w:tc>
          <w:p>
            <w:pPr>
              <w:pStyle w:val="TestomanualeCSW1"/>
              <w:jc w:val="left"/>
            </w:pPr>
            <w:r>
              <w:t xml:space="preserve">Asincrono: si legge nella riga dopo qualche secondo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Errori di validazione</w:t>
            </w:r>
          </w:p>
        </w:tc>
        <w:tc>
          <w:p>
            <w:pPr>
              <w:pStyle w:val="TestomanualeCSW1"/>
              <w:jc w:val="left"/>
            </w:pPr>
            <w:r>
              <w:t xml:space="preserve">Il chiamante li riceve subito</w:t>
            </w:r>
          </w:p>
        </w:tc>
        <w:tc>
          <w:p>
            <w:pPr>
              <w:pStyle w:val="TestomanualeCSW1"/>
              <w:jc w:val="left"/>
            </w:pPr>
            <w:r>
              <w:t xml:space="preserve">Vanno riletti in un secondo momento</w:t>
            </w:r>
          </w:p>
        </w:tc>
      </w:tr>
      <w:tr>
        <w:tc>
          <w:p>
            <w:pPr>
              <w:pStyle w:val="TestomanualeCSW1"/>
              <w:jc w:val="left"/>
            </w:pPr>
            <w:r>
              <w:t xml:space="preserve">Adatta quando</w:t>
            </w:r>
          </w:p>
        </w:tc>
        <w:tc>
          <w:p>
            <w:pPr>
              <w:pStyle w:val="TestomanualeCSW1"/>
              <w:jc w:val="left"/>
            </w:pPr>
            <w:r>
              <w:t xml:space="preserve">Il chiamante deve sapere subito se l’operazione è riuscita</w:t>
            </w:r>
          </w:p>
        </w:tc>
        <w:tc>
          <w:p>
            <w:pPr>
              <w:pStyle w:val="TestomanualeCSW1"/>
              <w:jc w:val="left"/>
            </w:pPr>
            <w:r>
              <w:t xml:space="preserve">Il sistema esterno scrive facilmente su database ma non gestisce chiamate HTTP, oppure non deve restare in attesa</w:t>
            </w:r>
          </w:p>
        </w:tc>
      </w:tr>
    </w:tbl>
    <w:p>
      <w:pPr>
        <w:pStyle w:val="Heading3"/>
      </w:pPr>
      <w:bookmarkStart w:id="101" w:name="attivazione"/>
      <w:r>
        <w:t xml:space="preserve">Attivazione</w:t>
      </w:r>
      <w:bookmarkEnd w:id="99"/>
    </w:p>
    <w:p>
      <w:pPr>
        <w:pStyle w:val="TestomanualeCSW1"/>
      </w:pPr>
      <w:r>
        <w:t xml:space="preserve">La coda si attiva nei parametri di sistema, scheda</w:t>
      </w:r>
      <w:r>
        <w:t xml:space="preserve"> </w:t>
      </w:r>
      <w:r>
        <w:rPr>
          <w:b/>
        </w:rPr>
        <w:t xml:space="preserve">Engine/automatismi</w:t>
      </w:r>
      <w:r>
        <w:t xml:space="preserve">:</w:t>
      </w:r>
    </w:p>
    <w:p>
      <w:pPr>
        <w:pStyle w:val="TestomanualeCSW1"/>
        <w:numPr>
          <w:ilvl w:val="0"/>
          <w:numId w:val="56"/>
        </w:numPr>
      </w:pPr>
      <w:r>
        <w:rPr>
          <w:b/>
        </w:rPr>
        <w:t xml:space="preserve">Attiva esecuzione chiamate api da tabella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chiamateapi</w:t>
      </w:r>
      <w:r>
        <w:rPr>
          <w:b/>
        </w:rPr>
        <w:t xml:space="preserve">”</w:t>
      </w:r>
      <w:r>
        <w:t xml:space="preserve">: abilita il servizio che elabora la coda;</w:t>
      </w:r>
    </w:p>
    <w:p>
      <w:pPr>
        <w:pStyle w:val="TestomanualeCSW1"/>
        <w:numPr>
          <w:ilvl w:val="0"/>
          <w:numId w:val="56"/>
        </w:numPr>
      </w:pPr>
      <w:r>
        <w:rPr>
          <w:b/>
        </w:rPr>
        <w:t xml:space="preserve">url api</w:t>
      </w:r>
      <w:r>
        <w:t xml:space="preserve">: l’indirizzo delle API standard che il servizio chiama.</w:t>
      </w:r>
    </w:p>
    <w:p>
      <w:pPr>
        <w:pStyle w:val="Heading3"/>
      </w:pPr>
      <w:bookmarkStart w:id="102" w:name="stored-procedure-per-linserimento"/>
      <w:r>
        <w:t xml:space="preserve">Stored procedure per l’inserimento</w:t>
      </w:r>
      <w:bookmarkEnd w:id="100"/>
    </w:p>
    <w:p>
      <w:pPr>
        <w:pStyle w:val="TestomanualeCSW1"/>
      </w:pPr>
      <w:r>
        <w:t xml:space="preserve">Per evitare di comporre il JSON a mano, sono disponibili stored procedure che ricevono pochi parametri, costruiscono il JSON e inseriscono la riga in coda.</w:t>
      </w:r>
    </w:p>
    <w:p>
      <w:pPr>
        <w:pStyle w:val="Heading4"/>
      </w:pPr>
      <w:bookmarkStart w:id="103" w:name="bpm_createnewprocess"/>
      <w:r>
        <w:t xml:space="preserve">BPM_CreateNewProcess</w:t>
      </w:r>
      <w:bookmarkEnd w:id="101"/>
    </w:p>
    <w:p>
      <w:pPr>
        <w:pStyle w:val="TestomanualeCSW1"/>
      </w:pPr>
      <w:r>
        <w:t xml:space="preserve">Accoda l’avvio di un processo.</w:t>
      </w:r>
    </w:p>
    <w:p>
      <w:pPr>
        <w:pStyle w:val="SourceCode"/>
      </w:pPr>
      <w:r>
        <w:rPr>
          <w:rStyle w:val="KeywordTok"/>
        </w:rPr>
        <w:t xml:space="preserve">EXEC</w:t>
      </w:r>
      <w:r>
        <w:rPr>
          <w:rStyle w:val="NormalTok"/>
        </w:rPr>
        <w:t xml:space="preserve"> BPM_CreateNewProcess</w:t>
      </w:r>
      <w:r>
        <w:br/>
      </w:r>
      <w:r>
        <w:rPr>
          <w:rStyle w:val="NormalTok"/>
        </w:rPr>
        <w:t xml:space="preserve">     @user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@model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'APPROVAZIONE ODA'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@externalID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'1234'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@externalTable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@externalCompany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@startObject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</w:p>
    <w:tbl>
      <w:tblPr>
        <w:tblStyle w:val="TableGrid"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Parametro</w:t>
            </w:r>
          </w:p>
        </w:tc>
        <w:tc>
          <w:tcPr>
            <w:tcBorders>
              <w:bottom w:val="single" w:color="808080" w:sz="4"/>
            </w:tcBorders>
            <w:vAlign w:val="bottom"/>
          </w:tcPr>
          <w:p>
            <w:pPr>
              <w:pStyle w:val="TestomanualeCSW1"/>
              <w:jc w:val="left"/>
            </w:pPr>
            <w:r>
              <w:t xml:space="preserve">Descrizione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@user</w:t>
            </w:r>
          </w:p>
        </w:tc>
        <w:tc>
          <w:p>
            <w:pPr>
              <w:pStyle w:val="TestomanualeCSW1"/>
              <w:jc w:val="left"/>
            </w:pPr>
            <w:r>
              <w:t xml:space="preserve">Utente esterno per conto del quale si avvia il processo, risolto tramite gli</w:t>
            </w:r>
            <w:r>
              <w:t xml:space="preserve"> </w:t>
            </w:r>
            <w:hyperlink w:anchor="Xa8117395d10185f4a512511e468b8c60883b136">
              <w:r>
                <w:rPr>
                  <w:rStyle w:val="Hyperlink"/>
                </w:rPr>
                <w:t xml:space="preserve">alias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@model</w:t>
            </w:r>
          </w:p>
        </w:tc>
        <w:tc>
          <w:p>
            <w:pPr>
              <w:pStyle w:val="TestomanualeCSW1"/>
              <w:jc w:val="left"/>
            </w:pPr>
            <w:r>
              <w:t xml:space="preserve">Modello di processo da avviare.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@externalID</w:t>
            </w:r>
          </w:p>
        </w:tc>
        <w:tc>
          <w:p>
            <w:pPr>
              <w:pStyle w:val="TestomanualeCSW1"/>
              <w:jc w:val="left"/>
            </w:pPr>
            <w:r>
              <w:t xml:space="preserve">Identificativo del record esterno da cui nasce il processo.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@externalTable</w:t>
            </w:r>
          </w:p>
        </w:tc>
        <w:tc>
          <w:p>
            <w:pPr>
              <w:pStyle w:val="TestomanualeCSW1"/>
              <w:jc w:val="left"/>
            </w:pPr>
            <w:r>
              <w:t xml:space="preserve">Tabella o tipo del record esterno, facoltativo.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@externalCompany</w:t>
            </w:r>
          </w:p>
        </w:tc>
        <w:tc>
          <w:p>
            <w:pPr>
              <w:pStyle w:val="TestomanualeCSW1"/>
              <w:jc w:val="left"/>
            </w:pPr>
            <w:r>
              <w:t xml:space="preserve">Azienda del record esterno, facoltativa.</w:t>
            </w:r>
          </w:p>
        </w:tc>
      </w:tr>
      <w:tr>
        <w:tc>
          <w:p>
            <w:pPr>
              <w:pStyle w:val="TestomanualeCSW1"/>
              <w:jc w:val="left"/>
            </w:pPr>
            <w:r>
              <w:rPr>
                <w:rStyle w:val="VerbatimChar"/>
              </w:rPr>
              <w:t xml:space="preserve">@startObject</w:t>
            </w:r>
          </w:p>
        </w:tc>
        <w:tc>
          <w:p>
            <w:pPr>
              <w:pStyle w:val="TestomanualeCSW1"/>
              <w:jc w:val="left"/>
            </w:pPr>
            <w:r>
              <w:t xml:space="preserve">Start da cui avviare il processo; vuoto per lo start predefinito.</w:t>
            </w:r>
          </w:p>
        </w:tc>
      </w:tr>
    </w:tbl>
    <w:p>
      <w:pPr>
        <w:pStyle w:val="TestomanualeCSW1"/>
        <w:spacing w:before="160"/>
      </w:pPr>
      <w:r>
        <w:t xml:space="preserve">La chiave API viene letta dalla configurazione di BPM: chi scrive il trigger non deve gestirla.</w:t>
      </w:r>
    </w:p>
    <w:p>
      <w:pPr>
        <w:pStyle w:val="TestomanualeCSW1"/>
      </w:pPr>
      <w:r>
        <w:t xml:space="preserve">La procedura non restituisce mai errori: se l’inserimento in coda non riesce, l’operazione del sistema chiamante prosegue comunque. È una scelta voluta: usata in un trigger, un errore bloccherebbe l’elaborazione del sistema esterno.</w:t>
      </w:r>
    </w:p>
    <w:p>
      <w:pPr>
        <w:pStyle w:val="Heading4"/>
      </w:pPr>
      <w:bookmarkStart w:id="104" w:name="la-convenzione-external-id"/>
      <w:r>
        <w:t xml:space="preserve">La convenzione EXTERNAL ID</w:t>
      </w:r>
      <w:bookmarkEnd w:id="102"/>
    </w:p>
    <w:p>
      <w:pPr>
        <w:pStyle w:val="TestomanualeCSW1"/>
      </w:pPr>
      <w:r>
        <w:t xml:space="preserve">La stored procedure non passa i dati del processo, ma solo il</w:t>
      </w:r>
      <w:r>
        <w:t xml:space="preserve"> </w:t>
      </w:r>
      <w:r>
        <w:rPr>
          <w:b/>
        </w:rPr>
        <w:t xml:space="preserve">riferimento</w:t>
      </w:r>
      <w:r>
        <w:t xml:space="preserve"> </w:t>
      </w:r>
      <w:r>
        <w:t xml:space="preserve">al record esterno, nelle variabili</w:t>
      </w:r>
      <w:r>
        <w:t xml:space="preserve"> </w:t>
      </w:r>
      <w:r>
        <w:rPr>
          <w:rStyle w:val="VerbatimChar"/>
        </w:rPr>
        <w:t xml:space="preserve">EXTERNAL 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 TABLE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EXTERNAL COMPANY</w:t>
      </w:r>
      <w:r>
        <w:t xml:space="preserve">. Il modello di processo deve quindi avere queste tre variabili.</w:t>
      </w:r>
    </w:p>
    <w:p>
      <w:pPr>
        <w:pStyle w:val="TestomanualeCSW1"/>
      </w:pPr>
      <w:r>
        <w:t xml:space="preserve">Sarà poi il processo, all’avvio, a recuperare da solo gli altri dati che gli servono, con query o connettori configurati sullo start. Per esempio, per un processo di approvazione di un ordine d’acquisto basta passare l’ID dell’ordine: fornitore, numero, righe e importo vengono letti da BPM.</w:t>
      </w:r>
    </w:p>
    <w:p>
      <w:pPr>
        <w:pStyle w:val="TestomanualeCSW1"/>
      </w:pPr>
      <w:r>
        <w:t xml:space="preserve">I vantaggi:</w:t>
      </w:r>
    </w:p>
    <w:p>
      <w:pPr>
        <w:pStyle w:val="TestomanualeCSW1"/>
        <w:numPr>
          <w:ilvl w:val="0"/>
          <w:numId w:val="57"/>
        </w:numPr>
      </w:pPr>
      <w:r>
        <w:t xml:space="preserve">il trigger sul sistema esterno resta di poche righe e non deve comporre JSON;</w:t>
      </w:r>
    </w:p>
    <w:p>
      <w:pPr>
        <w:pStyle w:val="TestomanualeCSW1"/>
        <w:numPr>
          <w:ilvl w:val="0"/>
          <w:numId w:val="57"/>
        </w:numPr>
      </w:pPr>
      <w:r>
        <w:t xml:space="preserve">la logica di recupero dei dati si configura in BPM, con gli strumenti grafici del Designer, e si modifica senza toccare il sistema esterno.</w:t>
      </w:r>
    </w:p>
    <w:sectPr w:rsidR="00D5385B" w:rsidRPr="00D5385B" w:rsidSect="00B70E01"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7" w:h="16840" w:code="9"/>
      <w:pgMar w:top="2160" w:right="1275" w:bottom="1440" w:left="1276" w:header="480" w:footer="64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79218" w14:textId="77777777" w:rsidR="00047510" w:rsidRDefault="00047510">
      <w:r>
        <w:separator/>
      </w:r>
    </w:p>
    <w:p w14:paraId="4C2CA6E4" w14:textId="77777777" w:rsidR="00047510" w:rsidRDefault="00047510"/>
    <w:p w14:paraId="680B628D" w14:textId="77777777" w:rsidR="00047510" w:rsidRDefault="00047510"/>
    <w:p w14:paraId="17D0A061" w14:textId="77777777" w:rsidR="00047510" w:rsidRDefault="00047510"/>
  </w:endnote>
  <w:endnote w:type="continuationSeparator" w:id="0">
    <w:p w14:paraId="191EDBEE" w14:textId="77777777" w:rsidR="00047510" w:rsidRDefault="00047510">
      <w:r>
        <w:continuationSeparator/>
      </w:r>
    </w:p>
    <w:p w14:paraId="4FE7F388" w14:textId="77777777" w:rsidR="00047510" w:rsidRDefault="00047510"/>
    <w:p w14:paraId="1076797B" w14:textId="77777777" w:rsidR="00047510" w:rsidRDefault="00047510"/>
    <w:p w14:paraId="2C1F2BB1" w14:textId="77777777" w:rsidR="00047510" w:rsidRDefault="00047510"/>
  </w:endnote>
  <w:endnote w:type="continuationNotice" w:id="1">
    <w:p w14:paraId="0A4B571C" w14:textId="77777777" w:rsidR="00047510" w:rsidRDefault="0004751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manOldStyle"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-Condensed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CF3EB" w14:textId="77777777" w:rsidR="005C67E9" w:rsidRDefault="005C67E9" w:rsidP="00D9242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91675A9" w14:textId="77777777" w:rsidR="005C67E9" w:rsidRDefault="005C67E9">
    <w:pPr>
      <w:pStyle w:val="Footer"/>
      <w:ind w:right="360"/>
    </w:pPr>
  </w:p>
  <w:p w14:paraId="3DAC8E77" w14:textId="77777777" w:rsidR="005C67E9" w:rsidRDefault="005C67E9"/>
  <w:p w14:paraId="79D3A76B" w14:textId="77777777" w:rsidR="00C31703" w:rsidRDefault="00C31703"/>
  <w:p w14:paraId="1FC55C3F" w14:textId="77777777" w:rsidR="006E2694" w:rsidRDefault="006E269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04458" w14:textId="464F766C" w:rsidR="005C67E9" w:rsidRPr="00E449C7" w:rsidRDefault="00BA4F63" w:rsidP="00F74188">
    <w:pPr>
      <w:pStyle w:val="Footer"/>
      <w:tabs>
        <w:tab w:val="clear" w:pos="4819"/>
        <w:tab w:val="left" w:pos="492"/>
        <w:tab w:val="right" w:pos="7576"/>
      </w:tabs>
      <w:ind w:right="360"/>
      <w:rPr>
        <w:rFonts w:ascii="Arial" w:hAnsi="Arial"/>
        <w:sz w:val="18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8F8FEE5" wp14:editId="351A3EDC">
              <wp:simplePos x="0" y="0"/>
              <wp:positionH relativeFrom="column">
                <wp:posOffset>4511040</wp:posOffset>
              </wp:positionH>
              <wp:positionV relativeFrom="paragraph">
                <wp:posOffset>46355</wp:posOffset>
              </wp:positionV>
              <wp:extent cx="1484630" cy="261620"/>
              <wp:effectExtent l="0" t="0" r="1270" b="1270"/>
              <wp:wrapSquare wrapText="bothSides"/>
              <wp:docPr id="6" name="Casella di tes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84630" cy="261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DA77EC" w14:textId="77777777" w:rsidR="005C67E9" w:rsidRPr="00AB3D3E" w:rsidRDefault="005C67E9" w:rsidP="00C16D0B">
                          <w:pPr>
                            <w:pStyle w:val="Footer"/>
                            <w:jc w:val="right"/>
                            <w:rPr>
                              <w:rFonts w:ascii="Calibri" w:hAnsi="Calibri"/>
                              <w:noProof/>
                              <w:color w:val="000066"/>
                              <w:szCs w:val="14"/>
                            </w:rPr>
                          </w:pPr>
                          <w:r w:rsidRPr="00AB3D3E">
                            <w:rPr>
                              <w:rFonts w:ascii="Calibri" w:hAnsi="Calibri"/>
                              <w:color w:val="000066"/>
                              <w:szCs w:val="14"/>
                            </w:rPr>
                            <w:t>Pagina</w:t>
                          </w:r>
                          <w:r w:rsidRPr="00AB3D3E">
                            <w:rPr>
                              <w:rFonts w:ascii="Calibri" w:hAnsi="Calibri"/>
                              <w:b/>
                              <w:color w:val="000066"/>
                              <w:szCs w:val="14"/>
                            </w:rPr>
                            <w:t xml:space="preserve"> </w:t>
                          </w:r>
                          <w:r w:rsidRPr="00AB3D3E">
                            <w:rPr>
                              <w:rFonts w:ascii="Calibri" w:hAnsi="Calibri"/>
                              <w:b/>
                              <w:color w:val="000066"/>
                              <w:szCs w:val="14"/>
                            </w:rPr>
                            <w:fldChar w:fldCharType="begin"/>
                          </w:r>
                          <w:r w:rsidRPr="00AB3D3E">
                            <w:rPr>
                              <w:rFonts w:ascii="Calibri" w:hAnsi="Calibri"/>
                              <w:b/>
                              <w:color w:val="000066"/>
                              <w:szCs w:val="14"/>
                            </w:rPr>
                            <w:instrText xml:space="preserve"> PAGE </w:instrText>
                          </w:r>
                          <w:r w:rsidRPr="00AB3D3E">
                            <w:rPr>
                              <w:rFonts w:ascii="Calibri" w:hAnsi="Calibri"/>
                              <w:b/>
                              <w:color w:val="000066"/>
                              <w:szCs w:val="14"/>
                            </w:rPr>
                            <w:fldChar w:fldCharType="separate"/>
                          </w:r>
                          <w:r w:rsidR="004D5232" w:rsidRPr="00AB3D3E">
                            <w:rPr>
                              <w:rFonts w:ascii="Calibri" w:hAnsi="Calibri"/>
                              <w:b/>
                              <w:noProof/>
                              <w:color w:val="000066"/>
                              <w:szCs w:val="14"/>
                            </w:rPr>
                            <w:t>2</w:t>
                          </w:r>
                          <w:r w:rsidRPr="00AB3D3E">
                            <w:rPr>
                              <w:rFonts w:ascii="Calibri" w:hAnsi="Calibri"/>
                              <w:b/>
                              <w:color w:val="000066"/>
                              <w:szCs w:val="14"/>
                            </w:rPr>
                            <w:fldChar w:fldCharType="end"/>
                          </w:r>
                          <w:r w:rsidRPr="00AB3D3E">
                            <w:rPr>
                              <w:rFonts w:ascii="Calibri" w:hAnsi="Calibri"/>
                              <w:color w:val="000066"/>
                              <w:szCs w:val="14"/>
                            </w:rPr>
                            <w:t xml:space="preserve"> di </w:t>
                          </w:r>
                          <w:r w:rsidRPr="00AB3D3E">
                            <w:rPr>
                              <w:rFonts w:ascii="Calibri" w:hAnsi="Calibri"/>
                              <w:color w:val="000066"/>
                              <w:szCs w:val="14"/>
                            </w:rPr>
                            <w:fldChar w:fldCharType="begin"/>
                          </w:r>
                          <w:r w:rsidRPr="00AB3D3E">
                            <w:rPr>
                              <w:rFonts w:ascii="Calibri" w:hAnsi="Calibri"/>
                              <w:color w:val="000066"/>
                              <w:szCs w:val="14"/>
                            </w:rPr>
                            <w:instrText xml:space="preserve"> NUMPAGES </w:instrText>
                          </w:r>
                          <w:r w:rsidRPr="00AB3D3E">
                            <w:rPr>
                              <w:rFonts w:ascii="Calibri" w:hAnsi="Calibri"/>
                              <w:color w:val="000066"/>
                              <w:szCs w:val="14"/>
                            </w:rPr>
                            <w:fldChar w:fldCharType="separate"/>
                          </w:r>
                          <w:r w:rsidR="004D5232" w:rsidRPr="00AB3D3E">
                            <w:rPr>
                              <w:rFonts w:ascii="Calibri" w:hAnsi="Calibri"/>
                              <w:noProof/>
                              <w:color w:val="000066"/>
                              <w:szCs w:val="14"/>
                            </w:rPr>
                            <w:t>3</w:t>
                          </w:r>
                          <w:r w:rsidRPr="00AB3D3E">
                            <w:rPr>
                              <w:rFonts w:ascii="Calibri" w:hAnsi="Calibri"/>
                              <w:color w:val="00006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F8FEE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6" type="#_x0000_t202" style="position:absolute;margin-left:355.2pt;margin-top:3.65pt;width:116.9pt;height:20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" stroked="f">
              <v:textbox style="mso-fit-shape-to-text:t">
                <w:txbxContent>
                  <w:p w14:paraId="29DA77EC" w14:textId="77777777" w:rsidR="005C67E9" w:rsidRPr="00AB3D3E" w:rsidRDefault="005C67E9" w:rsidP="00C16D0B">
                    <w:pPr>
                      <w:pStyle w:val="Footer"/>
                      <w:jc w:val="right"/>
                      <w:rPr>
                        <w:rFonts w:ascii="Calibri" w:hAnsi="Calibri"/>
                        <w:noProof/>
                        <w:color w:val="000066"/>
                        <w:szCs w:val="14"/>
                      </w:rPr>
                    </w:pPr>
                    <w:r w:rsidRPr="00AB3D3E">
                      <w:rPr>
                        <w:rFonts w:ascii="Calibri" w:hAnsi="Calibri"/>
                        <w:color w:val="000066"/>
                        <w:szCs w:val="14"/>
                      </w:rPr>
                      <w:t>Pagina</w:t>
                    </w:r>
                    <w:r w:rsidRPr="00AB3D3E">
                      <w:rPr>
                        <w:rFonts w:ascii="Calibri" w:hAnsi="Calibri"/>
                        <w:b/>
                        <w:color w:val="000066"/>
                        <w:szCs w:val="14"/>
                      </w:rPr>
                      <w:t xml:space="preserve"> </w:t>
                    </w:r>
                    <w:r w:rsidRPr="00AB3D3E">
                      <w:rPr>
                        <w:rFonts w:ascii="Calibri" w:hAnsi="Calibri"/>
                        <w:b/>
                        <w:color w:val="000066"/>
                        <w:szCs w:val="14"/>
                      </w:rPr>
                      <w:fldChar w:fldCharType="begin"/>
                    </w:r>
                    <w:r w:rsidRPr="00AB3D3E">
                      <w:rPr>
                        <w:rFonts w:ascii="Calibri" w:hAnsi="Calibri"/>
                        <w:b/>
                        <w:color w:val="000066"/>
                        <w:szCs w:val="14"/>
                      </w:rPr>
                      <w:instrText xml:space="preserve"> PAGE </w:instrText>
                    </w:r>
                    <w:r w:rsidRPr="00AB3D3E">
                      <w:rPr>
                        <w:rFonts w:ascii="Calibri" w:hAnsi="Calibri"/>
                        <w:b/>
                        <w:color w:val="000066"/>
                        <w:szCs w:val="14"/>
                      </w:rPr>
                      <w:fldChar w:fldCharType="separate"/>
                    </w:r>
                    <w:r w:rsidR="004D5232" w:rsidRPr="00AB3D3E">
                      <w:rPr>
                        <w:rFonts w:ascii="Calibri" w:hAnsi="Calibri"/>
                        <w:b/>
                        <w:noProof/>
                        <w:color w:val="000066"/>
                        <w:szCs w:val="14"/>
                      </w:rPr>
                      <w:t>2</w:t>
                    </w:r>
                    <w:r w:rsidRPr="00AB3D3E">
                      <w:rPr>
                        <w:rFonts w:ascii="Calibri" w:hAnsi="Calibri"/>
                        <w:b/>
                        <w:color w:val="000066"/>
                        <w:szCs w:val="14"/>
                      </w:rPr>
                      <w:fldChar w:fldCharType="end"/>
                    </w:r>
                    <w:r w:rsidRPr="00AB3D3E">
                      <w:rPr>
                        <w:rFonts w:ascii="Calibri" w:hAnsi="Calibri"/>
                        <w:color w:val="000066"/>
                        <w:szCs w:val="14"/>
                      </w:rPr>
                      <w:t xml:space="preserve"> di </w:t>
                    </w:r>
                    <w:r w:rsidRPr="00AB3D3E">
                      <w:rPr>
                        <w:rFonts w:ascii="Calibri" w:hAnsi="Calibri"/>
                        <w:color w:val="000066"/>
                        <w:szCs w:val="14"/>
                      </w:rPr>
                      <w:fldChar w:fldCharType="begin"/>
                    </w:r>
                    <w:r w:rsidRPr="00AB3D3E">
                      <w:rPr>
                        <w:rFonts w:ascii="Calibri" w:hAnsi="Calibri"/>
                        <w:color w:val="000066"/>
                        <w:szCs w:val="14"/>
                      </w:rPr>
                      <w:instrText xml:space="preserve"> NUMPAGES </w:instrText>
                    </w:r>
                    <w:r w:rsidRPr="00AB3D3E">
                      <w:rPr>
                        <w:rFonts w:ascii="Calibri" w:hAnsi="Calibri"/>
                        <w:color w:val="000066"/>
                        <w:szCs w:val="14"/>
                      </w:rPr>
                      <w:fldChar w:fldCharType="separate"/>
                    </w:r>
                    <w:r w:rsidR="004D5232" w:rsidRPr="00AB3D3E">
                      <w:rPr>
                        <w:rFonts w:ascii="Calibri" w:hAnsi="Calibri"/>
                        <w:noProof/>
                        <w:color w:val="000066"/>
                        <w:szCs w:val="14"/>
                      </w:rPr>
                      <w:t>3</w:t>
                    </w:r>
                    <w:r w:rsidRPr="00AB3D3E">
                      <w:rPr>
                        <w:rFonts w:ascii="Calibri" w:hAnsi="Calibri"/>
                        <w:color w:val="00006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74188">
      <w:rPr>
        <w:rFonts w:ascii="Arial" w:hAnsi="Arial"/>
        <w:sz w:val="18"/>
        <w:szCs w:val="16"/>
      </w:rPr>
      <w:tab/>
    </w:r>
    <w:r w:rsidR="00F74188">
      <w:rPr>
        <w:rFonts w:ascii="Arial" w:hAnsi="Arial"/>
        <w:sz w:val="18"/>
        <w:szCs w:val="16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E8AC3" w14:textId="77777777" w:rsidR="005C67E9" w:rsidRDefault="005C67E9" w:rsidP="00F63CD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37100" w14:textId="77777777" w:rsidR="00047510" w:rsidRDefault="00047510">
      <w:r>
        <w:separator/>
      </w:r>
    </w:p>
    <w:p w14:paraId="32C2F886" w14:textId="77777777" w:rsidR="00047510" w:rsidRDefault="00047510"/>
    <w:p w14:paraId="7CC4F941" w14:textId="77777777" w:rsidR="00047510" w:rsidRDefault="00047510"/>
    <w:p w14:paraId="2B9B24E1" w14:textId="77777777" w:rsidR="00047510" w:rsidRDefault="00047510"/>
  </w:footnote>
  <w:footnote w:type="continuationSeparator" w:id="0">
    <w:p w14:paraId="06FCB02F" w14:textId="77777777" w:rsidR="00047510" w:rsidRDefault="00047510">
      <w:r>
        <w:continuationSeparator/>
      </w:r>
    </w:p>
    <w:p w14:paraId="26FFA5DC" w14:textId="77777777" w:rsidR="00047510" w:rsidRDefault="00047510"/>
    <w:p w14:paraId="388AB7E6" w14:textId="77777777" w:rsidR="00047510" w:rsidRDefault="00047510"/>
    <w:p w14:paraId="3CBDB744" w14:textId="77777777" w:rsidR="00047510" w:rsidRDefault="00047510"/>
  </w:footnote>
  <w:footnote w:type="continuationNotice" w:id="1">
    <w:p w14:paraId="258AF402" w14:textId="77777777" w:rsidR="00047510" w:rsidRDefault="0004751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63EB0" w14:textId="7B432368" w:rsidR="005C67E9" w:rsidRDefault="00641F76" w:rsidP="002327FE">
    <w:pPr>
      <w:ind w:left="-240"/>
      <w:rPr>
        <w:rFonts w:ascii="Arial" w:hAnsi="Arial"/>
        <w:sz w:val="24"/>
      </w:rPr>
    </w:pPr>
    <w:r>
      <w:rPr>
        <w:rFonts w:ascii="Arial" w:hAnsi="Arial"/>
        <w:noProof/>
        <w:sz w:val="24"/>
      </w:rPr>
      <w:drawing>
        <wp:anchor distT="0" distB="0" distL="114300" distR="114300" simplePos="0" relativeHeight="251658241" behindDoc="0" locked="0" layoutInCell="1" allowOverlap="1" wp14:anchorId="7B0ABE8B" wp14:editId="59B23528">
          <wp:simplePos x="0" y="0"/>
          <wp:positionH relativeFrom="column">
            <wp:posOffset>5072380</wp:posOffset>
          </wp:positionH>
          <wp:positionV relativeFrom="paragraph">
            <wp:posOffset>205740</wp:posOffset>
          </wp:positionV>
          <wp:extent cx="1047750" cy="495300"/>
          <wp:effectExtent l="0" t="0" r="0" b="0"/>
          <wp:wrapNone/>
          <wp:docPr id="7" name="Immagine 8" descr="Logo CS Video_The ERP Compan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73" descr="Logo CS Video_The ERP Compan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95D14">
      <w:rPr>
        <w:noProof/>
      </w:rPr>
      <w:drawing>
        <wp:anchor distT="0" distB="0" distL="114300" distR="114300" simplePos="0" relativeHeight="251658242" behindDoc="0" locked="0" layoutInCell="1" allowOverlap="1" wp14:anchorId="459F2DCB" wp14:editId="08D7569F">
          <wp:simplePos x="0" y="0"/>
          <wp:positionH relativeFrom="column">
            <wp:posOffset>-177800</wp:posOffset>
          </wp:positionH>
          <wp:positionV relativeFrom="paragraph">
            <wp:posOffset>259715</wp:posOffset>
          </wp:positionV>
          <wp:extent cx="1463040" cy="372745"/>
          <wp:effectExtent l="0" t="0" r="3810" b="8255"/>
          <wp:wrapNone/>
          <wp:docPr id="8" name="Immagine 5" descr="Logo_CS_Education_ner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4" descr="Logo_CS_Education_ner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3040" cy="372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F7FA94C" w14:textId="77777777" w:rsidR="005C67E9" w:rsidRDefault="005C67E9" w:rsidP="00A01B04">
    <w:pPr>
      <w:pStyle w:val="Header"/>
    </w:pPr>
  </w:p>
  <w:p w14:paraId="10CD6944" w14:textId="77777777" w:rsidR="00C31703" w:rsidRDefault="00C31703"/>
  <w:p w14:paraId="4D90BC75" w14:textId="77777777" w:rsidR="006E2694" w:rsidRDefault="006E269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3FD39" w14:textId="77777777" w:rsidR="005C67E9" w:rsidRDefault="00786E79" w:rsidP="0054776D">
    <w:pPr>
      <w:pStyle w:val="Header"/>
      <w:tabs>
        <w:tab w:val="clear" w:pos="4819"/>
        <w:tab w:val="clear" w:pos="9638"/>
        <w:tab w:val="center" w:pos="4678"/>
        <w:tab w:val="right" w:pos="9356"/>
      </w:tabs>
      <w:spacing w:after="60"/>
      <w:jc w:val="center"/>
    </w:pPr>
    <w:r w:rsidRPr="006F7B8C">
      <w:rPr>
        <w:rFonts w:ascii="Arial" w:hAnsi="Arial"/>
        <w:noProof/>
        <w:sz w:val="18"/>
      </w:rPr>
      <w:drawing>
        <wp:inline distT="0" distB="0" distL="0" distR="0" wp14:anchorId="7C7E32BD" wp14:editId="2F70D53E">
          <wp:extent cx="2111195" cy="1002030"/>
          <wp:effectExtent l="0" t="0" r="3810" b="7620"/>
          <wp:docPr id="9" name="Immagin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magine 2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3501" cy="1003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3"/>
    <w:lvl w:ilvl="0">
      <w:numFmt w:val="bullet"/>
      <w:lvlText w:val=""/>
      <w:lvlJc w:val="left"/>
      <w:pPr>
        <w:tabs>
          <w:tab w:val="num" w:pos="927"/>
        </w:tabs>
        <w:ind w:left="927" w:hanging="360"/>
      </w:pPr>
      <w:rPr>
        <w:rFonts w:ascii="Wingdings" w:hAnsi="Wingdings"/>
        <w:color w:val="auto"/>
      </w:rPr>
    </w:lvl>
  </w:abstractNum>
  <w:abstractNum w:abstractNumId="1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"/>
      <w:lvlJc w:val="left"/>
      <w:pPr>
        <w:tabs>
          <w:tab w:val="num" w:pos="360"/>
        </w:tabs>
        <w:ind w:left="360" w:hanging="360"/>
      </w:pPr>
      <w:rPr>
        <w:rFonts w:ascii="Wingdings 3" w:hAnsi="Wingdings 3"/>
      </w:rPr>
    </w:lvl>
  </w:abstractNum>
  <w:abstractNum w:abstractNumId="2" w15:restartNumberingAfterBreak="0">
    <w:nsid w:val="02621B9F"/>
    <w:multiLevelType w:val="hybridMultilevel"/>
    <w:tmpl w:val="44AE1C16"/>
    <w:lvl w:ilvl="0" w:tplc="36246E3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B73327"/>
    <w:multiLevelType w:val="hybridMultilevel"/>
    <w:tmpl w:val="4DD67F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9725D"/>
    <w:multiLevelType w:val="hybridMultilevel"/>
    <w:tmpl w:val="3D904ABE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0179E1"/>
    <w:multiLevelType w:val="hybridMultilevel"/>
    <w:tmpl w:val="FE2806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E28DB"/>
    <w:multiLevelType w:val="singleLevel"/>
    <w:tmpl w:val="78FCDF38"/>
    <w:lvl w:ilvl="0">
      <w:start w:val="1"/>
      <w:numFmt w:val="bullet"/>
      <w:pStyle w:val="lista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B58D8"/>
    <w:multiLevelType w:val="singleLevel"/>
    <w:tmpl w:val="205CE2FA"/>
    <w:lvl w:ilvl="0">
      <w:start w:val="1"/>
      <w:numFmt w:val="bullet"/>
      <w:pStyle w:val="listaq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8" w15:restartNumberingAfterBreak="0">
    <w:nsid w:val="1E460CDD"/>
    <w:multiLevelType w:val="multilevel"/>
    <w:tmpl w:val="6C88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B5F7C"/>
    <w:multiLevelType w:val="hybridMultilevel"/>
    <w:tmpl w:val="D794D1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07332"/>
    <w:multiLevelType w:val="hybridMultilevel"/>
    <w:tmpl w:val="383E2F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752DED"/>
    <w:multiLevelType w:val="hybridMultilevel"/>
    <w:tmpl w:val="4498ED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D8570D"/>
    <w:multiLevelType w:val="hybridMultilevel"/>
    <w:tmpl w:val="364A22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8282D"/>
    <w:multiLevelType w:val="hybridMultilevel"/>
    <w:tmpl w:val="19B20B5E"/>
    <w:lvl w:ilvl="0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4" w15:restartNumberingAfterBreak="0">
    <w:nsid w:val="499A4F52"/>
    <w:multiLevelType w:val="hybridMultilevel"/>
    <w:tmpl w:val="82BE55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3878DD"/>
    <w:multiLevelType w:val="hybridMultilevel"/>
    <w:tmpl w:val="86CA744E"/>
    <w:lvl w:ilvl="0" w:tplc="9742269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A766B8"/>
    <w:multiLevelType w:val="multilevel"/>
    <w:tmpl w:val="CAE2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865E3"/>
    <w:multiLevelType w:val="hybridMultilevel"/>
    <w:tmpl w:val="F976C7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627C24"/>
    <w:multiLevelType w:val="multilevel"/>
    <w:tmpl w:val="928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F3456F"/>
    <w:multiLevelType w:val="hybridMultilevel"/>
    <w:tmpl w:val="F6ACB2E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2C5D8C"/>
    <w:multiLevelType w:val="hybridMultilevel"/>
    <w:tmpl w:val="0ECE6E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1001DE"/>
    <w:multiLevelType w:val="hybridMultilevel"/>
    <w:tmpl w:val="764CB9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4C64E7"/>
    <w:multiLevelType w:val="hybridMultilevel"/>
    <w:tmpl w:val="A224A6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0037804E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24">
    <w:nsid w:val="029BDCC7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69473786">
    <w:abstractNumId w:val="6"/>
  </w:num>
  <w:num w:numId="2" w16cid:durableId="409809288">
    <w:abstractNumId w:val="7"/>
  </w:num>
  <w:num w:numId="3" w16cid:durableId="1292830729">
    <w:abstractNumId w:val="22"/>
  </w:num>
  <w:num w:numId="4" w16cid:durableId="664478766">
    <w:abstractNumId w:val="11"/>
  </w:num>
  <w:num w:numId="5" w16cid:durableId="1216970508">
    <w:abstractNumId w:val="14"/>
  </w:num>
  <w:num w:numId="6" w16cid:durableId="1077826167">
    <w:abstractNumId w:val="20"/>
  </w:num>
  <w:num w:numId="7" w16cid:durableId="1164668484">
    <w:abstractNumId w:val="21"/>
  </w:num>
  <w:num w:numId="8" w16cid:durableId="1204056288">
    <w:abstractNumId w:val="3"/>
  </w:num>
  <w:num w:numId="9" w16cid:durableId="958534972">
    <w:abstractNumId w:val="17"/>
  </w:num>
  <w:num w:numId="10" w16cid:durableId="858734976">
    <w:abstractNumId w:val="16"/>
  </w:num>
  <w:num w:numId="11" w16cid:durableId="1710186522">
    <w:abstractNumId w:val="8"/>
  </w:num>
  <w:num w:numId="12" w16cid:durableId="1396197905">
    <w:abstractNumId w:val="9"/>
  </w:num>
  <w:num w:numId="13" w16cid:durableId="102499178">
    <w:abstractNumId w:val="18"/>
  </w:num>
  <w:num w:numId="14" w16cid:durableId="780615514">
    <w:abstractNumId w:val="10"/>
  </w:num>
  <w:num w:numId="15" w16cid:durableId="170225551">
    <w:abstractNumId w:val="5"/>
  </w:num>
  <w:num w:numId="16" w16cid:durableId="2006203233">
    <w:abstractNumId w:val="12"/>
  </w:num>
  <w:num w:numId="17" w16cid:durableId="1583442650">
    <w:abstractNumId w:val="19"/>
  </w:num>
  <w:num w:numId="18" w16cid:durableId="452595847">
    <w:abstractNumId w:val="13"/>
  </w:num>
  <w:num w:numId="19" w16cid:durableId="1049569379">
    <w:abstractNumId w:val="4"/>
  </w:num>
  <w:num w:numId="20" w16cid:durableId="1861115510">
    <w:abstractNumId w:val="2"/>
  </w:num>
  <w:num w:numId="22">
    <w:abstractNumId w:val="23"/>
  </w:num>
  <w:num w:numId="2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4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2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3"/>
  </w:num>
  <w:num w:numId="27">
    <w:abstractNumId w:val="23"/>
  </w:num>
  <w:num w:numId="2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3"/>
  </w:num>
  <w:num w:numId="31">
    <w:abstractNumId w:val="23"/>
  </w:num>
  <w:num w:numId="32">
    <w:abstractNumId w:val="23"/>
  </w:num>
  <w:num w:numId="33">
    <w:abstractNumId w:val="23"/>
  </w:num>
  <w:num w:numId="34">
    <w:abstractNumId w:val="23"/>
  </w:num>
  <w:num w:numId="35">
    <w:abstractNumId w:val="23"/>
  </w:num>
  <w:num w:numId="36">
    <w:abstractNumId w:val="23"/>
  </w:num>
  <w:num w:numId="37">
    <w:abstractNumId w:val="23"/>
  </w:num>
  <w:num w:numId="38">
    <w:abstractNumId w:val="23"/>
  </w:num>
  <w:num w:numId="39">
    <w:abstractNumId w:val="23"/>
  </w:num>
  <w:num w:numId="40">
    <w:abstractNumId w:val="23"/>
  </w:num>
  <w:num w:numId="41">
    <w:abstractNumId w:val="23"/>
  </w:num>
  <w:num w:numId="42">
    <w:abstractNumId w:val="23"/>
  </w:num>
  <w:num w:numId="4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3"/>
  </w:num>
  <w:num w:numId="45">
    <w:abstractNumId w:val="23"/>
  </w:num>
  <w:num w:numId="46">
    <w:abstractNumId w:val="23"/>
  </w:num>
  <w:num w:numId="47">
    <w:abstractNumId w:val="23"/>
  </w:num>
  <w:num w:numId="48">
    <w:abstractNumId w:val="23"/>
  </w:num>
  <w:num w:numId="49">
    <w:abstractNumId w:val="23"/>
  </w:num>
  <w:num w:numId="50">
    <w:abstractNumId w:val="23"/>
  </w:num>
  <w:num w:numId="51">
    <w:abstractNumId w:val="23"/>
  </w:num>
  <w:num w:numId="52">
    <w:abstractNumId w:val="23"/>
  </w:num>
  <w:num w:numId="53">
    <w:abstractNumId w:val="23"/>
  </w:num>
  <w:num w:numId="5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23"/>
  </w:num>
  <w:num w:numId="56">
    <w:abstractNumId w:val="23"/>
  </w:num>
  <w:num w:numId="57">
    <w:abstractNumId w:val="23"/>
  </w:num>
  <w:num w:numId="21" w16cid:durableId="1875771396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style="mso-position-vertical-relative:line" fill="f" fillcolor="white" stroke="f">
      <v:fill color="white" on="f"/>
      <v:stroke on="f"/>
      <o:colormru v:ext="edit" colors="#ccd6e6,#003082,#ffc,#eaeaea,#c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B7C"/>
    <w:rsid w:val="0000491D"/>
    <w:rsid w:val="0000503B"/>
    <w:rsid w:val="00005600"/>
    <w:rsid w:val="00006820"/>
    <w:rsid w:val="00007B24"/>
    <w:rsid w:val="000120BA"/>
    <w:rsid w:val="000143CC"/>
    <w:rsid w:val="000145B9"/>
    <w:rsid w:val="000146B9"/>
    <w:rsid w:val="00021E0E"/>
    <w:rsid w:val="0002315D"/>
    <w:rsid w:val="00023784"/>
    <w:rsid w:val="00024DBB"/>
    <w:rsid w:val="00025176"/>
    <w:rsid w:val="00026D5B"/>
    <w:rsid w:val="00027007"/>
    <w:rsid w:val="00031F5D"/>
    <w:rsid w:val="00032336"/>
    <w:rsid w:val="00032747"/>
    <w:rsid w:val="00032EE1"/>
    <w:rsid w:val="000350C2"/>
    <w:rsid w:val="00035221"/>
    <w:rsid w:val="000365EC"/>
    <w:rsid w:val="00040E5A"/>
    <w:rsid w:val="000424C9"/>
    <w:rsid w:val="00042E69"/>
    <w:rsid w:val="000440D5"/>
    <w:rsid w:val="000451BA"/>
    <w:rsid w:val="00047510"/>
    <w:rsid w:val="000503AB"/>
    <w:rsid w:val="00050AC8"/>
    <w:rsid w:val="00051944"/>
    <w:rsid w:val="00052563"/>
    <w:rsid w:val="000533AF"/>
    <w:rsid w:val="000552E8"/>
    <w:rsid w:val="00057023"/>
    <w:rsid w:val="00060AF9"/>
    <w:rsid w:val="00061D80"/>
    <w:rsid w:val="00062339"/>
    <w:rsid w:val="00062341"/>
    <w:rsid w:val="00062C28"/>
    <w:rsid w:val="00066838"/>
    <w:rsid w:val="000675D7"/>
    <w:rsid w:val="000711C8"/>
    <w:rsid w:val="000719BC"/>
    <w:rsid w:val="000721C4"/>
    <w:rsid w:val="00072489"/>
    <w:rsid w:val="00073DBA"/>
    <w:rsid w:val="00076F13"/>
    <w:rsid w:val="00077EBB"/>
    <w:rsid w:val="00081FCE"/>
    <w:rsid w:val="00082688"/>
    <w:rsid w:val="000838E3"/>
    <w:rsid w:val="00087A4C"/>
    <w:rsid w:val="00087B7F"/>
    <w:rsid w:val="00087D8C"/>
    <w:rsid w:val="000902E8"/>
    <w:rsid w:val="00090A37"/>
    <w:rsid w:val="00090CD0"/>
    <w:rsid w:val="000919A9"/>
    <w:rsid w:val="00093EBB"/>
    <w:rsid w:val="000957A3"/>
    <w:rsid w:val="000A0973"/>
    <w:rsid w:val="000A0AFD"/>
    <w:rsid w:val="000A17E1"/>
    <w:rsid w:val="000A31BD"/>
    <w:rsid w:val="000A44B9"/>
    <w:rsid w:val="000A60AB"/>
    <w:rsid w:val="000A757F"/>
    <w:rsid w:val="000A7F2D"/>
    <w:rsid w:val="000A7F6C"/>
    <w:rsid w:val="000B06FB"/>
    <w:rsid w:val="000B2D90"/>
    <w:rsid w:val="000B31D6"/>
    <w:rsid w:val="000B323D"/>
    <w:rsid w:val="000B39E0"/>
    <w:rsid w:val="000B5601"/>
    <w:rsid w:val="000B7321"/>
    <w:rsid w:val="000C5373"/>
    <w:rsid w:val="000C6958"/>
    <w:rsid w:val="000C71C7"/>
    <w:rsid w:val="000C7FFA"/>
    <w:rsid w:val="000D13FF"/>
    <w:rsid w:val="000D36CC"/>
    <w:rsid w:val="000D46AC"/>
    <w:rsid w:val="000D46C4"/>
    <w:rsid w:val="000D5080"/>
    <w:rsid w:val="000D5776"/>
    <w:rsid w:val="000D6C69"/>
    <w:rsid w:val="000D6F5C"/>
    <w:rsid w:val="000E186B"/>
    <w:rsid w:val="000E1C79"/>
    <w:rsid w:val="000E3478"/>
    <w:rsid w:val="000E3941"/>
    <w:rsid w:val="000E4728"/>
    <w:rsid w:val="000E56FF"/>
    <w:rsid w:val="000F0169"/>
    <w:rsid w:val="000F1254"/>
    <w:rsid w:val="000F1A4C"/>
    <w:rsid w:val="000F3BD8"/>
    <w:rsid w:val="000F4694"/>
    <w:rsid w:val="000F5519"/>
    <w:rsid w:val="000F6D0A"/>
    <w:rsid w:val="000F7BD8"/>
    <w:rsid w:val="001001E6"/>
    <w:rsid w:val="001007A5"/>
    <w:rsid w:val="00101460"/>
    <w:rsid w:val="001015CC"/>
    <w:rsid w:val="00102112"/>
    <w:rsid w:val="00103A91"/>
    <w:rsid w:val="00103C53"/>
    <w:rsid w:val="00105720"/>
    <w:rsid w:val="001062F1"/>
    <w:rsid w:val="00106AAE"/>
    <w:rsid w:val="001078E3"/>
    <w:rsid w:val="00107BD5"/>
    <w:rsid w:val="001107F8"/>
    <w:rsid w:val="00110CE6"/>
    <w:rsid w:val="00111C86"/>
    <w:rsid w:val="00112FFA"/>
    <w:rsid w:val="001133A6"/>
    <w:rsid w:val="00113943"/>
    <w:rsid w:val="00114B6A"/>
    <w:rsid w:val="00115578"/>
    <w:rsid w:val="00116B2B"/>
    <w:rsid w:val="0011700A"/>
    <w:rsid w:val="00120B27"/>
    <w:rsid w:val="00122E6A"/>
    <w:rsid w:val="00122F4B"/>
    <w:rsid w:val="00124673"/>
    <w:rsid w:val="00127DC1"/>
    <w:rsid w:val="00130150"/>
    <w:rsid w:val="001307BA"/>
    <w:rsid w:val="00130B64"/>
    <w:rsid w:val="00130D56"/>
    <w:rsid w:val="001311B8"/>
    <w:rsid w:val="00133C86"/>
    <w:rsid w:val="00133CDE"/>
    <w:rsid w:val="001348CF"/>
    <w:rsid w:val="00134BBC"/>
    <w:rsid w:val="00137F66"/>
    <w:rsid w:val="00143A81"/>
    <w:rsid w:val="001445F4"/>
    <w:rsid w:val="00144F18"/>
    <w:rsid w:val="00145737"/>
    <w:rsid w:val="00146E71"/>
    <w:rsid w:val="001509FA"/>
    <w:rsid w:val="00151420"/>
    <w:rsid w:val="00154224"/>
    <w:rsid w:val="00155F46"/>
    <w:rsid w:val="00155F50"/>
    <w:rsid w:val="00156572"/>
    <w:rsid w:val="00156782"/>
    <w:rsid w:val="001576E5"/>
    <w:rsid w:val="00160459"/>
    <w:rsid w:val="0016055C"/>
    <w:rsid w:val="001609EB"/>
    <w:rsid w:val="00161036"/>
    <w:rsid w:val="00162952"/>
    <w:rsid w:val="00162FEA"/>
    <w:rsid w:val="001635BE"/>
    <w:rsid w:val="00166363"/>
    <w:rsid w:val="0017114B"/>
    <w:rsid w:val="00171E75"/>
    <w:rsid w:val="0017241C"/>
    <w:rsid w:val="0017379F"/>
    <w:rsid w:val="001742FC"/>
    <w:rsid w:val="00180728"/>
    <w:rsid w:val="00181162"/>
    <w:rsid w:val="00183056"/>
    <w:rsid w:val="00184268"/>
    <w:rsid w:val="001846FD"/>
    <w:rsid w:val="001859F6"/>
    <w:rsid w:val="00185D69"/>
    <w:rsid w:val="00186592"/>
    <w:rsid w:val="0018697D"/>
    <w:rsid w:val="0019080F"/>
    <w:rsid w:val="00195C94"/>
    <w:rsid w:val="001965C4"/>
    <w:rsid w:val="00196D18"/>
    <w:rsid w:val="001970E6"/>
    <w:rsid w:val="001A1E73"/>
    <w:rsid w:val="001A2AFF"/>
    <w:rsid w:val="001A31DE"/>
    <w:rsid w:val="001A33DF"/>
    <w:rsid w:val="001A39E3"/>
    <w:rsid w:val="001A460B"/>
    <w:rsid w:val="001A59BE"/>
    <w:rsid w:val="001A5BFE"/>
    <w:rsid w:val="001A61CB"/>
    <w:rsid w:val="001A66D4"/>
    <w:rsid w:val="001B0E79"/>
    <w:rsid w:val="001B1CDA"/>
    <w:rsid w:val="001B2CD4"/>
    <w:rsid w:val="001B349C"/>
    <w:rsid w:val="001B4CAC"/>
    <w:rsid w:val="001B4CFD"/>
    <w:rsid w:val="001B4D68"/>
    <w:rsid w:val="001B6326"/>
    <w:rsid w:val="001B6E77"/>
    <w:rsid w:val="001B730A"/>
    <w:rsid w:val="001C1E1C"/>
    <w:rsid w:val="001C6E92"/>
    <w:rsid w:val="001D064C"/>
    <w:rsid w:val="001D103B"/>
    <w:rsid w:val="001D4F73"/>
    <w:rsid w:val="001E142C"/>
    <w:rsid w:val="001E1B65"/>
    <w:rsid w:val="001E1FBC"/>
    <w:rsid w:val="001E3405"/>
    <w:rsid w:val="001F077A"/>
    <w:rsid w:val="001F0E04"/>
    <w:rsid w:val="001F16AC"/>
    <w:rsid w:val="001F2290"/>
    <w:rsid w:val="001F302C"/>
    <w:rsid w:val="001F3797"/>
    <w:rsid w:val="001F716F"/>
    <w:rsid w:val="002003F7"/>
    <w:rsid w:val="0020259E"/>
    <w:rsid w:val="00202DA5"/>
    <w:rsid w:val="0020313A"/>
    <w:rsid w:val="002047D9"/>
    <w:rsid w:val="002058E8"/>
    <w:rsid w:val="00206C6B"/>
    <w:rsid w:val="002070E1"/>
    <w:rsid w:val="00210AA4"/>
    <w:rsid w:val="00210EC9"/>
    <w:rsid w:val="002116E0"/>
    <w:rsid w:val="0021267E"/>
    <w:rsid w:val="00213FF2"/>
    <w:rsid w:val="0021436E"/>
    <w:rsid w:val="002144ED"/>
    <w:rsid w:val="00214EFA"/>
    <w:rsid w:val="0021531A"/>
    <w:rsid w:val="00215AE0"/>
    <w:rsid w:val="00215C86"/>
    <w:rsid w:val="00215E4C"/>
    <w:rsid w:val="00221061"/>
    <w:rsid w:val="00221C4F"/>
    <w:rsid w:val="002223E5"/>
    <w:rsid w:val="002228E0"/>
    <w:rsid w:val="00226721"/>
    <w:rsid w:val="002304F8"/>
    <w:rsid w:val="002317B9"/>
    <w:rsid w:val="002327FE"/>
    <w:rsid w:val="00233E79"/>
    <w:rsid w:val="0023717A"/>
    <w:rsid w:val="002406F9"/>
    <w:rsid w:val="002417A4"/>
    <w:rsid w:val="002422A0"/>
    <w:rsid w:val="002427BE"/>
    <w:rsid w:val="00244589"/>
    <w:rsid w:val="00245718"/>
    <w:rsid w:val="002467BB"/>
    <w:rsid w:val="00247376"/>
    <w:rsid w:val="002473A2"/>
    <w:rsid w:val="0024748F"/>
    <w:rsid w:val="00247F39"/>
    <w:rsid w:val="00251597"/>
    <w:rsid w:val="00251D30"/>
    <w:rsid w:val="00251E57"/>
    <w:rsid w:val="00252E0F"/>
    <w:rsid w:val="00254057"/>
    <w:rsid w:val="00254A17"/>
    <w:rsid w:val="00255004"/>
    <w:rsid w:val="00257EB8"/>
    <w:rsid w:val="00261194"/>
    <w:rsid w:val="0026161F"/>
    <w:rsid w:val="0026255E"/>
    <w:rsid w:val="00263F23"/>
    <w:rsid w:val="00264DFC"/>
    <w:rsid w:val="002655DF"/>
    <w:rsid w:val="00266690"/>
    <w:rsid w:val="00267926"/>
    <w:rsid w:val="00272203"/>
    <w:rsid w:val="0027240C"/>
    <w:rsid w:val="00272DEA"/>
    <w:rsid w:val="00275775"/>
    <w:rsid w:val="00280662"/>
    <w:rsid w:val="00280695"/>
    <w:rsid w:val="002834AF"/>
    <w:rsid w:val="002845F1"/>
    <w:rsid w:val="00285A46"/>
    <w:rsid w:val="00285D4B"/>
    <w:rsid w:val="002877B2"/>
    <w:rsid w:val="00291AF5"/>
    <w:rsid w:val="00294FC2"/>
    <w:rsid w:val="002969D0"/>
    <w:rsid w:val="002972AD"/>
    <w:rsid w:val="002A0E04"/>
    <w:rsid w:val="002A23BC"/>
    <w:rsid w:val="002A4915"/>
    <w:rsid w:val="002A6A81"/>
    <w:rsid w:val="002A6BB6"/>
    <w:rsid w:val="002A7E30"/>
    <w:rsid w:val="002A7F1D"/>
    <w:rsid w:val="002A7F53"/>
    <w:rsid w:val="002B0935"/>
    <w:rsid w:val="002B130D"/>
    <w:rsid w:val="002B22F1"/>
    <w:rsid w:val="002B601B"/>
    <w:rsid w:val="002C0730"/>
    <w:rsid w:val="002C084A"/>
    <w:rsid w:val="002C0BEF"/>
    <w:rsid w:val="002C27D9"/>
    <w:rsid w:val="002C370F"/>
    <w:rsid w:val="002C60D3"/>
    <w:rsid w:val="002C7C00"/>
    <w:rsid w:val="002D0359"/>
    <w:rsid w:val="002D09D7"/>
    <w:rsid w:val="002D0C86"/>
    <w:rsid w:val="002D2845"/>
    <w:rsid w:val="002D2D4B"/>
    <w:rsid w:val="002D3C05"/>
    <w:rsid w:val="002D4600"/>
    <w:rsid w:val="002D6F68"/>
    <w:rsid w:val="002D7348"/>
    <w:rsid w:val="002E0360"/>
    <w:rsid w:val="002E067A"/>
    <w:rsid w:val="002E0A1A"/>
    <w:rsid w:val="002E0AAF"/>
    <w:rsid w:val="002E309E"/>
    <w:rsid w:val="002E33EC"/>
    <w:rsid w:val="002E4EB4"/>
    <w:rsid w:val="002E53E8"/>
    <w:rsid w:val="002E631A"/>
    <w:rsid w:val="002E71FE"/>
    <w:rsid w:val="002F0EDB"/>
    <w:rsid w:val="002F1C5B"/>
    <w:rsid w:val="002F20EA"/>
    <w:rsid w:val="002F2647"/>
    <w:rsid w:val="002F4525"/>
    <w:rsid w:val="002F4ACE"/>
    <w:rsid w:val="002F5EA8"/>
    <w:rsid w:val="002F5F8B"/>
    <w:rsid w:val="002F6350"/>
    <w:rsid w:val="002F6AFA"/>
    <w:rsid w:val="00300049"/>
    <w:rsid w:val="003003EA"/>
    <w:rsid w:val="003018FF"/>
    <w:rsid w:val="00302EC7"/>
    <w:rsid w:val="003031CE"/>
    <w:rsid w:val="00305A54"/>
    <w:rsid w:val="00306C28"/>
    <w:rsid w:val="00306E81"/>
    <w:rsid w:val="00306FF6"/>
    <w:rsid w:val="00307324"/>
    <w:rsid w:val="00307AE4"/>
    <w:rsid w:val="00310305"/>
    <w:rsid w:val="00310D8A"/>
    <w:rsid w:val="00311297"/>
    <w:rsid w:val="0031194B"/>
    <w:rsid w:val="00314109"/>
    <w:rsid w:val="003153C6"/>
    <w:rsid w:val="003165B8"/>
    <w:rsid w:val="0031673D"/>
    <w:rsid w:val="00321167"/>
    <w:rsid w:val="00321FAE"/>
    <w:rsid w:val="00325276"/>
    <w:rsid w:val="00325E23"/>
    <w:rsid w:val="00326962"/>
    <w:rsid w:val="003270AC"/>
    <w:rsid w:val="003278F8"/>
    <w:rsid w:val="00331CC0"/>
    <w:rsid w:val="00332A10"/>
    <w:rsid w:val="003331B9"/>
    <w:rsid w:val="00334E7A"/>
    <w:rsid w:val="00336028"/>
    <w:rsid w:val="00336A5E"/>
    <w:rsid w:val="00337A64"/>
    <w:rsid w:val="00337CD7"/>
    <w:rsid w:val="00340F02"/>
    <w:rsid w:val="00341E13"/>
    <w:rsid w:val="00342882"/>
    <w:rsid w:val="00342F32"/>
    <w:rsid w:val="0034375F"/>
    <w:rsid w:val="003448E4"/>
    <w:rsid w:val="00344A37"/>
    <w:rsid w:val="00344FB7"/>
    <w:rsid w:val="003452CD"/>
    <w:rsid w:val="003454DD"/>
    <w:rsid w:val="0034565D"/>
    <w:rsid w:val="003463FC"/>
    <w:rsid w:val="00347AE8"/>
    <w:rsid w:val="0035044D"/>
    <w:rsid w:val="003506CC"/>
    <w:rsid w:val="003530E7"/>
    <w:rsid w:val="00353695"/>
    <w:rsid w:val="00362C3C"/>
    <w:rsid w:val="003666F7"/>
    <w:rsid w:val="00367127"/>
    <w:rsid w:val="00370037"/>
    <w:rsid w:val="003713D4"/>
    <w:rsid w:val="003750B6"/>
    <w:rsid w:val="00375CBA"/>
    <w:rsid w:val="00377369"/>
    <w:rsid w:val="00380734"/>
    <w:rsid w:val="00380C77"/>
    <w:rsid w:val="00381170"/>
    <w:rsid w:val="0038133A"/>
    <w:rsid w:val="00382DD3"/>
    <w:rsid w:val="00384452"/>
    <w:rsid w:val="003846ED"/>
    <w:rsid w:val="0038797B"/>
    <w:rsid w:val="00387DD3"/>
    <w:rsid w:val="00387DE5"/>
    <w:rsid w:val="0039030D"/>
    <w:rsid w:val="00390358"/>
    <w:rsid w:val="00390575"/>
    <w:rsid w:val="00392190"/>
    <w:rsid w:val="00392D58"/>
    <w:rsid w:val="00395D14"/>
    <w:rsid w:val="00396170"/>
    <w:rsid w:val="0039646F"/>
    <w:rsid w:val="003966CB"/>
    <w:rsid w:val="003A2616"/>
    <w:rsid w:val="003A3A30"/>
    <w:rsid w:val="003A52C9"/>
    <w:rsid w:val="003A6C59"/>
    <w:rsid w:val="003B0247"/>
    <w:rsid w:val="003B27DE"/>
    <w:rsid w:val="003B3F37"/>
    <w:rsid w:val="003B483E"/>
    <w:rsid w:val="003B7952"/>
    <w:rsid w:val="003B7A93"/>
    <w:rsid w:val="003B7CF7"/>
    <w:rsid w:val="003B7DA6"/>
    <w:rsid w:val="003C2F3A"/>
    <w:rsid w:val="003C3DBB"/>
    <w:rsid w:val="003C64CA"/>
    <w:rsid w:val="003C6AA1"/>
    <w:rsid w:val="003C7E47"/>
    <w:rsid w:val="003D2F39"/>
    <w:rsid w:val="003D3F3F"/>
    <w:rsid w:val="003D3F5A"/>
    <w:rsid w:val="003D45CE"/>
    <w:rsid w:val="003D52C1"/>
    <w:rsid w:val="003D5BFC"/>
    <w:rsid w:val="003D68F3"/>
    <w:rsid w:val="003D77BF"/>
    <w:rsid w:val="003E0672"/>
    <w:rsid w:val="003E1C23"/>
    <w:rsid w:val="003E213F"/>
    <w:rsid w:val="003E29D4"/>
    <w:rsid w:val="003E5C46"/>
    <w:rsid w:val="003E774B"/>
    <w:rsid w:val="003F121D"/>
    <w:rsid w:val="003F251A"/>
    <w:rsid w:val="003F3E72"/>
    <w:rsid w:val="003F49F1"/>
    <w:rsid w:val="003F5504"/>
    <w:rsid w:val="003F5B66"/>
    <w:rsid w:val="003F5DFD"/>
    <w:rsid w:val="003F6806"/>
    <w:rsid w:val="003F7ACB"/>
    <w:rsid w:val="00401F8E"/>
    <w:rsid w:val="00402D5C"/>
    <w:rsid w:val="00403C84"/>
    <w:rsid w:val="00404CDE"/>
    <w:rsid w:val="00406D8F"/>
    <w:rsid w:val="00412BF6"/>
    <w:rsid w:val="004133BD"/>
    <w:rsid w:val="004141E1"/>
    <w:rsid w:val="0041427E"/>
    <w:rsid w:val="0041471E"/>
    <w:rsid w:val="0041710D"/>
    <w:rsid w:val="004204F0"/>
    <w:rsid w:val="00420B10"/>
    <w:rsid w:val="00420E16"/>
    <w:rsid w:val="00420ED8"/>
    <w:rsid w:val="00422F89"/>
    <w:rsid w:val="0042378A"/>
    <w:rsid w:val="00423815"/>
    <w:rsid w:val="00423A52"/>
    <w:rsid w:val="00425514"/>
    <w:rsid w:val="00425B8B"/>
    <w:rsid w:val="004261CF"/>
    <w:rsid w:val="00427598"/>
    <w:rsid w:val="00430841"/>
    <w:rsid w:val="00430FA1"/>
    <w:rsid w:val="00436036"/>
    <w:rsid w:val="00436642"/>
    <w:rsid w:val="004367C3"/>
    <w:rsid w:val="004372E5"/>
    <w:rsid w:val="00442AAC"/>
    <w:rsid w:val="00443062"/>
    <w:rsid w:val="00443865"/>
    <w:rsid w:val="00443EA2"/>
    <w:rsid w:val="00445E7C"/>
    <w:rsid w:val="0044614A"/>
    <w:rsid w:val="0044783F"/>
    <w:rsid w:val="004512EC"/>
    <w:rsid w:val="00451B8B"/>
    <w:rsid w:val="00452224"/>
    <w:rsid w:val="00453A02"/>
    <w:rsid w:val="0045475E"/>
    <w:rsid w:val="00457168"/>
    <w:rsid w:val="00465BA8"/>
    <w:rsid w:val="00466582"/>
    <w:rsid w:val="00470209"/>
    <w:rsid w:val="004708A0"/>
    <w:rsid w:val="004713F7"/>
    <w:rsid w:val="00471925"/>
    <w:rsid w:val="00473CF8"/>
    <w:rsid w:val="00476C3E"/>
    <w:rsid w:val="00481562"/>
    <w:rsid w:val="00482154"/>
    <w:rsid w:val="00482174"/>
    <w:rsid w:val="00482CC4"/>
    <w:rsid w:val="00483327"/>
    <w:rsid w:val="00487B44"/>
    <w:rsid w:val="0049001A"/>
    <w:rsid w:val="004958D7"/>
    <w:rsid w:val="00495B03"/>
    <w:rsid w:val="00495F19"/>
    <w:rsid w:val="00495F78"/>
    <w:rsid w:val="00496B82"/>
    <w:rsid w:val="00497696"/>
    <w:rsid w:val="004A0543"/>
    <w:rsid w:val="004A0B99"/>
    <w:rsid w:val="004A1837"/>
    <w:rsid w:val="004A1A1C"/>
    <w:rsid w:val="004A2302"/>
    <w:rsid w:val="004A34A7"/>
    <w:rsid w:val="004A4B0C"/>
    <w:rsid w:val="004B10BD"/>
    <w:rsid w:val="004B1657"/>
    <w:rsid w:val="004B21D6"/>
    <w:rsid w:val="004B352A"/>
    <w:rsid w:val="004B3C99"/>
    <w:rsid w:val="004B586E"/>
    <w:rsid w:val="004C0453"/>
    <w:rsid w:val="004C0D1F"/>
    <w:rsid w:val="004C1290"/>
    <w:rsid w:val="004C1B01"/>
    <w:rsid w:val="004C3154"/>
    <w:rsid w:val="004C4368"/>
    <w:rsid w:val="004C57E3"/>
    <w:rsid w:val="004C5B6C"/>
    <w:rsid w:val="004C5DAD"/>
    <w:rsid w:val="004C61AE"/>
    <w:rsid w:val="004C6FB4"/>
    <w:rsid w:val="004C7841"/>
    <w:rsid w:val="004D020B"/>
    <w:rsid w:val="004D3B3B"/>
    <w:rsid w:val="004D5232"/>
    <w:rsid w:val="004D54AC"/>
    <w:rsid w:val="004D6AC2"/>
    <w:rsid w:val="004D735B"/>
    <w:rsid w:val="004E05EE"/>
    <w:rsid w:val="004E26B9"/>
    <w:rsid w:val="004E559C"/>
    <w:rsid w:val="004E7F9D"/>
    <w:rsid w:val="004F1C01"/>
    <w:rsid w:val="004F3D22"/>
    <w:rsid w:val="004F422A"/>
    <w:rsid w:val="004F5323"/>
    <w:rsid w:val="004F557D"/>
    <w:rsid w:val="004F7D82"/>
    <w:rsid w:val="0050047D"/>
    <w:rsid w:val="005019AE"/>
    <w:rsid w:val="00503DEF"/>
    <w:rsid w:val="00504ABE"/>
    <w:rsid w:val="00504C97"/>
    <w:rsid w:val="00505EA9"/>
    <w:rsid w:val="005069B8"/>
    <w:rsid w:val="00506B4B"/>
    <w:rsid w:val="005072B2"/>
    <w:rsid w:val="00510637"/>
    <w:rsid w:val="005109EA"/>
    <w:rsid w:val="00512ACD"/>
    <w:rsid w:val="00512E14"/>
    <w:rsid w:val="005159D6"/>
    <w:rsid w:val="00517FD5"/>
    <w:rsid w:val="00520A6F"/>
    <w:rsid w:val="00520B4C"/>
    <w:rsid w:val="00521A9D"/>
    <w:rsid w:val="0052363F"/>
    <w:rsid w:val="00523880"/>
    <w:rsid w:val="0052445E"/>
    <w:rsid w:val="0052487F"/>
    <w:rsid w:val="005254D1"/>
    <w:rsid w:val="00525DCC"/>
    <w:rsid w:val="00527D31"/>
    <w:rsid w:val="00531390"/>
    <w:rsid w:val="005313E3"/>
    <w:rsid w:val="0053162A"/>
    <w:rsid w:val="00531CC4"/>
    <w:rsid w:val="005354C6"/>
    <w:rsid w:val="00535B51"/>
    <w:rsid w:val="00536DEE"/>
    <w:rsid w:val="00540EFE"/>
    <w:rsid w:val="0054102F"/>
    <w:rsid w:val="005421C6"/>
    <w:rsid w:val="00543984"/>
    <w:rsid w:val="005443D4"/>
    <w:rsid w:val="00544E48"/>
    <w:rsid w:val="0054545E"/>
    <w:rsid w:val="0054569D"/>
    <w:rsid w:val="00545EF9"/>
    <w:rsid w:val="0054776D"/>
    <w:rsid w:val="00547DE5"/>
    <w:rsid w:val="00550657"/>
    <w:rsid w:val="00551A7E"/>
    <w:rsid w:val="00553B79"/>
    <w:rsid w:val="00554D87"/>
    <w:rsid w:val="00554FC1"/>
    <w:rsid w:val="005577BB"/>
    <w:rsid w:val="00562849"/>
    <w:rsid w:val="00563170"/>
    <w:rsid w:val="00563DB7"/>
    <w:rsid w:val="005640A7"/>
    <w:rsid w:val="00564612"/>
    <w:rsid w:val="00564B4A"/>
    <w:rsid w:val="005660EA"/>
    <w:rsid w:val="00566763"/>
    <w:rsid w:val="00572675"/>
    <w:rsid w:val="00577714"/>
    <w:rsid w:val="005816EB"/>
    <w:rsid w:val="00581952"/>
    <w:rsid w:val="0058258D"/>
    <w:rsid w:val="00583B5D"/>
    <w:rsid w:val="005843F0"/>
    <w:rsid w:val="00585251"/>
    <w:rsid w:val="00585518"/>
    <w:rsid w:val="00585F0A"/>
    <w:rsid w:val="00587AC7"/>
    <w:rsid w:val="005905B8"/>
    <w:rsid w:val="00590CD7"/>
    <w:rsid w:val="00590D39"/>
    <w:rsid w:val="005913F4"/>
    <w:rsid w:val="00591417"/>
    <w:rsid w:val="00592E5C"/>
    <w:rsid w:val="0059538F"/>
    <w:rsid w:val="0059597E"/>
    <w:rsid w:val="005963F1"/>
    <w:rsid w:val="00596B41"/>
    <w:rsid w:val="0059794F"/>
    <w:rsid w:val="005A0BB0"/>
    <w:rsid w:val="005A0C6D"/>
    <w:rsid w:val="005A4646"/>
    <w:rsid w:val="005A4EFC"/>
    <w:rsid w:val="005A5EC6"/>
    <w:rsid w:val="005A6962"/>
    <w:rsid w:val="005B07F1"/>
    <w:rsid w:val="005B0D62"/>
    <w:rsid w:val="005B1770"/>
    <w:rsid w:val="005B37C7"/>
    <w:rsid w:val="005B3B2A"/>
    <w:rsid w:val="005B41EB"/>
    <w:rsid w:val="005B430A"/>
    <w:rsid w:val="005B4F36"/>
    <w:rsid w:val="005B5CC8"/>
    <w:rsid w:val="005B614C"/>
    <w:rsid w:val="005B73DA"/>
    <w:rsid w:val="005C076C"/>
    <w:rsid w:val="005C0CC2"/>
    <w:rsid w:val="005C147C"/>
    <w:rsid w:val="005C1594"/>
    <w:rsid w:val="005C15E2"/>
    <w:rsid w:val="005C1DF8"/>
    <w:rsid w:val="005C2F76"/>
    <w:rsid w:val="005C4263"/>
    <w:rsid w:val="005C6326"/>
    <w:rsid w:val="005C67E9"/>
    <w:rsid w:val="005D1585"/>
    <w:rsid w:val="005D2645"/>
    <w:rsid w:val="005D3D73"/>
    <w:rsid w:val="005D4F78"/>
    <w:rsid w:val="005D58D0"/>
    <w:rsid w:val="005D634E"/>
    <w:rsid w:val="005D6C84"/>
    <w:rsid w:val="005D6CB0"/>
    <w:rsid w:val="005D7E0B"/>
    <w:rsid w:val="005E3924"/>
    <w:rsid w:val="005E452E"/>
    <w:rsid w:val="005E5349"/>
    <w:rsid w:val="005E6AB0"/>
    <w:rsid w:val="005F1D72"/>
    <w:rsid w:val="005F212C"/>
    <w:rsid w:val="005F218E"/>
    <w:rsid w:val="005F286F"/>
    <w:rsid w:val="005F289E"/>
    <w:rsid w:val="005F3BF6"/>
    <w:rsid w:val="005F3EE9"/>
    <w:rsid w:val="005F43B0"/>
    <w:rsid w:val="005F6AE9"/>
    <w:rsid w:val="0060159A"/>
    <w:rsid w:val="00603B8C"/>
    <w:rsid w:val="00604FAF"/>
    <w:rsid w:val="0060616F"/>
    <w:rsid w:val="0061070B"/>
    <w:rsid w:val="00611289"/>
    <w:rsid w:val="00613DB2"/>
    <w:rsid w:val="00614A8A"/>
    <w:rsid w:val="00620577"/>
    <w:rsid w:val="00620C1B"/>
    <w:rsid w:val="00624255"/>
    <w:rsid w:val="006262EC"/>
    <w:rsid w:val="00626B34"/>
    <w:rsid w:val="00627790"/>
    <w:rsid w:val="00630C60"/>
    <w:rsid w:val="00630D15"/>
    <w:rsid w:val="00631495"/>
    <w:rsid w:val="00632AB1"/>
    <w:rsid w:val="006335A8"/>
    <w:rsid w:val="0063561A"/>
    <w:rsid w:val="006370FE"/>
    <w:rsid w:val="00637224"/>
    <w:rsid w:val="006377D9"/>
    <w:rsid w:val="0064044C"/>
    <w:rsid w:val="0064056F"/>
    <w:rsid w:val="00641393"/>
    <w:rsid w:val="00641963"/>
    <w:rsid w:val="00641F76"/>
    <w:rsid w:val="006424CE"/>
    <w:rsid w:val="00644F69"/>
    <w:rsid w:val="006452BA"/>
    <w:rsid w:val="00647720"/>
    <w:rsid w:val="00651954"/>
    <w:rsid w:val="00651B88"/>
    <w:rsid w:val="00652FAC"/>
    <w:rsid w:val="006549E3"/>
    <w:rsid w:val="00654A1E"/>
    <w:rsid w:val="00654B11"/>
    <w:rsid w:val="006550B3"/>
    <w:rsid w:val="006550D9"/>
    <w:rsid w:val="006559CE"/>
    <w:rsid w:val="0066137E"/>
    <w:rsid w:val="00661DEB"/>
    <w:rsid w:val="0066235A"/>
    <w:rsid w:val="0066241F"/>
    <w:rsid w:val="00665E83"/>
    <w:rsid w:val="00666D5D"/>
    <w:rsid w:val="00666F53"/>
    <w:rsid w:val="006675F2"/>
    <w:rsid w:val="00670A2A"/>
    <w:rsid w:val="00670C71"/>
    <w:rsid w:val="00670ED3"/>
    <w:rsid w:val="00672451"/>
    <w:rsid w:val="00673FB8"/>
    <w:rsid w:val="0067452F"/>
    <w:rsid w:val="00675476"/>
    <w:rsid w:val="00675544"/>
    <w:rsid w:val="00675A52"/>
    <w:rsid w:val="0067613A"/>
    <w:rsid w:val="00676A75"/>
    <w:rsid w:val="00676B38"/>
    <w:rsid w:val="00676D03"/>
    <w:rsid w:val="006775FF"/>
    <w:rsid w:val="00685E88"/>
    <w:rsid w:val="006861C7"/>
    <w:rsid w:val="00691FBF"/>
    <w:rsid w:val="00692AF7"/>
    <w:rsid w:val="00692D1B"/>
    <w:rsid w:val="006943EA"/>
    <w:rsid w:val="00696A07"/>
    <w:rsid w:val="006A1E9F"/>
    <w:rsid w:val="006A2890"/>
    <w:rsid w:val="006A3659"/>
    <w:rsid w:val="006A38EC"/>
    <w:rsid w:val="006A7253"/>
    <w:rsid w:val="006B553B"/>
    <w:rsid w:val="006C2301"/>
    <w:rsid w:val="006C4B42"/>
    <w:rsid w:val="006C59B8"/>
    <w:rsid w:val="006D05DE"/>
    <w:rsid w:val="006D0706"/>
    <w:rsid w:val="006D27CE"/>
    <w:rsid w:val="006D3D9F"/>
    <w:rsid w:val="006D4187"/>
    <w:rsid w:val="006D42EA"/>
    <w:rsid w:val="006D4A6E"/>
    <w:rsid w:val="006D6D42"/>
    <w:rsid w:val="006E0526"/>
    <w:rsid w:val="006E05C4"/>
    <w:rsid w:val="006E2694"/>
    <w:rsid w:val="006E27E3"/>
    <w:rsid w:val="006E2F2B"/>
    <w:rsid w:val="006E5547"/>
    <w:rsid w:val="006E62D1"/>
    <w:rsid w:val="006E727A"/>
    <w:rsid w:val="006F0DFE"/>
    <w:rsid w:val="006F1118"/>
    <w:rsid w:val="006F11DB"/>
    <w:rsid w:val="006F19EE"/>
    <w:rsid w:val="006F582A"/>
    <w:rsid w:val="006F6762"/>
    <w:rsid w:val="00701E0A"/>
    <w:rsid w:val="0070211C"/>
    <w:rsid w:val="0070338A"/>
    <w:rsid w:val="007053D2"/>
    <w:rsid w:val="0070762B"/>
    <w:rsid w:val="00710451"/>
    <w:rsid w:val="00713A43"/>
    <w:rsid w:val="00714C69"/>
    <w:rsid w:val="00720E73"/>
    <w:rsid w:val="00722D0F"/>
    <w:rsid w:val="0072495C"/>
    <w:rsid w:val="00725241"/>
    <w:rsid w:val="0072712E"/>
    <w:rsid w:val="00730C16"/>
    <w:rsid w:val="00731B70"/>
    <w:rsid w:val="007323C4"/>
    <w:rsid w:val="00732A0C"/>
    <w:rsid w:val="00732F4C"/>
    <w:rsid w:val="00735192"/>
    <w:rsid w:val="00736F1A"/>
    <w:rsid w:val="00740CCD"/>
    <w:rsid w:val="007420C3"/>
    <w:rsid w:val="007421F9"/>
    <w:rsid w:val="007431CD"/>
    <w:rsid w:val="00743C8B"/>
    <w:rsid w:val="00743ED2"/>
    <w:rsid w:val="00747764"/>
    <w:rsid w:val="00751CF5"/>
    <w:rsid w:val="00751F15"/>
    <w:rsid w:val="007539A7"/>
    <w:rsid w:val="00754674"/>
    <w:rsid w:val="00755B0F"/>
    <w:rsid w:val="00755BC8"/>
    <w:rsid w:val="00757990"/>
    <w:rsid w:val="0076051E"/>
    <w:rsid w:val="00761AD6"/>
    <w:rsid w:val="007625EA"/>
    <w:rsid w:val="0076580C"/>
    <w:rsid w:val="00766ADA"/>
    <w:rsid w:val="00767EA3"/>
    <w:rsid w:val="00770DF8"/>
    <w:rsid w:val="00770DFF"/>
    <w:rsid w:val="00771972"/>
    <w:rsid w:val="007729B6"/>
    <w:rsid w:val="00773FF0"/>
    <w:rsid w:val="0077787D"/>
    <w:rsid w:val="007806A2"/>
    <w:rsid w:val="00780B7C"/>
    <w:rsid w:val="007810BF"/>
    <w:rsid w:val="00781622"/>
    <w:rsid w:val="007821DA"/>
    <w:rsid w:val="00783F80"/>
    <w:rsid w:val="00785287"/>
    <w:rsid w:val="007854A6"/>
    <w:rsid w:val="00786E79"/>
    <w:rsid w:val="0079349D"/>
    <w:rsid w:val="007957B2"/>
    <w:rsid w:val="00796B60"/>
    <w:rsid w:val="007A18E2"/>
    <w:rsid w:val="007A4200"/>
    <w:rsid w:val="007A5B72"/>
    <w:rsid w:val="007A655E"/>
    <w:rsid w:val="007A65B4"/>
    <w:rsid w:val="007B0F15"/>
    <w:rsid w:val="007B12D5"/>
    <w:rsid w:val="007B1467"/>
    <w:rsid w:val="007B385F"/>
    <w:rsid w:val="007B3AD6"/>
    <w:rsid w:val="007B7620"/>
    <w:rsid w:val="007B77B6"/>
    <w:rsid w:val="007C21F9"/>
    <w:rsid w:val="007C371D"/>
    <w:rsid w:val="007C4297"/>
    <w:rsid w:val="007C5235"/>
    <w:rsid w:val="007C5650"/>
    <w:rsid w:val="007C571C"/>
    <w:rsid w:val="007C5BD4"/>
    <w:rsid w:val="007C6205"/>
    <w:rsid w:val="007C6558"/>
    <w:rsid w:val="007C707B"/>
    <w:rsid w:val="007D1724"/>
    <w:rsid w:val="007D1CDF"/>
    <w:rsid w:val="007D30A5"/>
    <w:rsid w:val="007D3597"/>
    <w:rsid w:val="007E12B7"/>
    <w:rsid w:val="007E28BA"/>
    <w:rsid w:val="007E2CBD"/>
    <w:rsid w:val="007E2F0A"/>
    <w:rsid w:val="007E417E"/>
    <w:rsid w:val="007E5A15"/>
    <w:rsid w:val="007E5D4D"/>
    <w:rsid w:val="007E681C"/>
    <w:rsid w:val="007E7656"/>
    <w:rsid w:val="007F2849"/>
    <w:rsid w:val="007F296B"/>
    <w:rsid w:val="007F357B"/>
    <w:rsid w:val="007F3E11"/>
    <w:rsid w:val="007F5882"/>
    <w:rsid w:val="00802D4C"/>
    <w:rsid w:val="00802F2E"/>
    <w:rsid w:val="008048B4"/>
    <w:rsid w:val="0080513E"/>
    <w:rsid w:val="00805840"/>
    <w:rsid w:val="00805E77"/>
    <w:rsid w:val="008063EF"/>
    <w:rsid w:val="0080705B"/>
    <w:rsid w:val="008110F6"/>
    <w:rsid w:val="00812503"/>
    <w:rsid w:val="00812B7A"/>
    <w:rsid w:val="0081423F"/>
    <w:rsid w:val="00820787"/>
    <w:rsid w:val="008212D7"/>
    <w:rsid w:val="008214F0"/>
    <w:rsid w:val="008219B3"/>
    <w:rsid w:val="00826095"/>
    <w:rsid w:val="0082695F"/>
    <w:rsid w:val="00827BAB"/>
    <w:rsid w:val="00831DDF"/>
    <w:rsid w:val="00832E4B"/>
    <w:rsid w:val="00834B07"/>
    <w:rsid w:val="008353ED"/>
    <w:rsid w:val="00840314"/>
    <w:rsid w:val="00840971"/>
    <w:rsid w:val="008410D8"/>
    <w:rsid w:val="008440BF"/>
    <w:rsid w:val="00844D1E"/>
    <w:rsid w:val="00845F58"/>
    <w:rsid w:val="00846D31"/>
    <w:rsid w:val="00846DF9"/>
    <w:rsid w:val="008501C6"/>
    <w:rsid w:val="00851ED2"/>
    <w:rsid w:val="008522C0"/>
    <w:rsid w:val="00853D97"/>
    <w:rsid w:val="00854431"/>
    <w:rsid w:val="00855936"/>
    <w:rsid w:val="00855A4D"/>
    <w:rsid w:val="00860017"/>
    <w:rsid w:val="008619F3"/>
    <w:rsid w:val="00862ED6"/>
    <w:rsid w:val="00864B1F"/>
    <w:rsid w:val="00865476"/>
    <w:rsid w:val="00865A3C"/>
    <w:rsid w:val="00866162"/>
    <w:rsid w:val="008701AC"/>
    <w:rsid w:val="00871F5C"/>
    <w:rsid w:val="00873078"/>
    <w:rsid w:val="00873386"/>
    <w:rsid w:val="00875BC9"/>
    <w:rsid w:val="00876B39"/>
    <w:rsid w:val="00881023"/>
    <w:rsid w:val="008810D0"/>
    <w:rsid w:val="00882ECA"/>
    <w:rsid w:val="008835DD"/>
    <w:rsid w:val="0088391C"/>
    <w:rsid w:val="00884A5C"/>
    <w:rsid w:val="00890224"/>
    <w:rsid w:val="008904DD"/>
    <w:rsid w:val="00890EC1"/>
    <w:rsid w:val="00891C9D"/>
    <w:rsid w:val="00892B85"/>
    <w:rsid w:val="008933D7"/>
    <w:rsid w:val="00893BE1"/>
    <w:rsid w:val="00894019"/>
    <w:rsid w:val="00895FA0"/>
    <w:rsid w:val="008A0E69"/>
    <w:rsid w:val="008A15AF"/>
    <w:rsid w:val="008A18E0"/>
    <w:rsid w:val="008A28A9"/>
    <w:rsid w:val="008A3852"/>
    <w:rsid w:val="008A6C7B"/>
    <w:rsid w:val="008A73A5"/>
    <w:rsid w:val="008B0165"/>
    <w:rsid w:val="008B061D"/>
    <w:rsid w:val="008B2837"/>
    <w:rsid w:val="008B3642"/>
    <w:rsid w:val="008B3D79"/>
    <w:rsid w:val="008B5ECA"/>
    <w:rsid w:val="008C24BF"/>
    <w:rsid w:val="008C3314"/>
    <w:rsid w:val="008C4FAB"/>
    <w:rsid w:val="008C6595"/>
    <w:rsid w:val="008C6784"/>
    <w:rsid w:val="008C6A2E"/>
    <w:rsid w:val="008C6EC3"/>
    <w:rsid w:val="008D1B81"/>
    <w:rsid w:val="008D2494"/>
    <w:rsid w:val="008D394A"/>
    <w:rsid w:val="008D5C25"/>
    <w:rsid w:val="008D5EBA"/>
    <w:rsid w:val="008D7588"/>
    <w:rsid w:val="008E0269"/>
    <w:rsid w:val="008E3AE1"/>
    <w:rsid w:val="008E3D9F"/>
    <w:rsid w:val="008E4524"/>
    <w:rsid w:val="008E49B5"/>
    <w:rsid w:val="008E4C10"/>
    <w:rsid w:val="008E6754"/>
    <w:rsid w:val="008E6DAA"/>
    <w:rsid w:val="008E6ED1"/>
    <w:rsid w:val="008E7AFC"/>
    <w:rsid w:val="008F0633"/>
    <w:rsid w:val="008F0AB9"/>
    <w:rsid w:val="008F16CE"/>
    <w:rsid w:val="008F1FC5"/>
    <w:rsid w:val="008F2022"/>
    <w:rsid w:val="008F20EE"/>
    <w:rsid w:val="008F3F6A"/>
    <w:rsid w:val="008F44A0"/>
    <w:rsid w:val="008F57C3"/>
    <w:rsid w:val="008F7059"/>
    <w:rsid w:val="00900038"/>
    <w:rsid w:val="009025F8"/>
    <w:rsid w:val="00902C53"/>
    <w:rsid w:val="009035F4"/>
    <w:rsid w:val="00903DC4"/>
    <w:rsid w:val="009051C2"/>
    <w:rsid w:val="0090747B"/>
    <w:rsid w:val="00907C3A"/>
    <w:rsid w:val="00907CA1"/>
    <w:rsid w:val="00910E1B"/>
    <w:rsid w:val="00911DB0"/>
    <w:rsid w:val="00915F64"/>
    <w:rsid w:val="00915F77"/>
    <w:rsid w:val="00916674"/>
    <w:rsid w:val="00917524"/>
    <w:rsid w:val="00921C01"/>
    <w:rsid w:val="00922722"/>
    <w:rsid w:val="00923A70"/>
    <w:rsid w:val="0092432A"/>
    <w:rsid w:val="00924C1C"/>
    <w:rsid w:val="00925776"/>
    <w:rsid w:val="00926604"/>
    <w:rsid w:val="00926D5E"/>
    <w:rsid w:val="00930509"/>
    <w:rsid w:val="009313AC"/>
    <w:rsid w:val="00932379"/>
    <w:rsid w:val="00932EF1"/>
    <w:rsid w:val="009331AE"/>
    <w:rsid w:val="0093362C"/>
    <w:rsid w:val="00935580"/>
    <w:rsid w:val="0093582E"/>
    <w:rsid w:val="00935979"/>
    <w:rsid w:val="009360B9"/>
    <w:rsid w:val="009362C4"/>
    <w:rsid w:val="00937292"/>
    <w:rsid w:val="00937CB5"/>
    <w:rsid w:val="009424EC"/>
    <w:rsid w:val="009437EC"/>
    <w:rsid w:val="009439F7"/>
    <w:rsid w:val="0094497C"/>
    <w:rsid w:val="00944F6B"/>
    <w:rsid w:val="009455DA"/>
    <w:rsid w:val="00945D76"/>
    <w:rsid w:val="0094700F"/>
    <w:rsid w:val="00947A89"/>
    <w:rsid w:val="00947FF9"/>
    <w:rsid w:val="00952B60"/>
    <w:rsid w:val="00952D65"/>
    <w:rsid w:val="00953B57"/>
    <w:rsid w:val="00954405"/>
    <w:rsid w:val="009569BB"/>
    <w:rsid w:val="009578F5"/>
    <w:rsid w:val="00960C51"/>
    <w:rsid w:val="009611C9"/>
    <w:rsid w:val="0096153B"/>
    <w:rsid w:val="00961C3D"/>
    <w:rsid w:val="00961F2E"/>
    <w:rsid w:val="009620A2"/>
    <w:rsid w:val="009623F2"/>
    <w:rsid w:val="0096281D"/>
    <w:rsid w:val="00963A3F"/>
    <w:rsid w:val="0096445E"/>
    <w:rsid w:val="0096599A"/>
    <w:rsid w:val="00967ABD"/>
    <w:rsid w:val="00967F11"/>
    <w:rsid w:val="009701C0"/>
    <w:rsid w:val="00970C0B"/>
    <w:rsid w:val="00970CC8"/>
    <w:rsid w:val="009710DF"/>
    <w:rsid w:val="009714DC"/>
    <w:rsid w:val="00972130"/>
    <w:rsid w:val="0097335A"/>
    <w:rsid w:val="0097382B"/>
    <w:rsid w:val="00973B4E"/>
    <w:rsid w:val="00974875"/>
    <w:rsid w:val="009755FC"/>
    <w:rsid w:val="0097605C"/>
    <w:rsid w:val="00981BAA"/>
    <w:rsid w:val="0098311D"/>
    <w:rsid w:val="00986647"/>
    <w:rsid w:val="0098697F"/>
    <w:rsid w:val="00986A85"/>
    <w:rsid w:val="00987FFE"/>
    <w:rsid w:val="009908F5"/>
    <w:rsid w:val="00991C2A"/>
    <w:rsid w:val="009923BC"/>
    <w:rsid w:val="00992C02"/>
    <w:rsid w:val="00996FA3"/>
    <w:rsid w:val="0099775D"/>
    <w:rsid w:val="00997EBA"/>
    <w:rsid w:val="009A037F"/>
    <w:rsid w:val="009A095D"/>
    <w:rsid w:val="009A0C4A"/>
    <w:rsid w:val="009A1815"/>
    <w:rsid w:val="009A1978"/>
    <w:rsid w:val="009A1996"/>
    <w:rsid w:val="009A2B6D"/>
    <w:rsid w:val="009A2F7B"/>
    <w:rsid w:val="009A3D19"/>
    <w:rsid w:val="009A4527"/>
    <w:rsid w:val="009A5FF1"/>
    <w:rsid w:val="009A69AB"/>
    <w:rsid w:val="009B1D7C"/>
    <w:rsid w:val="009B4A2E"/>
    <w:rsid w:val="009B6753"/>
    <w:rsid w:val="009C0A98"/>
    <w:rsid w:val="009C14FF"/>
    <w:rsid w:val="009C1EE3"/>
    <w:rsid w:val="009C29C6"/>
    <w:rsid w:val="009C4DCF"/>
    <w:rsid w:val="009C6451"/>
    <w:rsid w:val="009C6514"/>
    <w:rsid w:val="009C6AB6"/>
    <w:rsid w:val="009C7BC0"/>
    <w:rsid w:val="009D05BD"/>
    <w:rsid w:val="009D2567"/>
    <w:rsid w:val="009D2812"/>
    <w:rsid w:val="009D30C5"/>
    <w:rsid w:val="009D6193"/>
    <w:rsid w:val="009D621F"/>
    <w:rsid w:val="009D6F79"/>
    <w:rsid w:val="009E1A1D"/>
    <w:rsid w:val="009E2D53"/>
    <w:rsid w:val="009E599D"/>
    <w:rsid w:val="009E5F4D"/>
    <w:rsid w:val="009F061F"/>
    <w:rsid w:val="009F0C40"/>
    <w:rsid w:val="009F1AC4"/>
    <w:rsid w:val="009F2E7F"/>
    <w:rsid w:val="009F2EF1"/>
    <w:rsid w:val="009F3261"/>
    <w:rsid w:val="009F5CDC"/>
    <w:rsid w:val="009F5D12"/>
    <w:rsid w:val="009F6104"/>
    <w:rsid w:val="009F7BFE"/>
    <w:rsid w:val="00A015B6"/>
    <w:rsid w:val="00A01B04"/>
    <w:rsid w:val="00A01B2C"/>
    <w:rsid w:val="00A0280A"/>
    <w:rsid w:val="00A06F8C"/>
    <w:rsid w:val="00A0775D"/>
    <w:rsid w:val="00A108DF"/>
    <w:rsid w:val="00A10B30"/>
    <w:rsid w:val="00A113CF"/>
    <w:rsid w:val="00A12085"/>
    <w:rsid w:val="00A131CA"/>
    <w:rsid w:val="00A13879"/>
    <w:rsid w:val="00A1406C"/>
    <w:rsid w:val="00A1440A"/>
    <w:rsid w:val="00A14FCD"/>
    <w:rsid w:val="00A15199"/>
    <w:rsid w:val="00A15469"/>
    <w:rsid w:val="00A15747"/>
    <w:rsid w:val="00A16732"/>
    <w:rsid w:val="00A17553"/>
    <w:rsid w:val="00A20B48"/>
    <w:rsid w:val="00A219C1"/>
    <w:rsid w:val="00A2295A"/>
    <w:rsid w:val="00A22BFA"/>
    <w:rsid w:val="00A23CF0"/>
    <w:rsid w:val="00A272E7"/>
    <w:rsid w:val="00A27444"/>
    <w:rsid w:val="00A275DA"/>
    <w:rsid w:val="00A27BB3"/>
    <w:rsid w:val="00A27E2A"/>
    <w:rsid w:val="00A3197E"/>
    <w:rsid w:val="00A32033"/>
    <w:rsid w:val="00A321CD"/>
    <w:rsid w:val="00A325B7"/>
    <w:rsid w:val="00A32760"/>
    <w:rsid w:val="00A32884"/>
    <w:rsid w:val="00A33F96"/>
    <w:rsid w:val="00A34D93"/>
    <w:rsid w:val="00A351BC"/>
    <w:rsid w:val="00A35954"/>
    <w:rsid w:val="00A42A1C"/>
    <w:rsid w:val="00A44BA4"/>
    <w:rsid w:val="00A451E4"/>
    <w:rsid w:val="00A45A8B"/>
    <w:rsid w:val="00A46522"/>
    <w:rsid w:val="00A465D4"/>
    <w:rsid w:val="00A467C2"/>
    <w:rsid w:val="00A474D4"/>
    <w:rsid w:val="00A4758C"/>
    <w:rsid w:val="00A47798"/>
    <w:rsid w:val="00A50318"/>
    <w:rsid w:val="00A508B4"/>
    <w:rsid w:val="00A5295F"/>
    <w:rsid w:val="00A5317E"/>
    <w:rsid w:val="00A541F0"/>
    <w:rsid w:val="00A55B2D"/>
    <w:rsid w:val="00A55E93"/>
    <w:rsid w:val="00A56981"/>
    <w:rsid w:val="00A56C6E"/>
    <w:rsid w:val="00A56C92"/>
    <w:rsid w:val="00A611F4"/>
    <w:rsid w:val="00A6162A"/>
    <w:rsid w:val="00A62130"/>
    <w:rsid w:val="00A63024"/>
    <w:rsid w:val="00A6432B"/>
    <w:rsid w:val="00A64CEA"/>
    <w:rsid w:val="00A6634D"/>
    <w:rsid w:val="00A74A80"/>
    <w:rsid w:val="00A76579"/>
    <w:rsid w:val="00A76EEB"/>
    <w:rsid w:val="00A77177"/>
    <w:rsid w:val="00A80785"/>
    <w:rsid w:val="00A808A2"/>
    <w:rsid w:val="00A80CD7"/>
    <w:rsid w:val="00A80F31"/>
    <w:rsid w:val="00A82E99"/>
    <w:rsid w:val="00A83FE8"/>
    <w:rsid w:val="00A9126E"/>
    <w:rsid w:val="00A927A0"/>
    <w:rsid w:val="00A93358"/>
    <w:rsid w:val="00A93835"/>
    <w:rsid w:val="00A93B07"/>
    <w:rsid w:val="00A93FF3"/>
    <w:rsid w:val="00A94B8C"/>
    <w:rsid w:val="00A94FAF"/>
    <w:rsid w:val="00A95BC3"/>
    <w:rsid w:val="00A970A6"/>
    <w:rsid w:val="00A97E3F"/>
    <w:rsid w:val="00AA0312"/>
    <w:rsid w:val="00AA1970"/>
    <w:rsid w:val="00AA3181"/>
    <w:rsid w:val="00AA32BA"/>
    <w:rsid w:val="00AA4251"/>
    <w:rsid w:val="00AA524F"/>
    <w:rsid w:val="00AA69FF"/>
    <w:rsid w:val="00AB0641"/>
    <w:rsid w:val="00AB0C33"/>
    <w:rsid w:val="00AB2E15"/>
    <w:rsid w:val="00AB384F"/>
    <w:rsid w:val="00AB3D3E"/>
    <w:rsid w:val="00AB6700"/>
    <w:rsid w:val="00AB6D12"/>
    <w:rsid w:val="00AC099F"/>
    <w:rsid w:val="00AC102D"/>
    <w:rsid w:val="00AC323B"/>
    <w:rsid w:val="00AC5E5F"/>
    <w:rsid w:val="00AC67EE"/>
    <w:rsid w:val="00AC7135"/>
    <w:rsid w:val="00AD0015"/>
    <w:rsid w:val="00AD1A92"/>
    <w:rsid w:val="00AD61A5"/>
    <w:rsid w:val="00AD6821"/>
    <w:rsid w:val="00AD7544"/>
    <w:rsid w:val="00AD7D3D"/>
    <w:rsid w:val="00AE114B"/>
    <w:rsid w:val="00AE1F3E"/>
    <w:rsid w:val="00AE312E"/>
    <w:rsid w:val="00AE59E0"/>
    <w:rsid w:val="00AE6189"/>
    <w:rsid w:val="00AE6C10"/>
    <w:rsid w:val="00AE7D03"/>
    <w:rsid w:val="00AF0F4D"/>
    <w:rsid w:val="00AF1D0D"/>
    <w:rsid w:val="00AF5104"/>
    <w:rsid w:val="00B00832"/>
    <w:rsid w:val="00B01D33"/>
    <w:rsid w:val="00B01FE2"/>
    <w:rsid w:val="00B02477"/>
    <w:rsid w:val="00B05B9F"/>
    <w:rsid w:val="00B06476"/>
    <w:rsid w:val="00B075A7"/>
    <w:rsid w:val="00B105A6"/>
    <w:rsid w:val="00B12D79"/>
    <w:rsid w:val="00B12FB4"/>
    <w:rsid w:val="00B13424"/>
    <w:rsid w:val="00B154E3"/>
    <w:rsid w:val="00B15FBB"/>
    <w:rsid w:val="00B161B2"/>
    <w:rsid w:val="00B17CC4"/>
    <w:rsid w:val="00B23287"/>
    <w:rsid w:val="00B23CC7"/>
    <w:rsid w:val="00B24DE7"/>
    <w:rsid w:val="00B25BFA"/>
    <w:rsid w:val="00B261AD"/>
    <w:rsid w:val="00B31735"/>
    <w:rsid w:val="00B3224E"/>
    <w:rsid w:val="00B331F6"/>
    <w:rsid w:val="00B33470"/>
    <w:rsid w:val="00B34549"/>
    <w:rsid w:val="00B3591E"/>
    <w:rsid w:val="00B372A9"/>
    <w:rsid w:val="00B40A0F"/>
    <w:rsid w:val="00B4303B"/>
    <w:rsid w:val="00B44E65"/>
    <w:rsid w:val="00B46932"/>
    <w:rsid w:val="00B46CF5"/>
    <w:rsid w:val="00B507C2"/>
    <w:rsid w:val="00B51200"/>
    <w:rsid w:val="00B51ADF"/>
    <w:rsid w:val="00B5275F"/>
    <w:rsid w:val="00B53FC5"/>
    <w:rsid w:val="00B541A2"/>
    <w:rsid w:val="00B554C6"/>
    <w:rsid w:val="00B57413"/>
    <w:rsid w:val="00B618E9"/>
    <w:rsid w:val="00B62F5D"/>
    <w:rsid w:val="00B635B0"/>
    <w:rsid w:val="00B63C4F"/>
    <w:rsid w:val="00B64E9D"/>
    <w:rsid w:val="00B6557F"/>
    <w:rsid w:val="00B667A0"/>
    <w:rsid w:val="00B66EBC"/>
    <w:rsid w:val="00B70E01"/>
    <w:rsid w:val="00B7292D"/>
    <w:rsid w:val="00B72E60"/>
    <w:rsid w:val="00B75582"/>
    <w:rsid w:val="00B76CEF"/>
    <w:rsid w:val="00B802C1"/>
    <w:rsid w:val="00B8065C"/>
    <w:rsid w:val="00B8091B"/>
    <w:rsid w:val="00B83972"/>
    <w:rsid w:val="00B83E72"/>
    <w:rsid w:val="00B83FCF"/>
    <w:rsid w:val="00B85AA4"/>
    <w:rsid w:val="00B8641E"/>
    <w:rsid w:val="00B90078"/>
    <w:rsid w:val="00B90267"/>
    <w:rsid w:val="00B927EE"/>
    <w:rsid w:val="00B9640C"/>
    <w:rsid w:val="00B97E9A"/>
    <w:rsid w:val="00BA0416"/>
    <w:rsid w:val="00BA044F"/>
    <w:rsid w:val="00BA3543"/>
    <w:rsid w:val="00BA3DC1"/>
    <w:rsid w:val="00BA4F63"/>
    <w:rsid w:val="00BA534C"/>
    <w:rsid w:val="00BA5C67"/>
    <w:rsid w:val="00BA6D38"/>
    <w:rsid w:val="00BB0FA6"/>
    <w:rsid w:val="00BB103B"/>
    <w:rsid w:val="00BB1F5B"/>
    <w:rsid w:val="00BB39B7"/>
    <w:rsid w:val="00BB4FBC"/>
    <w:rsid w:val="00BB52FC"/>
    <w:rsid w:val="00BB5E7F"/>
    <w:rsid w:val="00BB6627"/>
    <w:rsid w:val="00BB6C91"/>
    <w:rsid w:val="00BC15AA"/>
    <w:rsid w:val="00BC3FBF"/>
    <w:rsid w:val="00BC5AF3"/>
    <w:rsid w:val="00BC7848"/>
    <w:rsid w:val="00BD0048"/>
    <w:rsid w:val="00BD1093"/>
    <w:rsid w:val="00BD117F"/>
    <w:rsid w:val="00BD1BCE"/>
    <w:rsid w:val="00BD20AF"/>
    <w:rsid w:val="00BD210B"/>
    <w:rsid w:val="00BD2521"/>
    <w:rsid w:val="00BD6326"/>
    <w:rsid w:val="00BD7500"/>
    <w:rsid w:val="00BD7F4B"/>
    <w:rsid w:val="00BE0206"/>
    <w:rsid w:val="00BE0F75"/>
    <w:rsid w:val="00BE0FC4"/>
    <w:rsid w:val="00BE3916"/>
    <w:rsid w:val="00BE425F"/>
    <w:rsid w:val="00BE59C1"/>
    <w:rsid w:val="00BE5C02"/>
    <w:rsid w:val="00BE6AC3"/>
    <w:rsid w:val="00BE6C25"/>
    <w:rsid w:val="00BE731E"/>
    <w:rsid w:val="00BF0943"/>
    <w:rsid w:val="00BF0EDE"/>
    <w:rsid w:val="00BF124E"/>
    <w:rsid w:val="00BF2762"/>
    <w:rsid w:val="00BF50EA"/>
    <w:rsid w:val="00BF5BE4"/>
    <w:rsid w:val="00C03A93"/>
    <w:rsid w:val="00C04207"/>
    <w:rsid w:val="00C05465"/>
    <w:rsid w:val="00C05DAC"/>
    <w:rsid w:val="00C0747C"/>
    <w:rsid w:val="00C07559"/>
    <w:rsid w:val="00C1007B"/>
    <w:rsid w:val="00C12E6C"/>
    <w:rsid w:val="00C1365B"/>
    <w:rsid w:val="00C14BA3"/>
    <w:rsid w:val="00C15EF7"/>
    <w:rsid w:val="00C1614E"/>
    <w:rsid w:val="00C16D0B"/>
    <w:rsid w:val="00C177FD"/>
    <w:rsid w:val="00C20072"/>
    <w:rsid w:val="00C217B5"/>
    <w:rsid w:val="00C2337B"/>
    <w:rsid w:val="00C23910"/>
    <w:rsid w:val="00C23F7F"/>
    <w:rsid w:val="00C23FED"/>
    <w:rsid w:val="00C245B5"/>
    <w:rsid w:val="00C24AFB"/>
    <w:rsid w:val="00C24C2E"/>
    <w:rsid w:val="00C25805"/>
    <w:rsid w:val="00C27E2F"/>
    <w:rsid w:val="00C30FDE"/>
    <w:rsid w:val="00C314A4"/>
    <w:rsid w:val="00C315F0"/>
    <w:rsid w:val="00C31703"/>
    <w:rsid w:val="00C31A8D"/>
    <w:rsid w:val="00C35F5C"/>
    <w:rsid w:val="00C36CA2"/>
    <w:rsid w:val="00C42178"/>
    <w:rsid w:val="00C42A82"/>
    <w:rsid w:val="00C42C61"/>
    <w:rsid w:val="00C4357B"/>
    <w:rsid w:val="00C43D23"/>
    <w:rsid w:val="00C43F99"/>
    <w:rsid w:val="00C4437C"/>
    <w:rsid w:val="00C44545"/>
    <w:rsid w:val="00C455E7"/>
    <w:rsid w:val="00C458F6"/>
    <w:rsid w:val="00C51173"/>
    <w:rsid w:val="00C52870"/>
    <w:rsid w:val="00C5518D"/>
    <w:rsid w:val="00C565FC"/>
    <w:rsid w:val="00C5789B"/>
    <w:rsid w:val="00C60254"/>
    <w:rsid w:val="00C60611"/>
    <w:rsid w:val="00C61D6A"/>
    <w:rsid w:val="00C62E22"/>
    <w:rsid w:val="00C64648"/>
    <w:rsid w:val="00C6605E"/>
    <w:rsid w:val="00C702AA"/>
    <w:rsid w:val="00C70578"/>
    <w:rsid w:val="00C71B3D"/>
    <w:rsid w:val="00C71BA0"/>
    <w:rsid w:val="00C74A97"/>
    <w:rsid w:val="00C76581"/>
    <w:rsid w:val="00C76824"/>
    <w:rsid w:val="00C76D81"/>
    <w:rsid w:val="00C771E5"/>
    <w:rsid w:val="00C77517"/>
    <w:rsid w:val="00C77802"/>
    <w:rsid w:val="00C80EA3"/>
    <w:rsid w:val="00C81466"/>
    <w:rsid w:val="00C81936"/>
    <w:rsid w:val="00C81B94"/>
    <w:rsid w:val="00C81D9C"/>
    <w:rsid w:val="00C82F60"/>
    <w:rsid w:val="00C84923"/>
    <w:rsid w:val="00C859B9"/>
    <w:rsid w:val="00C861F2"/>
    <w:rsid w:val="00C864AF"/>
    <w:rsid w:val="00C87025"/>
    <w:rsid w:val="00C87278"/>
    <w:rsid w:val="00C879AD"/>
    <w:rsid w:val="00C87F18"/>
    <w:rsid w:val="00C90640"/>
    <w:rsid w:val="00C90725"/>
    <w:rsid w:val="00C95438"/>
    <w:rsid w:val="00C96178"/>
    <w:rsid w:val="00CA2C14"/>
    <w:rsid w:val="00CA40CA"/>
    <w:rsid w:val="00CA52EC"/>
    <w:rsid w:val="00CA5E2F"/>
    <w:rsid w:val="00CA6933"/>
    <w:rsid w:val="00CA77F6"/>
    <w:rsid w:val="00CB07F5"/>
    <w:rsid w:val="00CB1AD4"/>
    <w:rsid w:val="00CB1CAD"/>
    <w:rsid w:val="00CB2569"/>
    <w:rsid w:val="00CB2E35"/>
    <w:rsid w:val="00CB340E"/>
    <w:rsid w:val="00CB35AD"/>
    <w:rsid w:val="00CB52C5"/>
    <w:rsid w:val="00CB7108"/>
    <w:rsid w:val="00CB7863"/>
    <w:rsid w:val="00CB7E15"/>
    <w:rsid w:val="00CC10FD"/>
    <w:rsid w:val="00CC3142"/>
    <w:rsid w:val="00CC3E58"/>
    <w:rsid w:val="00CC6C51"/>
    <w:rsid w:val="00CC7ABC"/>
    <w:rsid w:val="00CD072F"/>
    <w:rsid w:val="00CD20B5"/>
    <w:rsid w:val="00CD33A0"/>
    <w:rsid w:val="00CD4195"/>
    <w:rsid w:val="00CD4824"/>
    <w:rsid w:val="00CD495D"/>
    <w:rsid w:val="00CD7B9B"/>
    <w:rsid w:val="00CE2760"/>
    <w:rsid w:val="00CE2EF2"/>
    <w:rsid w:val="00CE540E"/>
    <w:rsid w:val="00CE618A"/>
    <w:rsid w:val="00CE63FE"/>
    <w:rsid w:val="00CE6955"/>
    <w:rsid w:val="00CE69AD"/>
    <w:rsid w:val="00CF0DB6"/>
    <w:rsid w:val="00CF20E5"/>
    <w:rsid w:val="00CF2481"/>
    <w:rsid w:val="00CF32EE"/>
    <w:rsid w:val="00CF5200"/>
    <w:rsid w:val="00CF7674"/>
    <w:rsid w:val="00D0045D"/>
    <w:rsid w:val="00D03558"/>
    <w:rsid w:val="00D0361B"/>
    <w:rsid w:val="00D03C5E"/>
    <w:rsid w:val="00D053C3"/>
    <w:rsid w:val="00D06B23"/>
    <w:rsid w:val="00D07A1B"/>
    <w:rsid w:val="00D07F35"/>
    <w:rsid w:val="00D10645"/>
    <w:rsid w:val="00D11358"/>
    <w:rsid w:val="00D11842"/>
    <w:rsid w:val="00D126DC"/>
    <w:rsid w:val="00D12AA8"/>
    <w:rsid w:val="00D12DDB"/>
    <w:rsid w:val="00D13370"/>
    <w:rsid w:val="00D14425"/>
    <w:rsid w:val="00D16C2B"/>
    <w:rsid w:val="00D22040"/>
    <w:rsid w:val="00D23F4C"/>
    <w:rsid w:val="00D30C0E"/>
    <w:rsid w:val="00D33E0C"/>
    <w:rsid w:val="00D33F9F"/>
    <w:rsid w:val="00D4154C"/>
    <w:rsid w:val="00D43955"/>
    <w:rsid w:val="00D44D3F"/>
    <w:rsid w:val="00D47C12"/>
    <w:rsid w:val="00D527AD"/>
    <w:rsid w:val="00D5385B"/>
    <w:rsid w:val="00D55CDB"/>
    <w:rsid w:val="00D55D44"/>
    <w:rsid w:val="00D56175"/>
    <w:rsid w:val="00D56EFD"/>
    <w:rsid w:val="00D5703F"/>
    <w:rsid w:val="00D57C6A"/>
    <w:rsid w:val="00D62BC7"/>
    <w:rsid w:val="00D6319A"/>
    <w:rsid w:val="00D6474F"/>
    <w:rsid w:val="00D66421"/>
    <w:rsid w:val="00D6679C"/>
    <w:rsid w:val="00D70173"/>
    <w:rsid w:val="00D703C2"/>
    <w:rsid w:val="00D743A0"/>
    <w:rsid w:val="00D75527"/>
    <w:rsid w:val="00D77F3D"/>
    <w:rsid w:val="00D80823"/>
    <w:rsid w:val="00D81A0C"/>
    <w:rsid w:val="00D81F84"/>
    <w:rsid w:val="00D849D6"/>
    <w:rsid w:val="00D8531B"/>
    <w:rsid w:val="00D85ED6"/>
    <w:rsid w:val="00D9242A"/>
    <w:rsid w:val="00D9248E"/>
    <w:rsid w:val="00D925E1"/>
    <w:rsid w:val="00D933EF"/>
    <w:rsid w:val="00D93A71"/>
    <w:rsid w:val="00D95C3E"/>
    <w:rsid w:val="00D960BE"/>
    <w:rsid w:val="00D96441"/>
    <w:rsid w:val="00D97199"/>
    <w:rsid w:val="00D974E1"/>
    <w:rsid w:val="00D975B5"/>
    <w:rsid w:val="00D97C8B"/>
    <w:rsid w:val="00DA0AE8"/>
    <w:rsid w:val="00DA2838"/>
    <w:rsid w:val="00DB2216"/>
    <w:rsid w:val="00DB36C3"/>
    <w:rsid w:val="00DB376D"/>
    <w:rsid w:val="00DB3C7E"/>
    <w:rsid w:val="00DB3E07"/>
    <w:rsid w:val="00DB3F2E"/>
    <w:rsid w:val="00DB5853"/>
    <w:rsid w:val="00DB6474"/>
    <w:rsid w:val="00DC231D"/>
    <w:rsid w:val="00DC2CF2"/>
    <w:rsid w:val="00DC309A"/>
    <w:rsid w:val="00DC3358"/>
    <w:rsid w:val="00DC4834"/>
    <w:rsid w:val="00DC4C39"/>
    <w:rsid w:val="00DC574C"/>
    <w:rsid w:val="00DC575A"/>
    <w:rsid w:val="00DC68F4"/>
    <w:rsid w:val="00DC6D0C"/>
    <w:rsid w:val="00DD0229"/>
    <w:rsid w:val="00DD1F2C"/>
    <w:rsid w:val="00DD26CC"/>
    <w:rsid w:val="00DD3547"/>
    <w:rsid w:val="00DD3919"/>
    <w:rsid w:val="00DD505B"/>
    <w:rsid w:val="00DE055B"/>
    <w:rsid w:val="00DE0AA3"/>
    <w:rsid w:val="00DE22C4"/>
    <w:rsid w:val="00DE2723"/>
    <w:rsid w:val="00DE4B17"/>
    <w:rsid w:val="00DE506D"/>
    <w:rsid w:val="00DE5208"/>
    <w:rsid w:val="00DE6F7A"/>
    <w:rsid w:val="00DF1ED8"/>
    <w:rsid w:val="00DF2595"/>
    <w:rsid w:val="00DF28D8"/>
    <w:rsid w:val="00DF42F9"/>
    <w:rsid w:val="00DF59EE"/>
    <w:rsid w:val="00E00D4C"/>
    <w:rsid w:val="00E01988"/>
    <w:rsid w:val="00E01A0C"/>
    <w:rsid w:val="00E01CDD"/>
    <w:rsid w:val="00E0234B"/>
    <w:rsid w:val="00E02654"/>
    <w:rsid w:val="00E0544A"/>
    <w:rsid w:val="00E07FBB"/>
    <w:rsid w:val="00E10228"/>
    <w:rsid w:val="00E10BCF"/>
    <w:rsid w:val="00E10E47"/>
    <w:rsid w:val="00E11447"/>
    <w:rsid w:val="00E1286B"/>
    <w:rsid w:val="00E14411"/>
    <w:rsid w:val="00E147B6"/>
    <w:rsid w:val="00E148B2"/>
    <w:rsid w:val="00E15FF7"/>
    <w:rsid w:val="00E17AC7"/>
    <w:rsid w:val="00E17D36"/>
    <w:rsid w:val="00E23127"/>
    <w:rsid w:val="00E23D8F"/>
    <w:rsid w:val="00E251CB"/>
    <w:rsid w:val="00E26D5B"/>
    <w:rsid w:val="00E2761E"/>
    <w:rsid w:val="00E31557"/>
    <w:rsid w:val="00E31A7B"/>
    <w:rsid w:val="00E3202A"/>
    <w:rsid w:val="00E32B49"/>
    <w:rsid w:val="00E3365F"/>
    <w:rsid w:val="00E35472"/>
    <w:rsid w:val="00E35EE4"/>
    <w:rsid w:val="00E36F0E"/>
    <w:rsid w:val="00E36F37"/>
    <w:rsid w:val="00E414E4"/>
    <w:rsid w:val="00E4172B"/>
    <w:rsid w:val="00E430A3"/>
    <w:rsid w:val="00E4313D"/>
    <w:rsid w:val="00E444AB"/>
    <w:rsid w:val="00E449C7"/>
    <w:rsid w:val="00E456D6"/>
    <w:rsid w:val="00E50F0D"/>
    <w:rsid w:val="00E515D5"/>
    <w:rsid w:val="00E52BA8"/>
    <w:rsid w:val="00E5550A"/>
    <w:rsid w:val="00E55765"/>
    <w:rsid w:val="00E5596E"/>
    <w:rsid w:val="00E57DCC"/>
    <w:rsid w:val="00E62145"/>
    <w:rsid w:val="00E62299"/>
    <w:rsid w:val="00E62CFE"/>
    <w:rsid w:val="00E66D05"/>
    <w:rsid w:val="00E677AE"/>
    <w:rsid w:val="00E7231C"/>
    <w:rsid w:val="00E7290E"/>
    <w:rsid w:val="00E72F6B"/>
    <w:rsid w:val="00E74301"/>
    <w:rsid w:val="00E77F54"/>
    <w:rsid w:val="00E81826"/>
    <w:rsid w:val="00E824C2"/>
    <w:rsid w:val="00E839A7"/>
    <w:rsid w:val="00E84DE1"/>
    <w:rsid w:val="00E85542"/>
    <w:rsid w:val="00E85B2D"/>
    <w:rsid w:val="00E90146"/>
    <w:rsid w:val="00E904C4"/>
    <w:rsid w:val="00E91931"/>
    <w:rsid w:val="00E923AE"/>
    <w:rsid w:val="00E927D6"/>
    <w:rsid w:val="00E93DAA"/>
    <w:rsid w:val="00E949AC"/>
    <w:rsid w:val="00E94E31"/>
    <w:rsid w:val="00E95759"/>
    <w:rsid w:val="00EA0DA1"/>
    <w:rsid w:val="00EA1552"/>
    <w:rsid w:val="00EA19E4"/>
    <w:rsid w:val="00EA2B59"/>
    <w:rsid w:val="00EA50EC"/>
    <w:rsid w:val="00EA5E92"/>
    <w:rsid w:val="00EA67C4"/>
    <w:rsid w:val="00EB08F3"/>
    <w:rsid w:val="00EB1938"/>
    <w:rsid w:val="00EB24DA"/>
    <w:rsid w:val="00EB27B1"/>
    <w:rsid w:val="00EB41A2"/>
    <w:rsid w:val="00EB518D"/>
    <w:rsid w:val="00EB52E3"/>
    <w:rsid w:val="00EB6DE6"/>
    <w:rsid w:val="00EB759E"/>
    <w:rsid w:val="00EB7646"/>
    <w:rsid w:val="00EC0343"/>
    <w:rsid w:val="00EC22D4"/>
    <w:rsid w:val="00EC2BDE"/>
    <w:rsid w:val="00EC597A"/>
    <w:rsid w:val="00EC6293"/>
    <w:rsid w:val="00EC76F0"/>
    <w:rsid w:val="00ED1BD6"/>
    <w:rsid w:val="00ED2661"/>
    <w:rsid w:val="00ED2917"/>
    <w:rsid w:val="00ED47F8"/>
    <w:rsid w:val="00ED792B"/>
    <w:rsid w:val="00ED7987"/>
    <w:rsid w:val="00EE0562"/>
    <w:rsid w:val="00EE11AE"/>
    <w:rsid w:val="00EE1E33"/>
    <w:rsid w:val="00EE22A1"/>
    <w:rsid w:val="00EE2768"/>
    <w:rsid w:val="00EE28F0"/>
    <w:rsid w:val="00EE4FD0"/>
    <w:rsid w:val="00EE6B00"/>
    <w:rsid w:val="00EE7803"/>
    <w:rsid w:val="00EF063F"/>
    <w:rsid w:val="00EF14BE"/>
    <w:rsid w:val="00EF1C7F"/>
    <w:rsid w:val="00EF4A1B"/>
    <w:rsid w:val="00EF6750"/>
    <w:rsid w:val="00EF7A54"/>
    <w:rsid w:val="00F00E38"/>
    <w:rsid w:val="00F05772"/>
    <w:rsid w:val="00F061BF"/>
    <w:rsid w:val="00F0758F"/>
    <w:rsid w:val="00F07671"/>
    <w:rsid w:val="00F1060A"/>
    <w:rsid w:val="00F1112C"/>
    <w:rsid w:val="00F11482"/>
    <w:rsid w:val="00F135AA"/>
    <w:rsid w:val="00F13AB1"/>
    <w:rsid w:val="00F13D57"/>
    <w:rsid w:val="00F14370"/>
    <w:rsid w:val="00F14F74"/>
    <w:rsid w:val="00F155DB"/>
    <w:rsid w:val="00F15BE4"/>
    <w:rsid w:val="00F218B0"/>
    <w:rsid w:val="00F21B2E"/>
    <w:rsid w:val="00F242D4"/>
    <w:rsid w:val="00F27BE7"/>
    <w:rsid w:val="00F308A0"/>
    <w:rsid w:val="00F30904"/>
    <w:rsid w:val="00F314AE"/>
    <w:rsid w:val="00F32ADE"/>
    <w:rsid w:val="00F330E8"/>
    <w:rsid w:val="00F340EA"/>
    <w:rsid w:val="00F35EBF"/>
    <w:rsid w:val="00F37102"/>
    <w:rsid w:val="00F374D7"/>
    <w:rsid w:val="00F37F4B"/>
    <w:rsid w:val="00F40E37"/>
    <w:rsid w:val="00F41D6F"/>
    <w:rsid w:val="00F42E17"/>
    <w:rsid w:val="00F4316D"/>
    <w:rsid w:val="00F43588"/>
    <w:rsid w:val="00F459F7"/>
    <w:rsid w:val="00F471FD"/>
    <w:rsid w:val="00F516A1"/>
    <w:rsid w:val="00F5185A"/>
    <w:rsid w:val="00F5205B"/>
    <w:rsid w:val="00F522EB"/>
    <w:rsid w:val="00F536F2"/>
    <w:rsid w:val="00F53EBB"/>
    <w:rsid w:val="00F54C93"/>
    <w:rsid w:val="00F54DB4"/>
    <w:rsid w:val="00F55EBC"/>
    <w:rsid w:val="00F5629C"/>
    <w:rsid w:val="00F56D14"/>
    <w:rsid w:val="00F5711B"/>
    <w:rsid w:val="00F618B1"/>
    <w:rsid w:val="00F619F7"/>
    <w:rsid w:val="00F624C7"/>
    <w:rsid w:val="00F6263B"/>
    <w:rsid w:val="00F63CD4"/>
    <w:rsid w:val="00F64B45"/>
    <w:rsid w:val="00F66AC9"/>
    <w:rsid w:val="00F67C0C"/>
    <w:rsid w:val="00F7135A"/>
    <w:rsid w:val="00F72392"/>
    <w:rsid w:val="00F74188"/>
    <w:rsid w:val="00F74B47"/>
    <w:rsid w:val="00F75554"/>
    <w:rsid w:val="00F767AA"/>
    <w:rsid w:val="00F771F8"/>
    <w:rsid w:val="00F77269"/>
    <w:rsid w:val="00F77B9F"/>
    <w:rsid w:val="00F805A7"/>
    <w:rsid w:val="00F82529"/>
    <w:rsid w:val="00F83392"/>
    <w:rsid w:val="00F839BF"/>
    <w:rsid w:val="00F83C3B"/>
    <w:rsid w:val="00F840C8"/>
    <w:rsid w:val="00F8417E"/>
    <w:rsid w:val="00F85120"/>
    <w:rsid w:val="00F8524F"/>
    <w:rsid w:val="00F85BB8"/>
    <w:rsid w:val="00F85EAE"/>
    <w:rsid w:val="00F86CB2"/>
    <w:rsid w:val="00F9091E"/>
    <w:rsid w:val="00F90CDC"/>
    <w:rsid w:val="00F90D69"/>
    <w:rsid w:val="00F91624"/>
    <w:rsid w:val="00F92258"/>
    <w:rsid w:val="00F93038"/>
    <w:rsid w:val="00F95127"/>
    <w:rsid w:val="00F95C24"/>
    <w:rsid w:val="00FA05F7"/>
    <w:rsid w:val="00FA0F27"/>
    <w:rsid w:val="00FA1161"/>
    <w:rsid w:val="00FA2465"/>
    <w:rsid w:val="00FA265D"/>
    <w:rsid w:val="00FA39EF"/>
    <w:rsid w:val="00FA5E39"/>
    <w:rsid w:val="00FA740D"/>
    <w:rsid w:val="00FA7491"/>
    <w:rsid w:val="00FA76ED"/>
    <w:rsid w:val="00FA78A8"/>
    <w:rsid w:val="00FB2B35"/>
    <w:rsid w:val="00FB2D40"/>
    <w:rsid w:val="00FB40D7"/>
    <w:rsid w:val="00FB4F3D"/>
    <w:rsid w:val="00FC337F"/>
    <w:rsid w:val="00FC58B7"/>
    <w:rsid w:val="00FC6DC4"/>
    <w:rsid w:val="00FC7001"/>
    <w:rsid w:val="00FC7353"/>
    <w:rsid w:val="00FC7804"/>
    <w:rsid w:val="00FD0359"/>
    <w:rsid w:val="00FD19F5"/>
    <w:rsid w:val="00FD26FB"/>
    <w:rsid w:val="00FD2B73"/>
    <w:rsid w:val="00FD322D"/>
    <w:rsid w:val="00FD3D49"/>
    <w:rsid w:val="00FD4AB3"/>
    <w:rsid w:val="00FD4DF3"/>
    <w:rsid w:val="00FE0B72"/>
    <w:rsid w:val="00FE17DF"/>
    <w:rsid w:val="00FE1C7B"/>
    <w:rsid w:val="00FE1FDF"/>
    <w:rsid w:val="00FE2724"/>
    <w:rsid w:val="00FE509D"/>
    <w:rsid w:val="00FE6419"/>
    <w:rsid w:val="00FF01FB"/>
    <w:rsid w:val="00FF02DC"/>
    <w:rsid w:val="00FF03F4"/>
    <w:rsid w:val="00FF2AFC"/>
    <w:rsid w:val="00FF39FE"/>
    <w:rsid w:val="00FF5A14"/>
    <w:rsid w:val="00FF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vertical-relative:line" fill="f" fillcolor="white" stroke="f">
      <v:fill color="white" on="f"/>
      <v:stroke on="f"/>
      <o:colormru v:ext="edit" colors="#ccd6e6,#003082,#ffc,#eaeaea,#cff"/>
    </o:shapedefaults>
    <o:shapelayout v:ext="edit">
      <o:idmap v:ext="edit" data="2"/>
    </o:shapelayout>
  </w:shapeDefaults>
  <w:decimalSymbol w:val=","/>
  <w:listSeparator w:val=";"/>
  <w14:docId w14:val="645F6C02"/>
  <w15:chartTrackingRefBased/>
  <w15:docId w15:val="{1679A3C8-A2D8-4C63-A0C6-9A5876667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A74A80"/>
    <w:rPr>
      <w:rFonts w:asciiTheme="minorHAnsi" w:hAnsiTheme="minorHAnsi"/>
    </w:rPr>
  </w:style>
  <w:style w:type="paragraph" w:styleId="Heading1">
    <w:name w:val="heading 1"/>
    <w:basedOn w:val="Normal"/>
    <w:next w:val="Normal"/>
    <w:link w:val="Heading1Char"/>
    <w:qFormat/>
    <w:rsid w:val="00651B88"/>
    <w:pPr>
      <w:keepNext/>
      <w:spacing w:before="360" w:after="240"/>
      <w:jc w:val="center"/>
      <w:outlineLvl w:val="0"/>
    </w:pPr>
    <w:rPr>
      <w:rFonts w:ascii="Calibri" w:hAnsi="Calibri"/>
      <w:b/>
      <w:bCs/>
      <w:color w:val="C00000"/>
      <w:kern w:val="32"/>
      <w:sz w:val="48"/>
      <w:szCs w:val="22"/>
      <w:lang w:eastAsia="x-none"/>
    </w:rPr>
  </w:style>
  <w:style w:type="paragraph" w:styleId="Heading2">
    <w:name w:val="heading 2"/>
    <w:basedOn w:val="Normal"/>
    <w:next w:val="TestomanualeCSW1"/>
    <w:link w:val="Heading2Char"/>
    <w:qFormat/>
    <w:rsid w:val="0017241C"/>
    <w:pPr>
      <w:spacing w:before="240" w:after="120"/>
      <w:jc w:val="center"/>
      <w:outlineLvl w:val="1"/>
    </w:pPr>
    <w:rPr>
      <w:b/>
      <w:sz w:val="40"/>
      <w:szCs w:val="40"/>
    </w:rPr>
  </w:style>
  <w:style w:type="paragraph" w:styleId="Heading3">
    <w:name w:val="heading 3"/>
    <w:basedOn w:val="TestomanualeCSW1"/>
    <w:next w:val="Normal"/>
    <w:qFormat/>
    <w:rsid w:val="00E57DCC"/>
    <w:pPr>
      <w:keepNext/>
      <w:spacing w:before="240"/>
      <w:outlineLvl w:val="2"/>
    </w:pPr>
    <w:rPr>
      <w:rFonts w:asciiTheme="minorHAnsi" w:hAnsiTheme="minorHAnsi"/>
      <w:b/>
      <w:sz w:val="32"/>
      <w:szCs w:val="32"/>
    </w:rPr>
  </w:style>
  <w:style w:type="paragraph" w:styleId="Heading4">
    <w:name w:val="heading 4"/>
    <w:basedOn w:val="TestomanualeCSW1"/>
    <w:next w:val="TestomanualeCSW1"/>
    <w:autoRedefine/>
    <w:qFormat/>
    <w:rsid w:val="00E57DCC"/>
    <w:pPr>
      <w:keepNext/>
      <w:spacing w:before="120"/>
      <w:outlineLvl w:val="3"/>
    </w:pPr>
    <w:rPr>
      <w:rFonts w:cs="Calibri"/>
      <w:b/>
      <w:color w:val="595959" w:themeColor="text1" w:themeTint="A6"/>
      <w:sz w:val="28"/>
      <w:szCs w:val="28"/>
    </w:rPr>
  </w:style>
  <w:style w:type="paragraph" w:styleId="Heading5">
    <w:name w:val="heading 5"/>
    <w:basedOn w:val="Normal"/>
    <w:next w:val="TestomanualeCSW1"/>
    <w:link w:val="Heading5Char"/>
    <w:autoRedefine/>
    <w:qFormat/>
    <w:rsid w:val="00E57DCC"/>
    <w:pPr>
      <w:spacing w:before="120" w:after="80"/>
      <w:outlineLvl w:val="4"/>
    </w:pPr>
    <w:rPr>
      <w:rFonts w:ascii="Calibri" w:hAnsi="Calibri" w:cs="Calibri"/>
      <w:b/>
      <w:bCs/>
      <w:sz w:val="24"/>
      <w:szCs w:val="22"/>
    </w:rPr>
  </w:style>
  <w:style w:type="paragraph" w:styleId="Heading6">
    <w:name w:val="heading 6"/>
    <w:basedOn w:val="Normal"/>
    <w:next w:val="Normal"/>
    <w:qFormat/>
    <w:pPr>
      <w:keepNext/>
      <w:ind w:firstLine="1140"/>
      <w:outlineLvl w:val="5"/>
    </w:pPr>
    <w:rPr>
      <w:rFonts w:ascii="Arial" w:hAnsi="Arial"/>
      <w:b/>
      <w:color w:val="000000"/>
      <w:sz w:val="22"/>
    </w:rPr>
  </w:style>
  <w:style w:type="paragraph" w:styleId="Heading7">
    <w:name w:val="heading 7"/>
    <w:basedOn w:val="Normal"/>
    <w:next w:val="Normal"/>
    <w:qFormat/>
    <w:pPr>
      <w:keepNext/>
      <w:spacing w:before="120"/>
      <w:jc w:val="center"/>
      <w:outlineLvl w:val="6"/>
    </w:pPr>
    <w:rPr>
      <w:b/>
      <w:bCs/>
      <w:i/>
      <w:iCs/>
      <w:sz w:val="32"/>
    </w:rPr>
  </w:style>
  <w:style w:type="paragraph" w:styleId="Heading8">
    <w:name w:val="heading 8"/>
    <w:basedOn w:val="Normal"/>
    <w:next w:val="Normal"/>
    <w:qFormat/>
    <w:pPr>
      <w:keepNext/>
      <w:spacing w:before="120"/>
      <w:jc w:val="center"/>
      <w:outlineLvl w:val="7"/>
    </w:pPr>
    <w:rPr>
      <w:rFonts w:ascii="Arial" w:hAnsi="Arial" w:cs="Arial"/>
      <w:b/>
      <w:bCs/>
      <w:sz w:val="24"/>
    </w:rPr>
  </w:style>
  <w:style w:type="paragraph" w:styleId="Heading9">
    <w:name w:val="heading 9"/>
    <w:basedOn w:val="Normal"/>
    <w:next w:val="Normal"/>
    <w:link w:val="Heading9Char"/>
    <w:qFormat/>
    <w:rsid w:val="00A74A80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d"/>
    <w:basedOn w:val="Normal"/>
    <w:link w:val="HeaderChar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paragraph" w:styleId="BodyText">
    <w:name w:val="Body Text"/>
    <w:basedOn w:val="Normal"/>
    <w:pPr>
      <w:jc w:val="both"/>
    </w:pPr>
    <w:rPr>
      <w:rFonts w:ascii="Arial" w:hAnsi="Arial"/>
      <w:b/>
      <w:sz w:val="24"/>
    </w:rPr>
  </w:style>
  <w:style w:type="paragraph" w:styleId="BodyText2">
    <w:name w:val="Body Text 2"/>
    <w:basedOn w:val="Normal"/>
    <w:pPr>
      <w:jc w:val="both"/>
    </w:pPr>
    <w:rPr>
      <w:rFonts w:ascii="Arial" w:hAnsi="Arial"/>
      <w:sz w:val="24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FF"/>
      <w:u w:val="single"/>
    </w:rPr>
  </w:style>
  <w:style w:type="paragraph" w:styleId="BlockText">
    <w:name w:val="Block Text"/>
    <w:basedOn w:val="Normal"/>
    <w:pPr>
      <w:spacing w:after="120"/>
      <w:ind w:left="567" w:right="566"/>
      <w:jc w:val="both"/>
    </w:pPr>
    <w:rPr>
      <w:rFonts w:ascii="Arial" w:hAnsi="Arial"/>
      <w:sz w:val="22"/>
    </w:rPr>
  </w:style>
  <w:style w:type="paragraph" w:styleId="BodyTextIndent">
    <w:name w:val="Body Text Indent"/>
    <w:basedOn w:val="Normal"/>
    <w:pPr>
      <w:spacing w:after="120"/>
      <w:ind w:left="360"/>
      <w:jc w:val="both"/>
    </w:pPr>
    <w:rPr>
      <w:rFonts w:ascii="Arial" w:hAnsi="Arial"/>
      <w:snapToGrid w:val="0"/>
      <w:sz w:val="22"/>
    </w:rPr>
  </w:style>
  <w:style w:type="paragraph" w:customStyle="1" w:styleId="lista">
    <w:name w:val="lista"/>
    <w:basedOn w:val="Normal"/>
    <w:pPr>
      <w:numPr>
        <w:numId w:val="1"/>
      </w:numPr>
      <w:spacing w:after="40"/>
      <w:jc w:val="both"/>
    </w:pPr>
    <w:rPr>
      <w:sz w:val="22"/>
    </w:rPr>
  </w:style>
  <w:style w:type="character" w:styleId="Strong">
    <w:name w:val="Strong"/>
    <w:qFormat/>
    <w:rPr>
      <w:b/>
      <w:bCs/>
    </w:rPr>
  </w:style>
  <w:style w:type="paragraph" w:customStyle="1" w:styleId="Carattere">
    <w:name w:val="Carattere"/>
    <w:basedOn w:val="Normal"/>
    <w:rsid w:val="00DB3C7E"/>
    <w:pPr>
      <w:spacing w:after="160" w:line="240" w:lineRule="exact"/>
    </w:pPr>
    <w:rPr>
      <w:rFonts w:ascii="Verdana" w:hAnsi="Verdana"/>
      <w:lang w:val="en-US" w:eastAsia="en-US"/>
    </w:rPr>
  </w:style>
  <w:style w:type="paragraph" w:styleId="NormalWeb">
    <w:name w:val="Normal (Web)"/>
    <w:basedOn w:val="Normal"/>
    <w:rsid w:val="008C4FAB"/>
    <w:pPr>
      <w:spacing w:before="100" w:beforeAutospacing="1" w:after="100" w:afterAutospacing="1"/>
    </w:pPr>
    <w:rPr>
      <w:rFonts w:ascii="Verdana" w:eastAsia="SimSun" w:hAnsi="Verdana" w:cs="Verdana"/>
      <w:sz w:val="18"/>
      <w:szCs w:val="18"/>
      <w:lang w:eastAsia="zh-CN"/>
    </w:rPr>
  </w:style>
  <w:style w:type="paragraph" w:customStyle="1" w:styleId="msolistparagraph0">
    <w:name w:val="msolistparagraph"/>
    <w:basedOn w:val="Normal"/>
    <w:rsid w:val="00D23F4C"/>
    <w:pPr>
      <w:ind w:left="720"/>
    </w:pPr>
    <w:rPr>
      <w:rFonts w:ascii="Calibri" w:eastAsia="SimSun" w:hAnsi="Calibri" w:cs="Verdana"/>
      <w:sz w:val="22"/>
      <w:szCs w:val="22"/>
      <w:lang w:eastAsia="en-US"/>
    </w:rPr>
  </w:style>
  <w:style w:type="character" w:customStyle="1" w:styleId="StefanoFrascari">
    <w:name w:val="Stefano Frascari"/>
    <w:semiHidden/>
    <w:rsid w:val="00D23F4C"/>
    <w:rPr>
      <w:rFonts w:ascii="Calibri" w:hAnsi="Calibri"/>
      <w:b w:val="0"/>
      <w:bCs w:val="0"/>
      <w:i w:val="0"/>
      <w:iCs w:val="0"/>
      <w:strike w:val="0"/>
      <w:color w:val="000080"/>
      <w:sz w:val="22"/>
      <w:szCs w:val="22"/>
      <w:u w:val="none"/>
    </w:rPr>
  </w:style>
  <w:style w:type="character" w:styleId="FollowedHyperlink">
    <w:name w:val="FollowedHyperlink"/>
    <w:rsid w:val="00340F02"/>
    <w:rPr>
      <w:color w:val="800080"/>
      <w:u w:val="single"/>
    </w:rPr>
  </w:style>
  <w:style w:type="character" w:styleId="Emphasis">
    <w:name w:val="Emphasis"/>
    <w:qFormat/>
    <w:rsid w:val="00DB3E07"/>
    <w:rPr>
      <w:i/>
      <w:iCs/>
    </w:rPr>
  </w:style>
  <w:style w:type="character" w:customStyle="1" w:styleId="stilemessaggiodipostaelettronica19">
    <w:name w:val="stilemessaggiodipostaelettronica19"/>
    <w:semiHidden/>
    <w:rsid w:val="00A56C6E"/>
    <w:rPr>
      <w:rFonts w:ascii="Calibri" w:hAnsi="Calibri" w:hint="default"/>
      <w:b w:val="0"/>
      <w:bCs w:val="0"/>
      <w:i w:val="0"/>
      <w:iCs w:val="0"/>
      <w:strike w:val="0"/>
      <w:dstrike w:val="0"/>
      <w:color w:val="000080"/>
      <w:sz w:val="22"/>
      <w:szCs w:val="22"/>
      <w:u w:val="none"/>
      <w:effect w:val="none"/>
    </w:rPr>
  </w:style>
  <w:style w:type="paragraph" w:customStyle="1" w:styleId="Default">
    <w:name w:val="Default"/>
    <w:rsid w:val="00676D03"/>
    <w:pPr>
      <w:widowControl w:val="0"/>
      <w:autoSpaceDE w:val="0"/>
      <w:autoSpaceDN w:val="0"/>
      <w:adjustRightInd w:val="0"/>
    </w:pPr>
    <w:rPr>
      <w:rFonts w:ascii="Bookman Old Style" w:eastAsia="SimSun" w:hAnsi="Bookman Old Style" w:cs="Bookman Old Style"/>
      <w:color w:val="000000"/>
      <w:sz w:val="24"/>
      <w:szCs w:val="24"/>
      <w:lang w:eastAsia="zh-CN"/>
    </w:rPr>
  </w:style>
  <w:style w:type="table" w:styleId="TableGrid">
    <w:name w:val="Table Grid"/>
    <w:basedOn w:val="TableNormal"/>
    <w:rsid w:val="00961C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rattere1">
    <w:name w:val="Carattere1"/>
    <w:basedOn w:val="Normal"/>
    <w:rsid w:val="000D46AC"/>
    <w:pPr>
      <w:spacing w:after="160" w:line="240" w:lineRule="exact"/>
    </w:pPr>
    <w:rPr>
      <w:rFonts w:ascii="Verdana" w:hAnsi="Verdana"/>
      <w:lang w:val="en-US" w:eastAsia="en-US"/>
    </w:rPr>
  </w:style>
  <w:style w:type="paragraph" w:styleId="TOC1">
    <w:name w:val="toc 1"/>
    <w:basedOn w:val="Normal"/>
    <w:next w:val="Normal"/>
    <w:autoRedefine/>
    <w:uiPriority w:val="39"/>
    <w:qFormat/>
    <w:rsid w:val="00FA05F7"/>
    <w:pPr>
      <w:spacing w:before="120" w:after="80"/>
      <w:ind w:left="202"/>
    </w:pPr>
    <w:rPr>
      <w:rFonts w:ascii="Calibri" w:hAnsi="Calibri"/>
      <w:b/>
      <w:sz w:val="26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D33F9F"/>
    <w:pPr>
      <w:spacing w:before="40" w:after="40"/>
      <w:ind w:firstLine="958"/>
    </w:pPr>
    <w:rPr>
      <w:rFonts w:ascii="Calibri" w:hAnsi="Calibri"/>
      <w:color w:val="404040" w:themeColor="text1" w:themeTint="BF"/>
      <w:sz w:val="24"/>
      <w:szCs w:val="24"/>
    </w:rPr>
  </w:style>
  <w:style w:type="paragraph" w:styleId="Date">
    <w:name w:val="Date"/>
    <w:basedOn w:val="Normal"/>
    <w:next w:val="Normal"/>
    <w:rsid w:val="000F1254"/>
  </w:style>
  <w:style w:type="paragraph" w:styleId="TOC3">
    <w:name w:val="toc 3"/>
    <w:basedOn w:val="Normal"/>
    <w:next w:val="Normal"/>
    <w:autoRedefine/>
    <w:uiPriority w:val="39"/>
    <w:qFormat/>
    <w:rsid w:val="00FD3D49"/>
    <w:pPr>
      <w:spacing w:before="20" w:after="20"/>
      <w:ind w:left="1418"/>
    </w:pPr>
    <w:rPr>
      <w:rFonts w:ascii="Calibri" w:hAnsi="Calibri"/>
      <w:color w:val="7F7F7F" w:themeColor="text1" w:themeTint="80"/>
      <w:sz w:val="22"/>
    </w:rPr>
  </w:style>
  <w:style w:type="paragraph" w:styleId="TOC4">
    <w:name w:val="toc 4"/>
    <w:basedOn w:val="Normal"/>
    <w:next w:val="Normal"/>
    <w:autoRedefine/>
    <w:uiPriority w:val="39"/>
    <w:rsid w:val="00670C71"/>
    <w:pPr>
      <w:spacing w:after="80"/>
      <w:ind w:left="1701"/>
    </w:pPr>
    <w:rPr>
      <w:rFonts w:ascii="Calibri" w:hAnsi="Calibri"/>
      <w:color w:val="767171" w:themeColor="background2" w:themeShade="80"/>
    </w:rPr>
  </w:style>
  <w:style w:type="paragraph" w:customStyle="1" w:styleId="Titolo5C">
    <w:name w:val="Titolo 5 C"/>
    <w:basedOn w:val="Heading5"/>
    <w:next w:val="PlainText"/>
    <w:rsid w:val="00692D1B"/>
    <w:pPr>
      <w:tabs>
        <w:tab w:val="left" w:pos="1680"/>
      </w:tabs>
      <w:autoSpaceDE w:val="0"/>
      <w:autoSpaceDN w:val="0"/>
      <w:adjustRightInd w:val="0"/>
      <w:snapToGrid w:val="0"/>
      <w:spacing w:before="240"/>
      <w:ind w:left="708"/>
      <w:jc w:val="both"/>
    </w:pPr>
    <w:rPr>
      <w:rFonts w:eastAsia="SimSun" w:cs="BookmanOldStyle"/>
      <w:b w:val="0"/>
      <w:sz w:val="26"/>
      <w:lang w:eastAsia="zh-CN"/>
    </w:rPr>
  </w:style>
  <w:style w:type="paragraph" w:styleId="PlainText">
    <w:name w:val="Plain Text"/>
    <w:basedOn w:val="Normal"/>
    <w:rsid w:val="00692D1B"/>
    <w:rPr>
      <w:rFonts w:ascii="Courier New" w:hAnsi="Courier New" w:cs="Courier New"/>
    </w:rPr>
  </w:style>
  <w:style w:type="paragraph" w:styleId="TOC5">
    <w:name w:val="toc 5"/>
    <w:basedOn w:val="Normal"/>
    <w:next w:val="Normal"/>
    <w:autoRedefine/>
    <w:uiPriority w:val="39"/>
    <w:rsid w:val="00670C71"/>
    <w:pPr>
      <w:spacing w:after="40"/>
      <w:ind w:left="1985"/>
    </w:pPr>
    <w:rPr>
      <w:rFonts w:ascii="Calibri" w:hAnsi="Calibri"/>
      <w:color w:val="808080"/>
      <w:sz w:val="18"/>
    </w:rPr>
  </w:style>
  <w:style w:type="paragraph" w:styleId="FootnoteText">
    <w:name w:val="footnote text"/>
    <w:basedOn w:val="Normal"/>
    <w:link w:val="FootnoteTextChar"/>
    <w:rsid w:val="002A7F53"/>
  </w:style>
  <w:style w:type="character" w:styleId="FootnoteReference">
    <w:name w:val="footnote reference"/>
    <w:semiHidden/>
    <w:rsid w:val="002A7F53"/>
    <w:rPr>
      <w:vertAlign w:val="superscript"/>
    </w:rPr>
  </w:style>
  <w:style w:type="paragraph" w:styleId="TOC6">
    <w:name w:val="toc 6"/>
    <w:basedOn w:val="Normal"/>
    <w:next w:val="Normal"/>
    <w:autoRedefine/>
    <w:rsid w:val="000451BA"/>
    <w:pPr>
      <w:ind w:left="1200"/>
    </w:pPr>
    <w:rPr>
      <w:rFonts w:eastAsia="SimSun"/>
      <w:sz w:val="24"/>
      <w:szCs w:val="24"/>
      <w:lang w:eastAsia="zh-CN"/>
    </w:rPr>
  </w:style>
  <w:style w:type="paragraph" w:styleId="TOC7">
    <w:name w:val="toc 7"/>
    <w:basedOn w:val="Normal"/>
    <w:next w:val="Normal"/>
    <w:autoRedefine/>
    <w:rsid w:val="000451BA"/>
    <w:pPr>
      <w:ind w:left="1440"/>
    </w:pPr>
    <w:rPr>
      <w:rFonts w:eastAsia="SimSun"/>
      <w:sz w:val="24"/>
      <w:szCs w:val="24"/>
      <w:lang w:eastAsia="zh-CN"/>
    </w:rPr>
  </w:style>
  <w:style w:type="paragraph" w:styleId="TOC8">
    <w:name w:val="toc 8"/>
    <w:basedOn w:val="Normal"/>
    <w:next w:val="Normal"/>
    <w:autoRedefine/>
    <w:rsid w:val="000451BA"/>
    <w:pPr>
      <w:ind w:left="1680"/>
    </w:pPr>
    <w:rPr>
      <w:rFonts w:eastAsia="SimSun"/>
      <w:sz w:val="24"/>
      <w:szCs w:val="24"/>
      <w:lang w:eastAsia="zh-CN"/>
    </w:rPr>
  </w:style>
  <w:style w:type="paragraph" w:styleId="TOC9">
    <w:name w:val="toc 9"/>
    <w:basedOn w:val="Normal"/>
    <w:next w:val="Normal"/>
    <w:autoRedefine/>
    <w:rsid w:val="000451BA"/>
    <w:pPr>
      <w:ind w:left="1920"/>
    </w:pPr>
    <w:rPr>
      <w:rFonts w:eastAsia="SimSun"/>
      <w:sz w:val="24"/>
      <w:szCs w:val="24"/>
      <w:lang w:eastAsia="zh-CN"/>
    </w:rPr>
  </w:style>
  <w:style w:type="character" w:customStyle="1" w:styleId="Heading5Char">
    <w:name w:val="Heading 5 Char"/>
    <w:link w:val="Heading5"/>
    <w:rsid w:val="00E57DCC"/>
    <w:rPr>
      <w:rFonts w:ascii="Calibri" w:hAnsi="Calibri" w:cs="Calibri"/>
      <w:b/>
      <w:bCs/>
      <w:sz w:val="24"/>
      <w:szCs w:val="22"/>
    </w:rPr>
  </w:style>
  <w:style w:type="character" w:customStyle="1" w:styleId="Heading1Char">
    <w:name w:val="Heading 1 Char"/>
    <w:link w:val="Heading1"/>
    <w:rsid w:val="00651B88"/>
    <w:rPr>
      <w:rFonts w:ascii="Calibri" w:hAnsi="Calibri"/>
      <w:b/>
      <w:bCs/>
      <w:color w:val="C00000"/>
      <w:kern w:val="32"/>
      <w:sz w:val="48"/>
      <w:szCs w:val="22"/>
      <w:lang w:eastAsia="x-none"/>
    </w:rPr>
  </w:style>
  <w:style w:type="paragraph" w:styleId="Title">
    <w:name w:val="Title"/>
    <w:basedOn w:val="Normal"/>
    <w:next w:val="Normal"/>
    <w:link w:val="TitleChar"/>
    <w:qFormat/>
    <w:rsid w:val="00D1337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  <w:lang w:val="x-none" w:eastAsia="x-none"/>
    </w:rPr>
  </w:style>
  <w:style w:type="character" w:customStyle="1" w:styleId="TitleChar">
    <w:name w:val="Title Char"/>
    <w:link w:val="Title"/>
    <w:rsid w:val="00D13370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styleId="HTMLPreformatted">
    <w:name w:val="HTML Preformatted"/>
    <w:basedOn w:val="Normal"/>
    <w:link w:val="HTMLPreformattedChar"/>
    <w:unhideWhenUsed/>
    <w:rsid w:val="00DD50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link w:val="HTMLPreformatted"/>
    <w:uiPriority w:val="99"/>
    <w:rsid w:val="00DD505B"/>
    <w:rPr>
      <w:rFonts w:ascii="Courier New" w:hAnsi="Courier New" w:cs="Courier New"/>
    </w:rPr>
  </w:style>
  <w:style w:type="paragraph" w:styleId="BalloonText">
    <w:name w:val="Balloon Text"/>
    <w:basedOn w:val="Normal"/>
    <w:link w:val="BalloonTextChar"/>
    <w:rsid w:val="00DE055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E055B"/>
    <w:rPr>
      <w:rFonts w:ascii="Tahoma" w:hAnsi="Tahoma" w:cs="Tahoma"/>
      <w:sz w:val="16"/>
      <w:szCs w:val="16"/>
    </w:rPr>
  </w:style>
  <w:style w:type="character" w:customStyle="1" w:styleId="Heading9Char">
    <w:name w:val="Heading 9 Char"/>
    <w:link w:val="Heading9"/>
    <w:rsid w:val="00A74A80"/>
    <w:rPr>
      <w:rFonts w:ascii="Arial" w:hAnsi="Arial" w:cs="Arial"/>
      <w:sz w:val="22"/>
      <w:szCs w:val="22"/>
    </w:rPr>
  </w:style>
  <w:style w:type="paragraph" w:customStyle="1" w:styleId="a">
    <w:basedOn w:val="Normal"/>
    <w:next w:val="BodyText"/>
    <w:link w:val="CorpodeltestoCarattere"/>
    <w:rsid w:val="00A74A80"/>
    <w:pPr>
      <w:jc w:val="both"/>
    </w:pPr>
    <w:rPr>
      <w:rFonts w:ascii="Arial" w:hAnsi="Arial"/>
      <w:b/>
      <w:sz w:val="24"/>
    </w:rPr>
  </w:style>
  <w:style w:type="paragraph" w:customStyle="1" w:styleId="Pa0">
    <w:name w:val="Pa0"/>
    <w:basedOn w:val="Normal"/>
    <w:next w:val="Normal"/>
    <w:rsid w:val="00A74A80"/>
    <w:pPr>
      <w:autoSpaceDE w:val="0"/>
      <w:autoSpaceDN w:val="0"/>
      <w:adjustRightInd w:val="0"/>
      <w:spacing w:line="241" w:lineRule="auto"/>
    </w:pPr>
    <w:rPr>
      <w:rFonts w:ascii="Univers-CondensedBold" w:hAnsi="Univers-CondensedBold"/>
      <w:szCs w:val="24"/>
    </w:rPr>
  </w:style>
  <w:style w:type="character" w:customStyle="1" w:styleId="CorpodeltestoCarattere">
    <w:name w:val="Corpo del testo Carattere"/>
    <w:link w:val="a"/>
    <w:rsid w:val="00A74A80"/>
    <w:rPr>
      <w:rFonts w:ascii="Arial" w:hAnsi="Arial"/>
      <w:b/>
      <w:sz w:val="24"/>
      <w:lang w:val="it-IT" w:eastAsia="it-IT" w:bidi="ar-SA"/>
    </w:rPr>
  </w:style>
  <w:style w:type="paragraph" w:styleId="Subtitle">
    <w:name w:val="Subtitle"/>
    <w:basedOn w:val="Normal"/>
    <w:link w:val="SubtitleChar"/>
    <w:qFormat/>
    <w:rsid w:val="00A74A80"/>
    <w:pPr>
      <w:jc w:val="center"/>
    </w:pPr>
    <w:rPr>
      <w:rFonts w:ascii="Monotype Corsiva" w:hAnsi="Monotype Corsiva"/>
      <w:b/>
      <w:sz w:val="36"/>
      <w:u w:val="single"/>
    </w:rPr>
  </w:style>
  <w:style w:type="character" w:customStyle="1" w:styleId="SubtitleChar">
    <w:name w:val="Subtitle Char"/>
    <w:link w:val="Subtitle"/>
    <w:rsid w:val="00A74A80"/>
    <w:rPr>
      <w:rFonts w:ascii="Monotype Corsiva" w:hAnsi="Monotype Corsiva"/>
      <w:b/>
      <w:sz w:val="36"/>
      <w:u w:val="single"/>
    </w:rPr>
  </w:style>
  <w:style w:type="character" w:customStyle="1" w:styleId="HeaderChar">
    <w:name w:val="Header Char"/>
    <w:aliases w:val="hd Char"/>
    <w:link w:val="Header"/>
    <w:locked/>
    <w:rsid w:val="00A74A80"/>
  </w:style>
  <w:style w:type="character" w:customStyle="1" w:styleId="Heading2Char">
    <w:name w:val="Heading 2 Char"/>
    <w:link w:val="Heading2"/>
    <w:rsid w:val="0017241C"/>
    <w:rPr>
      <w:rFonts w:asciiTheme="minorHAnsi" w:hAnsiTheme="minorHAnsi"/>
      <w:b/>
      <w:sz w:val="40"/>
      <w:szCs w:val="40"/>
    </w:rPr>
  </w:style>
  <w:style w:type="paragraph" w:styleId="BodyTextIndent3">
    <w:name w:val="Body Text Indent 3"/>
    <w:basedOn w:val="Normal"/>
    <w:link w:val="BodyTextIndent3Char"/>
    <w:rsid w:val="00A74A80"/>
    <w:pPr>
      <w:ind w:left="708"/>
    </w:pPr>
    <w:rPr>
      <w:rFonts w:ascii="Arial Narrow" w:hAnsi="Arial Narrow"/>
      <w:b/>
      <w:bCs/>
      <w:sz w:val="24"/>
      <w:szCs w:val="24"/>
    </w:rPr>
  </w:style>
  <w:style w:type="character" w:customStyle="1" w:styleId="BodyTextIndent3Char">
    <w:name w:val="Body Text Indent 3 Char"/>
    <w:link w:val="BodyTextIndent3"/>
    <w:rsid w:val="00A74A80"/>
    <w:rPr>
      <w:rFonts w:ascii="Arial Narrow" w:hAnsi="Arial Narrow"/>
      <w:b/>
      <w:bCs/>
      <w:sz w:val="24"/>
      <w:szCs w:val="24"/>
    </w:rPr>
  </w:style>
  <w:style w:type="paragraph" w:styleId="Caption">
    <w:name w:val="caption"/>
    <w:basedOn w:val="Normal"/>
    <w:next w:val="Normal"/>
    <w:qFormat/>
    <w:rsid w:val="00A74A80"/>
    <w:rPr>
      <w:rFonts w:ascii="Arial Narrow" w:hAnsi="Arial Narrow"/>
      <w:b/>
      <w:bCs/>
      <w:sz w:val="24"/>
      <w:szCs w:val="24"/>
    </w:rPr>
  </w:style>
  <w:style w:type="paragraph" w:styleId="BodyTextIndent2">
    <w:name w:val="Body Text Indent 2"/>
    <w:basedOn w:val="Normal"/>
    <w:link w:val="BodyTextIndent2Char"/>
    <w:rsid w:val="00A74A80"/>
    <w:pPr>
      <w:ind w:left="720"/>
    </w:pPr>
    <w:rPr>
      <w:rFonts w:ascii="Arial Narrow" w:hAnsi="Arial Narrow"/>
      <w:b/>
      <w:bCs/>
      <w:sz w:val="24"/>
      <w:szCs w:val="24"/>
    </w:rPr>
  </w:style>
  <w:style w:type="character" w:customStyle="1" w:styleId="BodyTextIndent2Char">
    <w:name w:val="Body Text Indent 2 Char"/>
    <w:link w:val="BodyTextIndent2"/>
    <w:rsid w:val="00A74A80"/>
    <w:rPr>
      <w:rFonts w:ascii="Arial Narrow" w:hAnsi="Arial Narrow"/>
      <w:b/>
      <w:bCs/>
      <w:sz w:val="24"/>
      <w:szCs w:val="24"/>
    </w:rPr>
  </w:style>
  <w:style w:type="paragraph" w:styleId="BodyText3">
    <w:name w:val="Body Text 3"/>
    <w:basedOn w:val="Normal"/>
    <w:link w:val="BodyText3Char"/>
    <w:rsid w:val="00A74A80"/>
    <w:rPr>
      <w:sz w:val="22"/>
      <w:szCs w:val="24"/>
    </w:rPr>
  </w:style>
  <w:style w:type="character" w:customStyle="1" w:styleId="BodyText3Char">
    <w:name w:val="Body Text 3 Char"/>
    <w:link w:val="BodyText3"/>
    <w:rsid w:val="00A74A80"/>
    <w:rPr>
      <w:sz w:val="22"/>
      <w:szCs w:val="24"/>
    </w:rPr>
  </w:style>
  <w:style w:type="paragraph" w:styleId="Index1">
    <w:name w:val="index 1"/>
    <w:basedOn w:val="Normal"/>
    <w:next w:val="Normal"/>
    <w:autoRedefine/>
    <w:rsid w:val="00A74A80"/>
    <w:pPr>
      <w:ind w:left="200" w:hanging="200"/>
    </w:pPr>
  </w:style>
  <w:style w:type="paragraph" w:styleId="IndexHeading">
    <w:name w:val="index heading"/>
    <w:basedOn w:val="Normal"/>
    <w:next w:val="Index1"/>
    <w:rsid w:val="00A74A80"/>
    <w:rPr>
      <w:sz w:val="24"/>
      <w:szCs w:val="24"/>
    </w:rPr>
  </w:style>
  <w:style w:type="character" w:customStyle="1" w:styleId="FootnoteTextChar">
    <w:name w:val="Footnote Text Char"/>
    <w:link w:val="FootnoteText"/>
    <w:rsid w:val="00A74A80"/>
  </w:style>
  <w:style w:type="paragraph" w:styleId="List">
    <w:name w:val="List"/>
    <w:basedOn w:val="BodyText"/>
    <w:rsid w:val="00A74A80"/>
    <w:pPr>
      <w:spacing w:after="220" w:line="220" w:lineRule="atLeast"/>
      <w:ind w:left="1440" w:hanging="360"/>
    </w:pPr>
    <w:rPr>
      <w:rFonts w:ascii="Times New Roman" w:hAnsi="Times New Roman"/>
      <w:b w:val="0"/>
      <w:sz w:val="22"/>
    </w:rPr>
  </w:style>
  <w:style w:type="paragraph" w:customStyle="1" w:styleId="listaq">
    <w:name w:val="lista q"/>
    <w:basedOn w:val="Normal"/>
    <w:rsid w:val="00A74A80"/>
    <w:pPr>
      <w:numPr>
        <w:numId w:val="2"/>
      </w:numPr>
      <w:jc w:val="both"/>
    </w:pPr>
  </w:style>
  <w:style w:type="paragraph" w:styleId="Index7">
    <w:name w:val="index 7"/>
    <w:basedOn w:val="Normal"/>
    <w:next w:val="Normal"/>
    <w:autoRedefine/>
    <w:rsid w:val="00A74A80"/>
    <w:pPr>
      <w:ind w:left="1680" w:hanging="240"/>
    </w:pPr>
    <w:rPr>
      <w:sz w:val="24"/>
      <w:szCs w:val="24"/>
    </w:rPr>
  </w:style>
  <w:style w:type="paragraph" w:styleId="Index2">
    <w:name w:val="index 2"/>
    <w:basedOn w:val="Normal"/>
    <w:next w:val="Normal"/>
    <w:autoRedefine/>
    <w:rsid w:val="00A74A80"/>
    <w:pPr>
      <w:ind w:left="480" w:hanging="240"/>
    </w:pPr>
    <w:rPr>
      <w:sz w:val="24"/>
      <w:szCs w:val="24"/>
    </w:rPr>
  </w:style>
  <w:style w:type="paragraph" w:styleId="Index3">
    <w:name w:val="index 3"/>
    <w:basedOn w:val="Normal"/>
    <w:next w:val="Normal"/>
    <w:autoRedefine/>
    <w:rsid w:val="00A74A80"/>
    <w:pPr>
      <w:ind w:left="720" w:hanging="240"/>
    </w:pPr>
    <w:rPr>
      <w:sz w:val="24"/>
      <w:szCs w:val="24"/>
    </w:rPr>
  </w:style>
  <w:style w:type="paragraph" w:styleId="Index4">
    <w:name w:val="index 4"/>
    <w:basedOn w:val="Normal"/>
    <w:next w:val="Normal"/>
    <w:autoRedefine/>
    <w:rsid w:val="00A74A80"/>
    <w:pPr>
      <w:ind w:left="960" w:hanging="240"/>
    </w:pPr>
    <w:rPr>
      <w:sz w:val="24"/>
      <w:szCs w:val="24"/>
    </w:rPr>
  </w:style>
  <w:style w:type="character" w:styleId="CommentReference">
    <w:name w:val="annotation reference"/>
    <w:rsid w:val="00A74A80"/>
    <w:rPr>
      <w:sz w:val="16"/>
      <w:szCs w:val="16"/>
    </w:rPr>
  </w:style>
  <w:style w:type="paragraph" w:styleId="CommentText">
    <w:name w:val="annotation text"/>
    <w:basedOn w:val="Normal"/>
    <w:link w:val="CommentTextChar"/>
    <w:rsid w:val="00A74A80"/>
  </w:style>
  <w:style w:type="character" w:customStyle="1" w:styleId="CommentTextChar">
    <w:name w:val="Comment Text Char"/>
    <w:basedOn w:val="DefaultParagraphFont"/>
    <w:link w:val="CommentText"/>
    <w:rsid w:val="00A74A80"/>
  </w:style>
  <w:style w:type="paragraph" w:styleId="CommentSubject">
    <w:name w:val="annotation subject"/>
    <w:basedOn w:val="CommentText"/>
    <w:next w:val="CommentText"/>
    <w:link w:val="CommentSubjectChar"/>
    <w:rsid w:val="00A74A80"/>
    <w:rPr>
      <w:b/>
      <w:bCs/>
    </w:rPr>
  </w:style>
  <w:style w:type="character" w:customStyle="1" w:styleId="CommentSubjectChar">
    <w:name w:val="Comment Subject Char"/>
    <w:link w:val="CommentSubject"/>
    <w:rsid w:val="00A74A80"/>
    <w:rPr>
      <w:b/>
      <w:bCs/>
    </w:rPr>
  </w:style>
  <w:style w:type="paragraph" w:styleId="ListParagraph">
    <w:name w:val="List Paragraph"/>
    <w:basedOn w:val="Normal"/>
    <w:uiPriority w:val="34"/>
    <w:qFormat/>
    <w:rsid w:val="00A74A80"/>
    <w:pPr>
      <w:ind w:left="720"/>
    </w:pPr>
    <w:rPr>
      <w:rFonts w:ascii="Calibri" w:eastAsia="Calibri" w:hAnsi="Calibri"/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026D5B"/>
    <w:pPr>
      <w:keepLines/>
      <w:spacing w:after="0" w:line="259" w:lineRule="auto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  <w:lang w:eastAsia="it-IT"/>
    </w:rPr>
  </w:style>
  <w:style w:type="paragraph" w:customStyle="1" w:styleId="TestomanualeCSW1">
    <w:name w:val="Testo manuale CSW 1"/>
    <w:basedOn w:val="Normal"/>
    <w:link w:val="TestomanualeCSW1Carattere"/>
    <w:qFormat/>
    <w:rsid w:val="00E57DCC"/>
    <w:pPr>
      <w:spacing w:after="80" w:line="264" w:lineRule="auto"/>
      <w:jc w:val="both"/>
    </w:pPr>
    <w:rPr>
      <w:rFonts w:ascii="Calibri" w:hAnsi="Calibri"/>
    </w:rPr>
  </w:style>
  <w:style w:type="character" w:customStyle="1" w:styleId="TestomanualeCSW1Carattere">
    <w:name w:val="Testo manuale CSW 1 Carattere"/>
    <w:basedOn w:val="DefaultParagraphFont"/>
    <w:link w:val="TestomanualeCSW1"/>
    <w:rsid w:val="00E57DCC"/>
    <w:rPr>
      <w:rFonts w:ascii="Calibri" w:hAnsi="Calibri"/>
    </w:rPr>
  </w:style>
  <w:style w:type="paragraph" w:customStyle="1" w:styleId="CSWpre-titolo">
    <w:name w:val="CSW pre-titolo"/>
    <w:basedOn w:val="Normal"/>
    <w:link w:val="CSWpre-titoloCarattere"/>
    <w:qFormat/>
    <w:rsid w:val="008F16CE"/>
    <w:pPr>
      <w:spacing w:before="360" w:after="240"/>
      <w:jc w:val="center"/>
    </w:pPr>
    <w:rPr>
      <w:rFonts w:ascii="Calibri" w:hAnsi="Calibri"/>
      <w:b/>
      <w:color w:val="D0CECE" w:themeColor="background2" w:themeShade="E6"/>
      <w:sz w:val="48"/>
      <w:szCs w:val="22"/>
    </w:rPr>
  </w:style>
  <w:style w:type="paragraph" w:customStyle="1" w:styleId="CSWTITOLO">
    <w:name w:val="CSW TITOLO"/>
    <w:basedOn w:val="Normal"/>
    <w:link w:val="CSWTITOLOCarattere"/>
    <w:qFormat/>
    <w:rsid w:val="008F16CE"/>
    <w:pPr>
      <w:spacing w:before="360" w:after="240"/>
      <w:jc w:val="center"/>
    </w:pPr>
    <w:rPr>
      <w:rFonts w:ascii="Calibri" w:eastAsia="SimSun" w:hAnsi="Calibri" w:cs="Verdana"/>
      <w:b/>
      <w:color w:val="A20000"/>
      <w:sz w:val="72"/>
      <w:szCs w:val="22"/>
      <w:lang w:eastAsia="zh-CN"/>
    </w:rPr>
  </w:style>
  <w:style w:type="character" w:customStyle="1" w:styleId="CSWpre-titoloCarattere">
    <w:name w:val="CSW pre-titolo Carattere"/>
    <w:basedOn w:val="DefaultParagraphFont"/>
    <w:link w:val="CSWpre-titolo"/>
    <w:rsid w:val="008F16CE"/>
    <w:rPr>
      <w:rFonts w:ascii="Calibri" w:hAnsi="Calibri"/>
      <w:b/>
      <w:color w:val="D0CECE" w:themeColor="background2" w:themeShade="E6"/>
      <w:sz w:val="48"/>
      <w:szCs w:val="22"/>
    </w:rPr>
  </w:style>
  <w:style w:type="paragraph" w:customStyle="1" w:styleId="CSWsotto-titolo">
    <w:name w:val="CSW sotto-titolo"/>
    <w:basedOn w:val="Normal"/>
    <w:link w:val="CSWsotto-titoloCarattere"/>
    <w:qFormat/>
    <w:rsid w:val="00AB3D3E"/>
    <w:pPr>
      <w:spacing w:after="120"/>
      <w:jc w:val="center"/>
    </w:pPr>
    <w:rPr>
      <w:rFonts w:ascii="Calibri" w:eastAsia="SimSun" w:hAnsi="Calibri" w:cs="Verdana"/>
      <w:b/>
      <w:color w:val="595959" w:themeColor="text1" w:themeTint="A6"/>
      <w:sz w:val="40"/>
      <w:szCs w:val="22"/>
      <w:lang w:eastAsia="zh-CN"/>
    </w:rPr>
  </w:style>
  <w:style w:type="character" w:customStyle="1" w:styleId="CSWTITOLOCarattere">
    <w:name w:val="CSW TITOLO Carattere"/>
    <w:basedOn w:val="DefaultParagraphFont"/>
    <w:link w:val="CSWTITOLO"/>
    <w:rsid w:val="008F16CE"/>
    <w:rPr>
      <w:rFonts w:ascii="Calibri" w:eastAsia="SimSun" w:hAnsi="Calibri" w:cs="Verdana"/>
      <w:b/>
      <w:color w:val="A20000"/>
      <w:sz w:val="72"/>
      <w:szCs w:val="22"/>
      <w:lang w:eastAsia="zh-CN"/>
    </w:rPr>
  </w:style>
  <w:style w:type="paragraph" w:customStyle="1" w:styleId="CSWAREA">
    <w:name w:val="CSW AREA"/>
    <w:basedOn w:val="Normal"/>
    <w:link w:val="CSWAREACarattere"/>
    <w:qFormat/>
    <w:rsid w:val="00E57DCC"/>
    <w:pPr>
      <w:spacing w:before="360" w:after="240"/>
      <w:jc w:val="center"/>
    </w:pPr>
    <w:rPr>
      <w:rFonts w:ascii="Calibri" w:hAnsi="Calibri" w:cs="Arial"/>
      <w:color w:val="808080"/>
      <w:sz w:val="36"/>
      <w:szCs w:val="22"/>
    </w:rPr>
  </w:style>
  <w:style w:type="character" w:customStyle="1" w:styleId="CSWsotto-titoloCarattere">
    <w:name w:val="CSW sotto-titolo Carattere"/>
    <w:basedOn w:val="DefaultParagraphFont"/>
    <w:link w:val="CSWsotto-titolo"/>
    <w:rsid w:val="00AB3D3E"/>
    <w:rPr>
      <w:rFonts w:ascii="Calibri" w:eastAsia="SimSun" w:hAnsi="Calibri" w:cs="Verdana"/>
      <w:b/>
      <w:color w:val="595959" w:themeColor="text1" w:themeTint="A6"/>
      <w:sz w:val="40"/>
      <w:szCs w:val="22"/>
      <w:lang w:eastAsia="zh-CN"/>
    </w:rPr>
  </w:style>
  <w:style w:type="character" w:customStyle="1" w:styleId="CSWAREACarattere">
    <w:name w:val="CSW AREA Carattere"/>
    <w:basedOn w:val="DefaultParagraphFont"/>
    <w:link w:val="CSWAREA"/>
    <w:rsid w:val="00E57DCC"/>
    <w:rPr>
      <w:rFonts w:ascii="Calibri" w:hAnsi="Calibri" w:cs="Arial"/>
      <w:color w:val="808080"/>
      <w:sz w:val="36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table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  <w:szCs w:val="18"/>
    </w:rPr>
  </w:style>
  <w:style w:type="paragraph" w:customStyle="1" w:styleId="SourceCode">
    <w:name w:val="Source Code"/>
    <w:basedOn w:val="Normal"/>
    <w:link w:val="VerbatimChar"/>
    <w:pPr>
      <w:shd w:val="clear" w:color="auto" w:fill="F4F6F9"/>
      <w:wordWrap w:val="off"/>
    </w:pPr>
    <w:rPr>
      <w:sz w:val="18"/>
      <w:szCs w:val="18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5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53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10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67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03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5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3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3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5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10607">
              <w:marLeft w:val="0"/>
              <w:marRight w:val="0"/>
              <w:marTop w:val="0"/>
              <w:marBottom w:val="0"/>
              <w:divBdr>
                <w:top w:val="single" w:sz="8" w:space="3" w:color="B5C4DF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1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8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0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85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2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70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45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68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653979">
                                              <w:marLeft w:val="0"/>
                                              <w:marRight w:val="390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416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18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4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0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1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0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8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4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0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15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2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6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0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69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4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78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5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3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3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7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5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87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2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16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2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3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2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61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8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5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7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9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1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26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81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89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7064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0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94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74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3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4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5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8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9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2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Relationship Id="rId23" Type="http://schemas.openxmlformats.org/officeDocument/2006/relationships/image" Target="media/image8.png"/><Relationship Id="rId2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anguage xmlns="http://schemas.microsoft.com/sharepoint/v3">Italiano (Italia)</Language>
    <Versione_x0020_ERP xmlns="0f7738ef-a793-4c52-9004-b3510bd3bad4" xsi:nil="true"/>
    <StatoDocumentaleBPM xmlns="5938e20d-9a10-44f0-bbfb-9ed98f501e82">1</StatoDocumentaleBPM>
    <Modulo_x0020_ERP xmlns="0f7738ef-a793-4c52-9004-b3510bd3bad4" xsi:nil="true"/>
    <Stato_x0020_Documentale xmlns="0f7738ef-a793-4c52-9004-b3510bd3bad4">7</Stato_x0020_Documentale>
    <SharedWithUsers xmlns="0f7738ef-a793-4c52-9004-b3510bd3bad4">
      <UserInfo>
        <DisplayName>Govoni Francesca</DisplayName>
        <AccountId>26</AccountId>
        <AccountType/>
      </UserInfo>
      <UserInfo>
        <DisplayName>Zanca Michele</DisplayName>
        <AccountId>57</AccountId>
        <AccountType/>
      </UserInfo>
    </SharedWithUsers>
    <LivellodiClassificazione xmlns="5938e20d-9a10-44f0-bbfb-9ed98f501e82">PUBBLICO</LivellodiClassificazion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Modello 5 livelli di sommario" ma:contentTypeID="0x0101001B9D9993F6DC4D47BEE3319538CBE03E00A6C56677B5667A4DB0F0828E4E7D0BEB" ma:contentTypeVersion="24" ma:contentTypeDescription="" ma:contentTypeScope="" ma:versionID="2ad876ae930352c59ac6b55d44d80f3c">
  <xsd:schema xmlns:xsd="http://www.w3.org/2001/XMLSchema" xmlns:xs="http://www.w3.org/2001/XMLSchema" xmlns:p="http://schemas.microsoft.com/office/2006/metadata/properties" xmlns:ns1="http://schemas.microsoft.com/sharepoint/v3" xmlns:ns2="0f7738ef-a793-4c52-9004-b3510bd3bad4" xmlns:ns3="5938e20d-9a10-44f0-bbfb-9ed98f501e82" targetNamespace="http://schemas.microsoft.com/office/2006/metadata/properties" ma:root="true" ma:fieldsID="a3bb21fa6c236412ecfcbfea09635bbb" ns1:_="" ns2:_="" ns3:_="">
    <xsd:import namespace="http://schemas.microsoft.com/sharepoint/v3"/>
    <xsd:import namespace="0f7738ef-a793-4c52-9004-b3510bd3bad4"/>
    <xsd:import namespace="5938e20d-9a10-44f0-bbfb-9ed98f501e82"/>
    <xsd:element name="properties">
      <xsd:complexType>
        <xsd:sequence>
          <xsd:element name="documentManagement">
            <xsd:complexType>
              <xsd:all>
                <xsd:element ref="ns1:Language" minOccurs="0"/>
                <xsd:element ref="ns2:Stato_x0020_Documentale" minOccurs="0"/>
                <xsd:element ref="ns3:LivellodiClassificazione" minOccurs="0"/>
                <xsd:element ref="ns2:Versione_x0020_ERP" minOccurs="0"/>
                <xsd:element ref="ns2:Modulo_x0020_ERP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StatoDocumentaleBPM" minOccurs="0"/>
                <xsd:element ref="ns3:MediaServiceObjectDetectorVersions" minOccurs="0"/>
                <xsd:element ref="ns3:MediaServiceSearchProperties" minOccurs="0"/>
                <xsd:element ref="ns2:Modulo_x0020_ERP_x003a_Are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Language" ma:index="2" nillable="true" ma:displayName="Lingua" ma:default="Italiano (Italia)" ma:format="Dropdown" ma:internalName="Language" ma:readOnly="false">
      <xsd:simpleType>
        <xsd:union memberTypes="dms:Text">
          <xsd:simpleType>
            <xsd:restriction base="dms:Choice">
              <xsd:enumeration value="Arabo (Arabia Saudita)"/>
              <xsd:enumeration value="Bulgaro (Bulgaria)"/>
              <xsd:enumeration value="Cinese (Hong Kong - R.A.S.)"/>
              <xsd:enumeration value="Cinese (Cina)"/>
              <xsd:enumeration value="Cinese (Taiwan)"/>
              <xsd:enumeration value="Croato (Croazia)"/>
              <xsd:enumeration value="Ceco (Repubblica Ceca)"/>
              <xsd:enumeration value="Danese (Danimarca)"/>
              <xsd:enumeration value="Olandese (Paesi Bassi)"/>
              <xsd:enumeration value="Inglese"/>
              <xsd:enumeration value="Estone (Estonia)"/>
              <xsd:enumeration value="Finlandese (Finlandia)"/>
              <xsd:enumeration value="Francese (Francia)"/>
              <xsd:enumeration value="Tedesco (Germania)"/>
              <xsd:enumeration value="Greco (Grecia)"/>
              <xsd:enumeration value="Ebraico (Israele)"/>
              <xsd:enumeration value="Hindi (India)"/>
              <xsd:enumeration value="Ungherese (Ungheria)"/>
              <xsd:enumeration value="Indonesiano (Indonesia)"/>
              <xsd:enumeration value="Italiano (Italia)"/>
              <xsd:enumeration value="Giapponese (Giappone)"/>
              <xsd:enumeration value="Coreano (Corea)"/>
              <xsd:enumeration value="Lettone (Lettonia)"/>
              <xsd:enumeration value="Lituano (Lituania)"/>
              <xsd:enumeration value="Malese (Malaysia)"/>
              <xsd:enumeration value="Norvegese Bokmal (Norvegia)"/>
              <xsd:enumeration value="Polacco (Polonia)"/>
              <xsd:enumeration value="Portoghese (Brasile)"/>
              <xsd:enumeration value="Portoghese (Portogallo)"/>
              <xsd:enumeration value="Romeno (Romania)"/>
              <xsd:enumeration value="Russo (Russia)"/>
              <xsd:enumeration value="Serbo - alfabeto latino (Serbia)"/>
              <xsd:enumeration value="Slovacco (Slovacchia)"/>
              <xsd:enumeration value="Sloveno (Slovenia)"/>
              <xsd:enumeration value="Spagnolo (Spagna)"/>
              <xsd:enumeration value="Svedese (Svezia)"/>
              <xsd:enumeration value="Thai (Thailandia)"/>
              <xsd:enumeration value="Turco (Turchia)"/>
              <xsd:enumeration value="Ucraino (Ucraina)"/>
              <xsd:enumeration value="Urdu (Repubblica islamica del Pakistan)"/>
              <xsd:enumeration value="Vietnamita (Vietnam)"/>
            </xsd:restriction>
          </xsd:simpleType>
        </xsd:un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7738ef-a793-4c52-9004-b3510bd3bad4" elementFormDefault="qualified">
    <xsd:import namespace="http://schemas.microsoft.com/office/2006/documentManagement/types"/>
    <xsd:import namespace="http://schemas.microsoft.com/office/infopath/2007/PartnerControls"/>
    <xsd:element name="Stato_x0020_Documentale" ma:index="3" nillable="true" ma:displayName="Stato Documentale" ma:list="{e54a3ca1-2307-49ac-8d17-562b36abc46b}" ma:internalName="Stato_x0020_Documentale" ma:readOnly="false" ma:showField="Title" ma:web="0f7738ef-a793-4c52-9004-b3510bd3bad4">
      <xsd:simpleType>
        <xsd:restriction base="dms:Lookup"/>
      </xsd:simpleType>
    </xsd:element>
    <xsd:element name="Versione_x0020_ERP" ma:index="5" nillable="true" ma:displayName="Versione ERP" ma:hidden="true" ma:list="{799d339a-88f2-4d5d-b3c2-b636f6632bff}" ma:internalName="Versione_x0020_ERP" ma:readOnly="false" ma:showField="Title" ma:web="0f7738ef-a793-4c52-9004-b3510bd3bad4">
      <xsd:simpleType>
        <xsd:restriction base="dms:Lookup"/>
      </xsd:simpleType>
    </xsd:element>
    <xsd:element name="Modulo_x0020_ERP" ma:index="12" nillable="true" ma:displayName="Modulo ERP" ma:hidden="true" ma:list="{24a93213-f611-47c1-8e97-ce93d23a9bc3}" ma:internalName="Modulo_x0020_ERP" ma:readOnly="false" ma:showField="Title" ma:web="0f7738ef-a793-4c52-9004-b3510bd3bad4">
      <xsd:simpleType>
        <xsd:restriction base="dms:Lookup"/>
      </xsd:simpleType>
    </xsd:element>
    <xsd:element name="SharedWithUsers" ma:index="15" nillable="true" ma:displayName="Condiviso con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Condiviso con dettagli" ma:hidden="true" ma:internalName="SharedWithDetails" ma:readOnly="true">
      <xsd:simpleType>
        <xsd:restriction base="dms:Note"/>
      </xsd:simpleType>
    </xsd:element>
    <xsd:element name="Modulo_x0020_ERP_x003a_Area" ma:index="22" nillable="true" ma:displayName="Modulo ERP:Area" ma:hidden="true" ma:list="{24a93213-f611-47c1-8e97-ce93d23a9bc3}" ma:internalName="Modulo_x0020_ERP_x003A_Area" ma:readOnly="true" ma:showField="Area" ma:web="0f7738ef-a793-4c52-9004-b3510bd3bad4">
      <xsd:simpleType>
        <xsd:restriction base="dms:Lookup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38e20d-9a10-44f0-bbfb-9ed98f501e82" elementFormDefault="qualified">
    <xsd:import namespace="http://schemas.microsoft.com/office/2006/documentManagement/types"/>
    <xsd:import namespace="http://schemas.microsoft.com/office/infopath/2007/PartnerControls"/>
    <xsd:element name="LivellodiClassificazione" ma:index="4" nillable="true" ma:displayName="Livello di Classificazione" ma:format="Dropdown" ma:internalName="LivellodiClassificazione" ma:readOnly="false">
      <xsd:simpleType>
        <xsd:restriction base="dms:Choice">
          <xsd:enumeration value="PUBBLICO"/>
          <xsd:enumeration value="INTERNO"/>
          <xsd:enumeration value="RISERVATO"/>
        </xsd:restriction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hidden="true" ma:internalName="MediaServiceKeyPoints" ma:readOnly="true">
      <xsd:simpleType>
        <xsd:restriction base="dms:Note"/>
      </xsd:simpleType>
    </xsd:element>
    <xsd:element name="StatoDocumentaleBPM" ma:index="19" nillable="true" ma:displayName="Stato Documentale BPM" ma:format="Dropdown" ma:hidden="true" ma:list="e54a3ca1-2307-49ac-8d17-562b36abc46b" ma:internalName="StatoDocumentaleBPM" ma:readOnly="false" ma:showField="Title">
      <xsd:simpleType>
        <xsd:restriction base="dms:Lookup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i contenuto"/>
        <xsd:element ref="dc:title" minOccurs="0" maxOccurs="1" ma:index="1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55EAF10-298F-49E0-A993-25442BC7264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4EEF2F80-ADFD-4919-AB12-E05D126343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0D06570-45C2-4D31-8565-ED4DCDCAD6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0f7738ef-a793-4c52-9004-b3510bd3bad4"/>
    <ds:schemaRef ds:uri="5938e20d-9a10-44f0-bbfb-9ed98f501e82"/>
  </ds:schemaRefs>
</ds:datastoreItem>
</file>

<file path=customXml/itemProps4.xml><?xml version="1.0" encoding="utf-8"?>
<ds:datastoreItem xmlns:ds="http://schemas.openxmlformats.org/officeDocument/2006/customXml" ds:itemID="{8B73DD3F-2D6D-4146-8C1A-1467FC5630EB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F19DD91-30EF-4373-878E-0F9FF8D3B8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f7738ef-a793-4c52-9004-b3510bd3bad4"/>
    <ds:schemaRef ds:uri="5938e20d-9a10-44f0-bbfb-9ed98f501e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Integrazione BPM</dc:title>
  <dc:subject/>
  <dc:creator>Ing. Stefano Frascari</dc:creator>
  <cp:keywords/>
  <cp:lastModifiedBy>Gallini Riccardo</cp:lastModifiedBy>
  <cp:revision>3</cp:revision>
  <cp:lastPrinted>2026-05-05T14:15:00Z</cp:lastPrinted>
  <dcterms:created xsi:type="dcterms:W3CDTF">2026-09-25T15:27:00Z</dcterms:created>
  <dcterms:modified xsi:type="dcterms:W3CDTF">2026-09-25T15:33:00Z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UYFFVKRZH5CX-10-80</vt:lpwstr>
  </property>
  <property fmtid="{D5CDD505-2E9C-101B-9397-08002B2CF9AE}" pid="3" name="_dlc_DocIdItemGuid">
    <vt:lpwstr>ed42a89a-b414-4e62-991a-9f24ebaeccde</vt:lpwstr>
  </property>
  <property fmtid="{D5CDD505-2E9C-101B-9397-08002B2CF9AE}" pid="4" name="_dlc_DocIdUrl">
    <vt:lpwstr>https://sp.centrosoftware.com/_layouts/15/DocIdRedir.aspx?ID=UYFFVKRZH5CX-10-80, UYFFVKRZH5CX-10-80</vt:lpwstr>
  </property>
  <property fmtid="{D5CDD505-2E9C-101B-9397-08002B2CF9AE}" pid="5" name="ContentTypeId">
    <vt:lpwstr>0x0101001B9D9993F6DC4D47BEE3319538CBE03E00A6C56677B5667A4DB0F0828E4E7D0BEB</vt:lpwstr>
  </property>
  <property fmtid="{D5CDD505-2E9C-101B-9397-08002B2CF9AE}" pid="6" name="_NewReviewCycle">
    <vt:lpwstr/>
  </property>
</Properties>
</file>