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5064" w14:textId="015940B1" w:rsidR="00827A2D" w:rsidRPr="00861C45" w:rsidRDefault="00827A2D" w:rsidP="00C06B70">
      <w:pPr>
        <w:spacing w:after="0" w:line="240" w:lineRule="auto"/>
        <w:jc w:val="both"/>
        <w:rPr>
          <w:rFonts w:asciiTheme="minorBidi" w:eastAsia="Times New Roman" w:hAnsiTheme="minorBidi"/>
          <w:b/>
          <w:bCs/>
          <w:sz w:val="24"/>
          <w:szCs w:val="24"/>
          <w:u w:val="single"/>
          <w:lang w:eastAsia="fr-FR"/>
        </w:rPr>
      </w:pPr>
      <w:r w:rsidRPr="00861C45">
        <w:rPr>
          <w:rFonts w:asciiTheme="minorBidi" w:eastAsia="Times New Roman" w:hAnsiTheme="minorBidi"/>
          <w:b/>
          <w:bCs/>
          <w:sz w:val="24"/>
          <w:szCs w:val="24"/>
          <w:u w:val="single"/>
          <w:lang w:eastAsia="fr-FR"/>
        </w:rPr>
        <w:t>Question</w:t>
      </w:r>
      <w:r w:rsidR="00861C45" w:rsidRPr="00861C45">
        <w:rPr>
          <w:rFonts w:asciiTheme="minorBidi" w:eastAsia="Times New Roman" w:hAnsiTheme="minorBidi"/>
          <w:b/>
          <w:bCs/>
          <w:sz w:val="24"/>
          <w:szCs w:val="24"/>
          <w:u w:val="single"/>
          <w:lang w:eastAsia="fr-FR"/>
        </w:rPr>
        <w:t xml:space="preserve"> EC1</w:t>
      </w:r>
      <w:r w:rsidRPr="00861C45">
        <w:rPr>
          <w:rFonts w:asciiTheme="minorBidi" w:eastAsia="Times New Roman" w:hAnsiTheme="minorBidi"/>
          <w:b/>
          <w:bCs/>
          <w:sz w:val="24"/>
          <w:szCs w:val="24"/>
          <w:u w:val="single"/>
          <w:lang w:eastAsia="fr-FR"/>
        </w:rPr>
        <w:t xml:space="preserve"> : Distinguez taux de chômage et taux d’emploi </w:t>
      </w:r>
    </w:p>
    <w:p w14:paraId="2B9CC9D1" w14:textId="77777777" w:rsidR="00827A2D" w:rsidRPr="00861C45" w:rsidRDefault="00827A2D" w:rsidP="00C06B70">
      <w:pPr>
        <w:spacing w:after="0" w:line="240" w:lineRule="auto"/>
        <w:jc w:val="both"/>
        <w:rPr>
          <w:rFonts w:asciiTheme="minorBidi" w:eastAsia="Times New Roman" w:hAnsiTheme="minorBidi"/>
          <w:sz w:val="24"/>
          <w:szCs w:val="24"/>
          <w:lang w:eastAsia="fr-FR"/>
        </w:rPr>
      </w:pPr>
    </w:p>
    <w:p w14:paraId="4D9BC9CB" w14:textId="1365A814" w:rsidR="00AF5E3A" w:rsidRPr="00861C45" w:rsidRDefault="00AF5E3A" w:rsidP="00C06B70">
      <w:pPr>
        <w:spacing w:after="0" w:line="240" w:lineRule="auto"/>
        <w:jc w:val="both"/>
        <w:rPr>
          <w:rFonts w:asciiTheme="minorBidi" w:eastAsia="Times New Roman" w:hAnsiTheme="minorBidi"/>
          <w:sz w:val="24"/>
          <w:szCs w:val="24"/>
          <w:lang w:eastAsia="fr-FR"/>
        </w:rPr>
      </w:pPr>
      <w:r w:rsidRPr="00861C45">
        <w:rPr>
          <w:rFonts w:asciiTheme="minorBidi" w:eastAsia="Times New Roman" w:hAnsiTheme="minorBidi"/>
          <w:b/>
          <w:bCs/>
          <w:sz w:val="24"/>
          <w:szCs w:val="24"/>
          <w:lang w:eastAsia="fr-FR"/>
        </w:rPr>
        <w:t>A - J'Affirme (et je définis les termes clés)</w:t>
      </w:r>
      <w:r w:rsidRPr="00861C45">
        <w:rPr>
          <w:rFonts w:asciiTheme="minorBidi" w:eastAsia="Times New Roman" w:hAnsiTheme="minorBidi"/>
          <w:sz w:val="24"/>
          <w:szCs w:val="24"/>
          <w:lang w:eastAsia="fr-FR"/>
        </w:rPr>
        <w:t xml:space="preserve"> Le taux de chômage et le taux d'emploi sont deux indicateurs complémentaires pour analyser le marché du travail, mais ils mesurent deux réalités différentes et se calculent à partir de populations de référence distinctes. L'emploi désigne la fraction du travail rémunéré s'inscrivant dans un cadre social et juridique, tandis que le chômage (au sens du BIT) désigne la situation de personnes sans emploi, disponibles pour travailler et en recherche active.</w:t>
      </w:r>
    </w:p>
    <w:p w14:paraId="29821289" w14:textId="77777777" w:rsidR="00861C45" w:rsidRPr="00861C45" w:rsidRDefault="00861C45" w:rsidP="00C06B70">
      <w:pPr>
        <w:spacing w:after="0" w:line="240" w:lineRule="auto"/>
        <w:jc w:val="both"/>
        <w:rPr>
          <w:rFonts w:asciiTheme="minorBidi" w:eastAsia="Times New Roman" w:hAnsiTheme="minorBidi"/>
          <w:sz w:val="24"/>
          <w:szCs w:val="24"/>
          <w:lang w:eastAsia="fr-FR"/>
        </w:rPr>
      </w:pPr>
    </w:p>
    <w:p w14:paraId="6C994989" w14:textId="3DEDC0BC" w:rsidR="00AF5E3A" w:rsidRPr="00861C45" w:rsidRDefault="00AF5E3A" w:rsidP="00C06B70">
      <w:pPr>
        <w:spacing w:after="0" w:line="240" w:lineRule="auto"/>
        <w:jc w:val="both"/>
        <w:rPr>
          <w:rFonts w:asciiTheme="minorBidi" w:eastAsia="Times New Roman" w:hAnsiTheme="minorBidi"/>
          <w:sz w:val="24"/>
          <w:szCs w:val="24"/>
          <w:lang w:eastAsia="fr-FR"/>
        </w:rPr>
      </w:pPr>
      <w:r w:rsidRPr="00861C45">
        <w:rPr>
          <w:rFonts w:asciiTheme="minorBidi" w:eastAsia="Times New Roman" w:hAnsiTheme="minorBidi"/>
          <w:b/>
          <w:bCs/>
          <w:sz w:val="24"/>
          <w:szCs w:val="24"/>
          <w:lang w:eastAsia="fr-FR"/>
        </w:rPr>
        <w:t>E - J'Explique (le mécanisme de distinction)</w:t>
      </w:r>
      <w:r w:rsidRPr="00861C45">
        <w:rPr>
          <w:rFonts w:asciiTheme="minorBidi" w:eastAsia="Times New Roman" w:hAnsiTheme="minorBidi"/>
          <w:sz w:val="24"/>
          <w:szCs w:val="24"/>
          <w:lang w:eastAsia="fr-FR"/>
        </w:rPr>
        <w:t xml:space="preserve"> La différence fondamentale entre ces deux indicateurs réside dans leur mode de calcul, et plus précisément dans leur dénominateur.</w:t>
      </w:r>
    </w:p>
    <w:p w14:paraId="4FA6EFF9" w14:textId="781D894E" w:rsidR="00AF5E3A" w:rsidRPr="00861C45" w:rsidRDefault="00AF5E3A" w:rsidP="00C06B70">
      <w:pPr>
        <w:numPr>
          <w:ilvl w:val="0"/>
          <w:numId w:val="4"/>
        </w:numPr>
        <w:spacing w:before="100" w:beforeAutospacing="1" w:after="100" w:afterAutospacing="1" w:line="240" w:lineRule="auto"/>
        <w:jc w:val="both"/>
        <w:rPr>
          <w:rFonts w:asciiTheme="minorBidi" w:eastAsia="Times New Roman" w:hAnsiTheme="minorBidi"/>
          <w:color w:val="303030"/>
          <w:sz w:val="24"/>
          <w:szCs w:val="24"/>
          <w:lang w:eastAsia="fr-FR"/>
        </w:rPr>
      </w:pPr>
      <w:r w:rsidRPr="00861C45">
        <w:rPr>
          <w:rFonts w:asciiTheme="minorBidi" w:eastAsia="Times New Roman" w:hAnsiTheme="minorBidi"/>
          <w:b/>
          <w:bCs/>
          <w:color w:val="303030"/>
          <w:sz w:val="24"/>
          <w:szCs w:val="24"/>
          <w:lang w:eastAsia="fr-FR"/>
        </w:rPr>
        <w:t>Le taux de chômage</w:t>
      </w:r>
      <w:r w:rsidRPr="00861C45">
        <w:rPr>
          <w:rFonts w:asciiTheme="minorBidi" w:eastAsia="Times New Roman" w:hAnsiTheme="minorBidi"/>
          <w:color w:val="303030"/>
          <w:sz w:val="24"/>
          <w:szCs w:val="24"/>
          <w:lang w:eastAsia="fr-FR"/>
        </w:rPr>
        <w:t xml:space="preserve"> rapporte le nombre de chômeurs à la </w:t>
      </w:r>
      <w:r w:rsidRPr="00861C45">
        <w:rPr>
          <w:rFonts w:asciiTheme="minorBidi" w:eastAsia="Times New Roman" w:hAnsiTheme="minorBidi"/>
          <w:b/>
          <w:bCs/>
          <w:color w:val="303030"/>
          <w:sz w:val="24"/>
          <w:szCs w:val="24"/>
          <w:lang w:eastAsia="fr-FR"/>
        </w:rPr>
        <w:t>population active</w:t>
      </w:r>
      <w:r w:rsidRPr="00861C45">
        <w:rPr>
          <w:rFonts w:asciiTheme="minorBidi" w:eastAsia="Times New Roman" w:hAnsiTheme="minorBidi"/>
          <w:color w:val="303030"/>
          <w:sz w:val="24"/>
          <w:szCs w:val="24"/>
          <w:lang w:eastAsia="fr-FR"/>
        </w:rPr>
        <w:t xml:space="preserve"> (qui regroupe les personnes en emploi et les chômeurs). Il permet d'évaluer la proportion d'actifs qui ne trouvent pas de travail.</w:t>
      </w:r>
    </w:p>
    <w:p w14:paraId="5251102D" w14:textId="20296189" w:rsidR="00AF5E3A" w:rsidRPr="00861C45" w:rsidRDefault="00AF5E3A" w:rsidP="00C06B70">
      <w:pPr>
        <w:numPr>
          <w:ilvl w:val="0"/>
          <w:numId w:val="4"/>
        </w:numPr>
        <w:spacing w:before="100" w:beforeAutospacing="1" w:after="100" w:afterAutospacing="1" w:line="240" w:lineRule="auto"/>
        <w:jc w:val="both"/>
        <w:rPr>
          <w:rFonts w:asciiTheme="minorBidi" w:eastAsia="Times New Roman" w:hAnsiTheme="minorBidi"/>
          <w:color w:val="303030"/>
          <w:sz w:val="24"/>
          <w:szCs w:val="24"/>
          <w:lang w:eastAsia="fr-FR"/>
        </w:rPr>
      </w:pPr>
      <w:r w:rsidRPr="00861C45">
        <w:rPr>
          <w:rFonts w:asciiTheme="minorBidi" w:eastAsia="Times New Roman" w:hAnsiTheme="minorBidi"/>
          <w:b/>
          <w:bCs/>
          <w:color w:val="303030"/>
          <w:sz w:val="24"/>
          <w:szCs w:val="24"/>
          <w:lang w:eastAsia="fr-FR"/>
        </w:rPr>
        <w:t>Le taux d'emploi</w:t>
      </w:r>
      <w:r w:rsidRPr="00861C45">
        <w:rPr>
          <w:rFonts w:asciiTheme="minorBidi" w:eastAsia="Times New Roman" w:hAnsiTheme="minorBidi"/>
          <w:color w:val="303030"/>
          <w:sz w:val="24"/>
          <w:szCs w:val="24"/>
          <w:lang w:eastAsia="fr-FR"/>
        </w:rPr>
        <w:t xml:space="preserve">, à l'inverse, rapporte le nombre de personnes ayant un emploi à la </w:t>
      </w:r>
      <w:r w:rsidRPr="00861C45">
        <w:rPr>
          <w:rFonts w:asciiTheme="minorBidi" w:eastAsia="Times New Roman" w:hAnsiTheme="minorBidi"/>
          <w:b/>
          <w:bCs/>
          <w:color w:val="303030"/>
          <w:sz w:val="24"/>
          <w:szCs w:val="24"/>
          <w:lang w:eastAsia="fr-FR"/>
        </w:rPr>
        <w:t>population totale</w:t>
      </w:r>
      <w:r w:rsidRPr="00861C45">
        <w:rPr>
          <w:rFonts w:asciiTheme="minorBidi" w:eastAsia="Times New Roman" w:hAnsiTheme="minorBidi"/>
          <w:color w:val="303030"/>
          <w:sz w:val="24"/>
          <w:szCs w:val="24"/>
          <w:lang w:eastAsia="fr-FR"/>
        </w:rPr>
        <w:t xml:space="preserve"> d'une classe d'âge donnée (souvent les 15-64 ans</w:t>
      </w:r>
      <w:proofErr w:type="gramStart"/>
      <w:r w:rsidRPr="00861C45">
        <w:rPr>
          <w:rFonts w:asciiTheme="minorBidi" w:eastAsia="Times New Roman" w:hAnsiTheme="minorBidi"/>
          <w:color w:val="303030"/>
          <w:sz w:val="24"/>
          <w:szCs w:val="24"/>
          <w:lang w:eastAsia="fr-FR"/>
        </w:rPr>
        <w:t>) .</w:t>
      </w:r>
      <w:proofErr w:type="gramEnd"/>
      <w:r w:rsidRPr="00861C45">
        <w:rPr>
          <w:rFonts w:asciiTheme="minorBidi" w:eastAsia="Times New Roman" w:hAnsiTheme="minorBidi"/>
          <w:color w:val="303030"/>
          <w:sz w:val="24"/>
          <w:szCs w:val="24"/>
          <w:lang w:eastAsia="fr-FR"/>
        </w:rPr>
        <w:t xml:space="preserve"> Cet indicateur est un révélateur des évolutions démographiques et de la capacité d'une économie à mobiliser sa population en âge de travailler.</w:t>
      </w:r>
    </w:p>
    <w:p w14:paraId="0AE67DB2" w14:textId="464463D0" w:rsidR="00AF5E3A" w:rsidRPr="00861C45" w:rsidRDefault="00AF5E3A" w:rsidP="009E4592">
      <w:pPr>
        <w:spacing w:after="0" w:line="240" w:lineRule="auto"/>
        <w:jc w:val="both"/>
        <w:rPr>
          <w:rFonts w:asciiTheme="minorBidi" w:eastAsia="Times New Roman" w:hAnsiTheme="minorBidi"/>
          <w:sz w:val="24"/>
          <w:szCs w:val="24"/>
          <w:lang w:eastAsia="fr-FR"/>
        </w:rPr>
      </w:pPr>
      <w:r w:rsidRPr="00861C45">
        <w:rPr>
          <w:rFonts w:asciiTheme="minorBidi" w:eastAsia="Times New Roman" w:hAnsiTheme="minorBidi"/>
          <w:sz w:val="24"/>
          <w:szCs w:val="24"/>
          <w:lang w:eastAsia="fr-FR"/>
        </w:rPr>
        <w:t>Il est indispensable de les distinguer, car une baisse du taux de chômage ne signifie pas mécaniquement une hausse de l'emploi</w:t>
      </w:r>
      <w:r w:rsidR="009E4592">
        <w:rPr>
          <w:rFonts w:asciiTheme="minorBidi" w:eastAsia="Times New Roman" w:hAnsiTheme="minorBidi"/>
          <w:sz w:val="24"/>
          <w:szCs w:val="24"/>
          <w:lang w:eastAsia="fr-FR"/>
        </w:rPr>
        <w:t xml:space="preserve">. </w:t>
      </w:r>
    </w:p>
    <w:p w14:paraId="1866EF3D" w14:textId="77777777" w:rsidR="00861C45" w:rsidRPr="00861C45" w:rsidRDefault="00861C45" w:rsidP="00C06B70">
      <w:pPr>
        <w:spacing w:after="0" w:line="240" w:lineRule="auto"/>
        <w:jc w:val="both"/>
        <w:rPr>
          <w:rFonts w:asciiTheme="minorBidi" w:eastAsia="Times New Roman" w:hAnsiTheme="minorBidi"/>
          <w:sz w:val="24"/>
          <w:szCs w:val="24"/>
          <w:lang w:eastAsia="fr-FR"/>
        </w:rPr>
      </w:pPr>
    </w:p>
    <w:p w14:paraId="265CABF5" w14:textId="4C3DA7D3" w:rsidR="009E4592" w:rsidRDefault="00AF5E3A" w:rsidP="009E4592">
      <w:pPr>
        <w:spacing w:after="0" w:line="240" w:lineRule="auto"/>
        <w:jc w:val="both"/>
        <w:rPr>
          <w:rFonts w:asciiTheme="minorBidi" w:eastAsia="Times New Roman" w:hAnsiTheme="minorBidi"/>
          <w:sz w:val="24"/>
          <w:szCs w:val="24"/>
          <w:lang w:eastAsia="fr-FR"/>
        </w:rPr>
      </w:pPr>
      <w:r w:rsidRPr="00861C45">
        <w:rPr>
          <w:rFonts w:asciiTheme="minorBidi" w:eastAsia="Times New Roman" w:hAnsiTheme="minorBidi"/>
          <w:b/>
          <w:bCs/>
          <w:sz w:val="24"/>
          <w:szCs w:val="24"/>
          <w:lang w:eastAsia="fr-FR"/>
        </w:rPr>
        <w:t xml:space="preserve">I - J'Illustre </w:t>
      </w:r>
      <w:r w:rsidR="009E4592" w:rsidRPr="009E4592">
        <w:rPr>
          <w:rFonts w:asciiTheme="minorBidi" w:eastAsia="Times New Roman" w:hAnsiTheme="minorBidi"/>
          <w:sz w:val="24"/>
          <w:szCs w:val="24"/>
          <w:lang w:eastAsia="fr-FR"/>
        </w:rPr>
        <w:t>Pour illustrer cette distinction conceptuelle, prenons le cas d'une économie en crise prolongée où de nombreux chômeurs, lassés de ne pas trouver de travail, se découragent et arrêtent leurs recherches actives. En cessant de chercher, ils ne répondent plus aux critères du BIT et sortent de la population active pour rejoindre la population inactive (le « halo du chômage »). Dans cette situation, le taux de chômage baisse mécaniquement car le nombre d'actifs à la recherche d'un emploi diminue. Pourtant, la situation économique ne s'est pas améliorée et aucune entreprise n'a embauché : le taux d'emploi, lui, stagne ou se dégrade, illustrant bien que ces deux indicateurs mesurent des réalités distinctes.</w:t>
      </w:r>
      <w:r w:rsidR="009E4592" w:rsidRPr="009E4592">
        <w:rPr>
          <w:rFonts w:asciiTheme="minorBidi" w:eastAsia="Times New Roman" w:hAnsiTheme="minorBidi"/>
          <w:sz w:val="24"/>
          <w:szCs w:val="24"/>
          <w:lang w:eastAsia="fr-FR"/>
        </w:rPr>
        <w:t xml:space="preserve"> </w:t>
      </w:r>
    </w:p>
    <w:p w14:paraId="4C68812E" w14:textId="6879DE93" w:rsidR="00AF5E3A" w:rsidRPr="00861C45" w:rsidRDefault="00AF5E3A" w:rsidP="009E4592">
      <w:pPr>
        <w:spacing w:after="0" w:line="240" w:lineRule="auto"/>
        <w:jc w:val="both"/>
        <w:rPr>
          <w:rFonts w:asciiTheme="minorBidi" w:eastAsia="Times New Roman" w:hAnsiTheme="minorBidi"/>
          <w:sz w:val="24"/>
          <w:szCs w:val="24"/>
          <w:lang w:eastAsia="fr-FR"/>
        </w:rPr>
      </w:pPr>
      <w:r w:rsidRPr="00861C45">
        <w:rPr>
          <w:rFonts w:asciiTheme="minorBidi" w:eastAsia="Times New Roman" w:hAnsiTheme="minorBidi"/>
          <w:b/>
          <w:bCs/>
          <w:sz w:val="24"/>
          <w:szCs w:val="24"/>
          <w:lang w:eastAsia="fr-FR"/>
        </w:rPr>
        <w:t>(</w:t>
      </w:r>
      <w:r w:rsidR="00C06B70" w:rsidRPr="00861C45">
        <w:rPr>
          <w:rFonts w:asciiTheme="minorBidi" w:eastAsia="Times New Roman" w:hAnsiTheme="minorBidi"/>
          <w:b/>
          <w:bCs/>
          <w:sz w:val="24"/>
          <w:szCs w:val="24"/>
          <w:lang w:eastAsia="fr-FR"/>
        </w:rPr>
        <w:t>Conclusion</w:t>
      </w:r>
      <w:r w:rsidRPr="00861C45">
        <w:rPr>
          <w:rFonts w:asciiTheme="minorBidi" w:eastAsia="Times New Roman" w:hAnsiTheme="minorBidi"/>
          <w:b/>
          <w:bCs/>
          <w:sz w:val="24"/>
          <w:szCs w:val="24"/>
          <w:lang w:eastAsia="fr-FR"/>
        </w:rPr>
        <w:t xml:space="preserve"> de l'argumentation)</w:t>
      </w:r>
      <w:r w:rsidRPr="00861C45">
        <w:rPr>
          <w:rFonts w:asciiTheme="minorBidi" w:eastAsia="Times New Roman" w:hAnsiTheme="minorBidi"/>
          <w:sz w:val="24"/>
          <w:szCs w:val="24"/>
          <w:lang w:eastAsia="fr-FR"/>
        </w:rPr>
        <w:t xml:space="preserve"> Nous pouvons alors affirmer que bien qu'ils portent tous deux sur le marché du travail, le taux de chômage et le taux d'emploi obéissent à des logiques statistiques propres et doivent être utilisés de concert pour établir un diagnostic macroéconomique fiable.</w:t>
      </w:r>
    </w:p>
    <w:p w14:paraId="74127223" w14:textId="39C4C9D9" w:rsidR="00B512BB" w:rsidRDefault="00B512BB" w:rsidP="00C06B70">
      <w:pPr>
        <w:spacing w:after="0" w:line="240" w:lineRule="auto"/>
        <w:jc w:val="both"/>
        <w:rPr>
          <w:rFonts w:asciiTheme="minorBidi" w:hAnsiTheme="minorBidi"/>
          <w:sz w:val="24"/>
          <w:szCs w:val="24"/>
        </w:rPr>
      </w:pPr>
    </w:p>
    <w:p w14:paraId="28B17112" w14:textId="77777777" w:rsidR="000B754B" w:rsidRDefault="000B754B" w:rsidP="00C06B70">
      <w:pPr>
        <w:spacing w:after="0" w:line="240" w:lineRule="auto"/>
        <w:jc w:val="both"/>
        <w:rPr>
          <w:rFonts w:asciiTheme="minorBidi" w:hAnsiTheme="minorBidi"/>
          <w:sz w:val="24"/>
          <w:szCs w:val="24"/>
        </w:rPr>
      </w:pPr>
    </w:p>
    <w:p w14:paraId="7E14B4C4" w14:textId="229A8BBF" w:rsidR="000B754B" w:rsidRPr="000B754B" w:rsidRDefault="000B754B" w:rsidP="00C06B70">
      <w:pPr>
        <w:spacing w:after="0" w:line="240" w:lineRule="auto"/>
        <w:jc w:val="both"/>
        <w:rPr>
          <w:rFonts w:asciiTheme="minorBidi" w:hAnsiTheme="minorBidi"/>
          <w:color w:val="A6A6A6" w:themeColor="background1" w:themeShade="A6"/>
          <w:sz w:val="24"/>
          <w:szCs w:val="24"/>
        </w:rPr>
      </w:pPr>
      <w:r w:rsidRPr="000B754B">
        <w:rPr>
          <w:rFonts w:asciiTheme="minorBidi" w:hAnsiTheme="minorBidi"/>
          <w:b/>
          <w:bCs/>
          <w:color w:val="A6A6A6" w:themeColor="background1" w:themeShade="A6"/>
          <w:sz w:val="24"/>
          <w:szCs w:val="24"/>
          <w:u w:val="single"/>
        </w:rPr>
        <w:t>Autre illustration possible</w:t>
      </w:r>
      <w:r w:rsidRPr="000B754B">
        <w:rPr>
          <w:rFonts w:asciiTheme="minorBidi" w:hAnsiTheme="minorBidi"/>
          <w:color w:val="A6A6A6" w:themeColor="background1" w:themeShade="A6"/>
          <w:sz w:val="24"/>
          <w:szCs w:val="24"/>
        </w:rPr>
        <w:t xml:space="preserve"> : </w:t>
      </w:r>
      <w:r w:rsidRPr="000B754B">
        <w:rPr>
          <w:rFonts w:asciiTheme="minorBidi" w:hAnsiTheme="minorBidi"/>
          <w:color w:val="A6A6A6" w:themeColor="background1" w:themeShade="A6"/>
          <w:sz w:val="24"/>
          <w:szCs w:val="24"/>
        </w:rPr>
        <w:t>On peut illustrer cette différence en observant les choix de vie d'une population, par exemple l'allongement de la durée des études chez les jeunes. Si les jeunes adultes décident massivement de faire des études supérieures plus longues au lieu de chercher un travail dès la fin du lycée, ils demeurent dans la population inactive. Par conséquent, le taux d'emploi de cette classe d'âge va baisser, puisqu'il y a moins de personnes en emploi rapporté à l'ensemble de la population de cette tranche d'âge. Cependant, cette baisse du taux d'emploi ne s'accompagnera d'aucune hausse du taux de chômage, puisque ces étudiants ne cherchent pas activement du travail et n'entrent donc pas dans le calcul de la population active.</w:t>
      </w:r>
    </w:p>
    <w:sectPr w:rsidR="000B754B" w:rsidRPr="000B754B" w:rsidSect="00B072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624"/>
    <w:multiLevelType w:val="multilevel"/>
    <w:tmpl w:val="9FD2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27EB9"/>
    <w:multiLevelType w:val="multilevel"/>
    <w:tmpl w:val="950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00136"/>
    <w:multiLevelType w:val="hybridMultilevel"/>
    <w:tmpl w:val="0772089C"/>
    <w:lvl w:ilvl="0" w:tplc="B8564A54">
      <w:numFmt w:val="bullet"/>
      <w:lvlText w:val="-"/>
      <w:lvlJc w:val="left"/>
      <w:pPr>
        <w:ind w:left="720" w:hanging="360"/>
      </w:pPr>
      <w:rPr>
        <w:rFonts w:ascii="Comic Sans MS" w:eastAsia="Times New Roman" w:hAnsi="Comic Sans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6F3E77"/>
    <w:multiLevelType w:val="hybridMultilevel"/>
    <w:tmpl w:val="572EDE90"/>
    <w:lvl w:ilvl="0" w:tplc="D9842AA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7137160">
    <w:abstractNumId w:val="3"/>
  </w:num>
  <w:num w:numId="2" w16cid:durableId="1855151126">
    <w:abstractNumId w:val="2"/>
  </w:num>
  <w:num w:numId="3" w16cid:durableId="23948852">
    <w:abstractNumId w:val="0"/>
  </w:num>
  <w:num w:numId="4" w16cid:durableId="754671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11"/>
    <w:rsid w:val="0000667B"/>
    <w:rsid w:val="000474CD"/>
    <w:rsid w:val="00072005"/>
    <w:rsid w:val="000A4884"/>
    <w:rsid w:val="000B60BB"/>
    <w:rsid w:val="000B754B"/>
    <w:rsid w:val="0010383D"/>
    <w:rsid w:val="001248F4"/>
    <w:rsid w:val="00145653"/>
    <w:rsid w:val="00192373"/>
    <w:rsid w:val="001B0065"/>
    <w:rsid w:val="001C5B95"/>
    <w:rsid w:val="0023187C"/>
    <w:rsid w:val="00234324"/>
    <w:rsid w:val="00242F35"/>
    <w:rsid w:val="002873DE"/>
    <w:rsid w:val="002A2BD3"/>
    <w:rsid w:val="002A5E1E"/>
    <w:rsid w:val="002B69F3"/>
    <w:rsid w:val="00302D91"/>
    <w:rsid w:val="003154E3"/>
    <w:rsid w:val="00323B21"/>
    <w:rsid w:val="003435C6"/>
    <w:rsid w:val="0036612B"/>
    <w:rsid w:val="003F0371"/>
    <w:rsid w:val="004808EE"/>
    <w:rsid w:val="004F6B58"/>
    <w:rsid w:val="0051269D"/>
    <w:rsid w:val="00564C67"/>
    <w:rsid w:val="00594695"/>
    <w:rsid w:val="005D2C48"/>
    <w:rsid w:val="005D427D"/>
    <w:rsid w:val="00637EC2"/>
    <w:rsid w:val="00663B10"/>
    <w:rsid w:val="006842B5"/>
    <w:rsid w:val="00694D0A"/>
    <w:rsid w:val="006B670D"/>
    <w:rsid w:val="006D48FE"/>
    <w:rsid w:val="00780A6F"/>
    <w:rsid w:val="007B3161"/>
    <w:rsid w:val="00827A2D"/>
    <w:rsid w:val="00861C45"/>
    <w:rsid w:val="008903BE"/>
    <w:rsid w:val="008D49E7"/>
    <w:rsid w:val="00954E70"/>
    <w:rsid w:val="00980142"/>
    <w:rsid w:val="009B3B6B"/>
    <w:rsid w:val="009E4592"/>
    <w:rsid w:val="00A44733"/>
    <w:rsid w:val="00AD6076"/>
    <w:rsid w:val="00AF5E3A"/>
    <w:rsid w:val="00B07236"/>
    <w:rsid w:val="00B14C3C"/>
    <w:rsid w:val="00B23136"/>
    <w:rsid w:val="00B512BB"/>
    <w:rsid w:val="00BC661A"/>
    <w:rsid w:val="00C06B70"/>
    <w:rsid w:val="00C47ADA"/>
    <w:rsid w:val="00CE60C2"/>
    <w:rsid w:val="00D14BE2"/>
    <w:rsid w:val="00DB5363"/>
    <w:rsid w:val="00E12FE3"/>
    <w:rsid w:val="00EB2711"/>
    <w:rsid w:val="00EC63AA"/>
    <w:rsid w:val="00F73ED5"/>
    <w:rsid w:val="00FD4173"/>
    <w:rsid w:val="00FF64DD"/>
    <w:rsid w:val="00FF76E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BDE8"/>
  <w15:chartTrackingRefBased/>
  <w15:docId w15:val="{144E0020-682F-4417-9DC3-E6E87482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323B2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B2711"/>
    <w:pPr>
      <w:ind w:left="720"/>
      <w:contextualSpacing/>
    </w:pPr>
  </w:style>
  <w:style w:type="character" w:styleId="Lienhypertexte">
    <w:name w:val="Hyperlink"/>
    <w:basedOn w:val="Policepardfaut"/>
    <w:uiPriority w:val="99"/>
    <w:unhideWhenUsed/>
    <w:rsid w:val="002B69F3"/>
    <w:rPr>
      <w:color w:val="0563C1" w:themeColor="hyperlink"/>
      <w:u w:val="single"/>
    </w:rPr>
  </w:style>
  <w:style w:type="character" w:styleId="Mentionnonrsolue">
    <w:name w:val="Unresolved Mention"/>
    <w:basedOn w:val="Policepardfaut"/>
    <w:uiPriority w:val="99"/>
    <w:semiHidden/>
    <w:unhideWhenUsed/>
    <w:rsid w:val="002B69F3"/>
    <w:rPr>
      <w:color w:val="605E5C"/>
      <w:shd w:val="clear" w:color="auto" w:fill="E1DFDD"/>
    </w:rPr>
  </w:style>
  <w:style w:type="character" w:styleId="Lienhypertextesuivivisit">
    <w:name w:val="FollowedHyperlink"/>
    <w:basedOn w:val="Policepardfaut"/>
    <w:uiPriority w:val="99"/>
    <w:semiHidden/>
    <w:unhideWhenUsed/>
    <w:rsid w:val="007B3161"/>
    <w:rPr>
      <w:color w:val="954F72" w:themeColor="followedHyperlink"/>
      <w:u w:val="single"/>
    </w:rPr>
  </w:style>
  <w:style w:type="character" w:customStyle="1" w:styleId="Titre3Car">
    <w:name w:val="Titre 3 Car"/>
    <w:basedOn w:val="Policepardfaut"/>
    <w:link w:val="Titre3"/>
    <w:uiPriority w:val="9"/>
    <w:rsid w:val="00323B21"/>
    <w:rPr>
      <w:rFonts w:ascii="Times New Roman" w:eastAsia="Times New Roman" w:hAnsi="Times New Roman" w:cs="Times New Roman"/>
      <w:b/>
      <w:bCs/>
      <w:sz w:val="27"/>
      <w:szCs w:val="27"/>
      <w:lang w:eastAsia="fr-FR"/>
    </w:rPr>
  </w:style>
  <w:style w:type="character" w:customStyle="1" w:styleId="ng-star-inserted">
    <w:name w:val="ng-star-inserted"/>
    <w:basedOn w:val="Policepardfaut"/>
    <w:rsid w:val="00323B21"/>
  </w:style>
  <w:style w:type="paragraph" w:customStyle="1" w:styleId="ng-star-inserted1">
    <w:name w:val="ng-star-inserted1"/>
    <w:basedOn w:val="Normal"/>
    <w:rsid w:val="00323B2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323B21"/>
  </w:style>
  <w:style w:type="paragraph" w:customStyle="1" w:styleId="paragraph">
    <w:name w:val="paragraph"/>
    <w:basedOn w:val="Normal"/>
    <w:rsid w:val="00AF5E3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192">
      <w:bodyDiv w:val="1"/>
      <w:marLeft w:val="0"/>
      <w:marRight w:val="0"/>
      <w:marTop w:val="0"/>
      <w:marBottom w:val="0"/>
      <w:divBdr>
        <w:top w:val="none" w:sz="0" w:space="0" w:color="auto"/>
        <w:left w:val="none" w:sz="0" w:space="0" w:color="auto"/>
        <w:bottom w:val="none" w:sz="0" w:space="0" w:color="auto"/>
        <w:right w:val="none" w:sz="0" w:space="0" w:color="auto"/>
      </w:divBdr>
    </w:div>
    <w:div w:id="183637016">
      <w:bodyDiv w:val="1"/>
      <w:marLeft w:val="0"/>
      <w:marRight w:val="0"/>
      <w:marTop w:val="0"/>
      <w:marBottom w:val="0"/>
      <w:divBdr>
        <w:top w:val="none" w:sz="0" w:space="0" w:color="auto"/>
        <w:left w:val="none" w:sz="0" w:space="0" w:color="auto"/>
        <w:bottom w:val="none" w:sz="0" w:space="0" w:color="auto"/>
        <w:right w:val="none" w:sz="0" w:space="0" w:color="auto"/>
      </w:divBdr>
      <w:divsChild>
        <w:div w:id="1840073339">
          <w:marLeft w:val="0"/>
          <w:marRight w:val="0"/>
          <w:marTop w:val="0"/>
          <w:marBottom w:val="0"/>
          <w:divBdr>
            <w:top w:val="none" w:sz="0" w:space="0" w:color="auto"/>
            <w:left w:val="none" w:sz="0" w:space="0" w:color="auto"/>
            <w:bottom w:val="none" w:sz="0" w:space="0" w:color="auto"/>
            <w:right w:val="none" w:sz="0" w:space="0" w:color="auto"/>
          </w:divBdr>
          <w:divsChild>
            <w:div w:id="908417009">
              <w:marLeft w:val="0"/>
              <w:marRight w:val="0"/>
              <w:marTop w:val="0"/>
              <w:marBottom w:val="0"/>
              <w:divBdr>
                <w:top w:val="none" w:sz="0" w:space="0" w:color="auto"/>
                <w:left w:val="none" w:sz="0" w:space="0" w:color="auto"/>
                <w:bottom w:val="none" w:sz="0" w:space="0" w:color="auto"/>
                <w:right w:val="none" w:sz="0" w:space="0" w:color="auto"/>
              </w:divBdr>
              <w:divsChild>
                <w:div w:id="11557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7791">
          <w:marLeft w:val="0"/>
          <w:marRight w:val="0"/>
          <w:marTop w:val="0"/>
          <w:marBottom w:val="150"/>
          <w:divBdr>
            <w:top w:val="none" w:sz="0" w:space="0" w:color="auto"/>
            <w:left w:val="none" w:sz="0" w:space="0" w:color="auto"/>
            <w:bottom w:val="none" w:sz="0" w:space="0" w:color="auto"/>
            <w:right w:val="none" w:sz="0" w:space="0" w:color="auto"/>
          </w:divBdr>
        </w:div>
        <w:div w:id="1318724327">
          <w:marLeft w:val="0"/>
          <w:marRight w:val="0"/>
          <w:marTop w:val="0"/>
          <w:marBottom w:val="0"/>
          <w:divBdr>
            <w:top w:val="none" w:sz="0" w:space="0" w:color="auto"/>
            <w:left w:val="none" w:sz="0" w:space="0" w:color="auto"/>
            <w:bottom w:val="none" w:sz="0" w:space="0" w:color="auto"/>
            <w:right w:val="none" w:sz="0" w:space="0" w:color="auto"/>
          </w:divBdr>
          <w:divsChild>
            <w:div w:id="1579553982">
              <w:marLeft w:val="0"/>
              <w:marRight w:val="0"/>
              <w:marTop w:val="0"/>
              <w:marBottom w:val="0"/>
              <w:divBdr>
                <w:top w:val="none" w:sz="0" w:space="0" w:color="auto"/>
                <w:left w:val="none" w:sz="0" w:space="0" w:color="auto"/>
                <w:bottom w:val="none" w:sz="0" w:space="0" w:color="auto"/>
                <w:right w:val="none" w:sz="0" w:space="0" w:color="auto"/>
              </w:divBdr>
              <w:divsChild>
                <w:div w:id="5518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2822">
          <w:marLeft w:val="0"/>
          <w:marRight w:val="0"/>
          <w:marTop w:val="0"/>
          <w:marBottom w:val="150"/>
          <w:divBdr>
            <w:top w:val="none" w:sz="0" w:space="0" w:color="auto"/>
            <w:left w:val="none" w:sz="0" w:space="0" w:color="auto"/>
            <w:bottom w:val="none" w:sz="0" w:space="0" w:color="auto"/>
            <w:right w:val="none" w:sz="0" w:space="0" w:color="auto"/>
          </w:divBdr>
        </w:div>
        <w:div w:id="1346665593">
          <w:marLeft w:val="0"/>
          <w:marRight w:val="0"/>
          <w:marTop w:val="0"/>
          <w:marBottom w:val="0"/>
          <w:divBdr>
            <w:top w:val="none" w:sz="0" w:space="0" w:color="auto"/>
            <w:left w:val="none" w:sz="0" w:space="0" w:color="auto"/>
            <w:bottom w:val="none" w:sz="0" w:space="0" w:color="auto"/>
            <w:right w:val="none" w:sz="0" w:space="0" w:color="auto"/>
          </w:divBdr>
          <w:divsChild>
            <w:div w:id="758137556">
              <w:marLeft w:val="0"/>
              <w:marRight w:val="0"/>
              <w:marTop w:val="0"/>
              <w:marBottom w:val="0"/>
              <w:divBdr>
                <w:top w:val="none" w:sz="0" w:space="0" w:color="auto"/>
                <w:left w:val="none" w:sz="0" w:space="0" w:color="auto"/>
                <w:bottom w:val="none" w:sz="0" w:space="0" w:color="auto"/>
                <w:right w:val="none" w:sz="0" w:space="0" w:color="auto"/>
              </w:divBdr>
              <w:divsChild>
                <w:div w:id="152170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4737">
          <w:marLeft w:val="0"/>
          <w:marRight w:val="0"/>
          <w:marTop w:val="0"/>
          <w:marBottom w:val="150"/>
          <w:divBdr>
            <w:top w:val="none" w:sz="0" w:space="0" w:color="auto"/>
            <w:left w:val="none" w:sz="0" w:space="0" w:color="auto"/>
            <w:bottom w:val="none" w:sz="0" w:space="0" w:color="auto"/>
            <w:right w:val="none" w:sz="0" w:space="0" w:color="auto"/>
          </w:divBdr>
        </w:div>
        <w:div w:id="1112821181">
          <w:marLeft w:val="0"/>
          <w:marRight w:val="0"/>
          <w:marTop w:val="0"/>
          <w:marBottom w:val="0"/>
          <w:divBdr>
            <w:top w:val="none" w:sz="0" w:space="0" w:color="auto"/>
            <w:left w:val="none" w:sz="0" w:space="0" w:color="auto"/>
            <w:bottom w:val="none" w:sz="0" w:space="0" w:color="auto"/>
            <w:right w:val="none" w:sz="0" w:space="0" w:color="auto"/>
          </w:divBdr>
          <w:divsChild>
            <w:div w:id="1929190006">
              <w:marLeft w:val="0"/>
              <w:marRight w:val="0"/>
              <w:marTop w:val="0"/>
              <w:marBottom w:val="0"/>
              <w:divBdr>
                <w:top w:val="none" w:sz="0" w:space="0" w:color="auto"/>
                <w:left w:val="none" w:sz="0" w:space="0" w:color="auto"/>
                <w:bottom w:val="none" w:sz="0" w:space="0" w:color="auto"/>
                <w:right w:val="none" w:sz="0" w:space="0" w:color="auto"/>
              </w:divBdr>
              <w:divsChild>
                <w:div w:id="16067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4781">
          <w:marLeft w:val="0"/>
          <w:marRight w:val="0"/>
          <w:marTop w:val="0"/>
          <w:marBottom w:val="150"/>
          <w:divBdr>
            <w:top w:val="none" w:sz="0" w:space="0" w:color="auto"/>
            <w:left w:val="none" w:sz="0" w:space="0" w:color="auto"/>
            <w:bottom w:val="none" w:sz="0" w:space="0" w:color="auto"/>
            <w:right w:val="none" w:sz="0" w:space="0" w:color="auto"/>
          </w:divBdr>
        </w:div>
      </w:divsChild>
    </w:div>
    <w:div w:id="130253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484</Words>
  <Characters>2662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HUVIER ALINE</dc:creator>
  <cp:keywords/>
  <dc:description/>
  <cp:lastModifiedBy>Cény Sakho</cp:lastModifiedBy>
  <cp:revision>16</cp:revision>
  <cp:lastPrinted>2026-01-31T16:35:00Z</cp:lastPrinted>
  <dcterms:created xsi:type="dcterms:W3CDTF">2024-04-17T07:42:00Z</dcterms:created>
  <dcterms:modified xsi:type="dcterms:W3CDTF">2026-06-02T07:21:00Z</dcterms:modified>
</cp:coreProperties>
</file>