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Run Script — Customer Consent Management System (PoC)</w:t>
      </w:r>
    </w:p>
    <w:p>
      <w:pPr>
        <w:pStyle w:val="Heading2"/>
      </w:pPr>
      <w:r>
        <w:t>Opening (Context &amp; Purpose)</w:t>
      </w:r>
    </w:p>
    <w:p>
      <w:r>
        <w:t>This demonstration shows how we capture, manage, and prove customer consent decisions in a way that is auditable, exportable, and compliant with the DPDP Act and sectoral expectations from TRAI and RBI supervisory guidance.</w:t>
      </w:r>
    </w:p>
    <w:p/>
    <w:p>
      <w:r>
        <w:t>We will walk through granting consent, revoking it, reviewing the audit trail, and exporting evidence for regulatory or internal audit review.</w:t>
      </w:r>
    </w:p>
    <w:p>
      <w:pPr>
        <w:pStyle w:val="Heading2"/>
      </w:pPr>
      <w:r>
        <w:t>Step 1 — Login</w:t>
      </w:r>
    </w:p>
    <w:p>
      <w:r>
        <w:t>1. Open the application in the browser.</w:t>
      </w:r>
    </w:p>
    <w:p>
      <w:r>
        <w:t>2. Enter the demo credentials (e.g., user / user123).</w:t>
      </w:r>
    </w:p>
    <w:p/>
    <w:p>
      <w:r>
        <w:t>Narration:</w:t>
      </w:r>
    </w:p>
    <w:p>
      <w:r>
        <w:t>For this proof-of-concept, we use a simple login. In a production deployment, this would connect to enterprise IAM to reliably attribute actions to operators.</w:t>
      </w:r>
    </w:p>
    <w:p>
      <w:pPr>
        <w:pStyle w:val="Heading2"/>
      </w:pPr>
      <w:r>
        <w:t>Step 2 — Grant Consent</w:t>
      </w:r>
    </w:p>
    <w:p>
      <w:r>
        <w:t>1. Go to Grant Consent form.</w:t>
      </w:r>
    </w:p>
    <w:p>
      <w:r>
        <w:t>2. Enter Subject ID, Data Use Case, and optional metadata.</w:t>
      </w:r>
    </w:p>
    <w:p>
      <w:r>
        <w:t>3. Click Grant.</w:t>
      </w:r>
    </w:p>
    <w:p/>
    <w:p>
      <w:r>
        <w:t>Narration:</w:t>
      </w:r>
    </w:p>
    <w:p>
      <w:r>
        <w:t>We now record a consent decision along with its purpose and contextual metadata. This creates a formal consent artifact that is stored in the register and timestamped in IST.</w:t>
      </w:r>
    </w:p>
    <w:p>
      <w:pPr>
        <w:pStyle w:val="Heading2"/>
      </w:pPr>
      <w:r>
        <w:t>Step 3 — View Consent Registry</w:t>
      </w:r>
    </w:p>
    <w:p>
      <w:r>
        <w:t>1. Go to the Consents List.</w:t>
      </w:r>
    </w:p>
    <w:p>
      <w:r>
        <w:t>2. Locate the record created.</w:t>
      </w:r>
    </w:p>
    <w:p>
      <w:r>
        <w:t>3. Confirm status and timestamp.</w:t>
      </w:r>
    </w:p>
    <w:p/>
    <w:p>
      <w:r>
        <w:t>Narration:</w:t>
      </w:r>
    </w:p>
    <w:p>
      <w:r>
        <w:t>The consent now appears in the registry. It is searchable by subject and filters can be applied for supervisory or audit checks.</w:t>
      </w:r>
    </w:p>
    <w:p>
      <w:pPr>
        <w:pStyle w:val="Heading2"/>
      </w:pPr>
      <w:r>
        <w:t>Step 4 — Revoke Consent</w:t>
      </w:r>
    </w:p>
    <w:p>
      <w:r>
        <w:t>1. Click Revoke.</w:t>
      </w:r>
    </w:p>
    <w:p>
      <w:r>
        <w:t>2. Confirm the action.</w:t>
      </w:r>
    </w:p>
    <w:p/>
    <w:p>
      <w:r>
        <w:t>Narration:</w:t>
      </w:r>
    </w:p>
    <w:p>
      <w:r>
        <w:t>When the customer revokes consent, the system updates the status immediately and records an audit entry capturing who performed the action and when it occurred.</w:t>
      </w:r>
    </w:p>
    <w:p>
      <w:pPr>
        <w:pStyle w:val="Heading2"/>
      </w:pPr>
      <w:r>
        <w:t>Step 5 — Audit Timeline</w:t>
      </w:r>
    </w:p>
    <w:p>
      <w:r>
        <w:t>1. Click View Audit.</w:t>
      </w:r>
    </w:p>
    <w:p>
      <w:r>
        <w:t>2. Show the colored timeline.</w:t>
      </w:r>
    </w:p>
    <w:p/>
    <w:p>
      <w:r>
        <w:t>Narration:</w:t>
      </w:r>
    </w:p>
    <w:p>
      <w:r>
        <w:t>The audit timeline provides a chain-of-custody record. This establishes provenance and supports evidence requirements under DPDP accountability provisions.</w:t>
      </w:r>
    </w:p>
    <w:p>
      <w:pPr>
        <w:pStyle w:val="Heading2"/>
      </w:pPr>
      <w:r>
        <w:t>Step 6 — Export Evidence (CSV)</w:t>
      </w:r>
    </w:p>
    <w:p>
      <w:r>
        <w:t>1. Navigate to CSV Export.</w:t>
      </w:r>
    </w:p>
    <w:p>
      <w:r>
        <w:t>2. Download.</w:t>
      </w:r>
    </w:p>
    <w:p>
      <w:r>
        <w:t>3. Present the CSV.</w:t>
      </w:r>
    </w:p>
    <w:p/>
    <w:p>
      <w:r>
        <w:t>Narration:</w:t>
      </w:r>
    </w:p>
    <w:p>
      <w:r>
        <w:t>This export provides a regulator-ready evidence package for audit inquiries.</w:t>
      </w:r>
    </w:p>
    <w:p>
      <w:pPr>
        <w:pStyle w:val="Heading2"/>
      </w:pPr>
      <w:r>
        <w:t>Closing Statement</w:t>
      </w:r>
    </w:p>
    <w:p>
      <w:r>
        <w:t>This concludes the demonstration. The lifecycle is complete: consent captured, revoked, audited, and exported in a regulator-compatible format.</w:t>
      </w:r>
    </w:p>
    <w:p/>
    <w:p>
      <w:r>
        <w:t>This PoC forms the foundation for integration with enterprise IAM, RBAC, digital signatures, and multi-channel consent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