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FACTORY SYSTEM VALUATION &amp; NEGOTIATION BASIS</w:t>
        <w:br/>
        <w:t>FABRİKA SİSTEMİ DEĞERLEME VE MÜZAKERE ESASI</w:t>
      </w:r>
    </w:p>
    <w:p>
      <w:pPr>
        <w:pStyle w:val="Heading1"/>
      </w:pPr>
      <w:r>
        <w:t>Executive Summary / Özet</w:t>
      </w:r>
    </w:p>
    <w:p>
      <w:r>
        <w:t>Installed system value is approximately 750,000€+. Market value is estimated at 450,000–550,000€. Recommended acquisition range is 400,000–450,000€.</w:t>
        <w:br/>
        <w:br/>
        <w:t>Kurulu sistem değeri yaklaşık 750.000€+. Piyasa değeri 450.000–550.000€ aralığındadır. Önerilen satın alma aralığı 400.000–450.000€.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 / Faz</w:t>
            </w:r>
          </w:p>
        </w:tc>
        <w:tc>
          <w:tcPr>
            <w:tcW w:type="dxa" w:w="1728"/>
          </w:tcPr>
          <w:p>
            <w:r>
              <w:t>Activity / Aktivite</w:t>
            </w:r>
          </w:p>
        </w:tc>
        <w:tc>
          <w:tcPr>
            <w:tcW w:type="dxa" w:w="1728"/>
          </w:tcPr>
          <w:p>
            <w:r>
              <w:t>Duration / Süre</w:t>
            </w:r>
          </w:p>
        </w:tc>
        <w:tc>
          <w:tcPr>
            <w:tcW w:type="dxa" w:w="1728"/>
          </w:tcPr>
          <w:p>
            <w:r>
              <w:t>% FOB</w:t>
            </w:r>
          </w:p>
        </w:tc>
        <w:tc>
          <w:tcPr>
            <w:tcW w:type="dxa" w:w="1728"/>
          </w:tcPr>
          <w:p>
            <w:r>
              <w:t>Value (€) / Değer</w:t>
            </w:r>
          </w:p>
        </w:tc>
      </w:tr>
      <w:tr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Design &amp; Layout / Projelendirme</w:t>
            </w:r>
          </w:p>
        </w:tc>
        <w:tc>
          <w:tcPr>
            <w:tcW w:type="dxa" w:w="1728"/>
          </w:tcPr>
          <w:p>
            <w:r>
              <w:t>1 month / ay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24,761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Order &amp; Production / Sipariş &amp; üretim</w:t>
            </w:r>
          </w:p>
        </w:tc>
        <w:tc>
          <w:tcPr>
            <w:tcW w:type="dxa" w:w="1728"/>
          </w:tcPr>
          <w:p>
            <w:r>
              <w:t>3 months / ay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123,805</w:t>
            </w:r>
          </w:p>
        </w:tc>
      </w:tr>
      <w:tr>
        <w:tc>
          <w:tcPr>
            <w:tcW w:type="dxa" w:w="1728"/>
          </w:tcPr>
          <w:p>
            <w:r>
              <w:t>Logistics</w:t>
            </w:r>
          </w:p>
        </w:tc>
        <w:tc>
          <w:tcPr>
            <w:tcW w:type="dxa" w:w="1728"/>
          </w:tcPr>
          <w:p>
            <w:r>
              <w:t>Transport / Taşıma</w:t>
            </w:r>
          </w:p>
        </w:tc>
        <w:tc>
          <w:tcPr>
            <w:tcW w:type="dxa" w:w="1728"/>
          </w:tcPr>
          <w:p>
            <w:r>
              <w:t>1 month / ay</w:t>
            </w:r>
          </w:p>
        </w:tc>
        <w:tc>
          <w:tcPr>
            <w:tcW w:type="dxa" w:w="1728"/>
          </w:tcPr>
          <w:p>
            <w:r>
              <w:t>9%</w:t>
            </w:r>
          </w:p>
        </w:tc>
        <w:tc>
          <w:tcPr>
            <w:tcW w:type="dxa" w:w="1728"/>
          </w:tcPr>
          <w:p>
            <w:r>
              <w:t>44,570</w:t>
            </w:r>
          </w:p>
        </w:tc>
      </w:tr>
      <w:tr>
        <w:tc>
          <w:tcPr>
            <w:tcW w:type="dxa" w:w="1728"/>
          </w:tcPr>
          <w:p>
            <w:r>
              <w:t>Import</w:t>
            </w:r>
          </w:p>
        </w:tc>
        <w:tc>
          <w:tcPr>
            <w:tcW w:type="dxa" w:w="1728"/>
          </w:tcPr>
          <w:p>
            <w:r>
              <w:t>Customs / Gümrük</w:t>
            </w:r>
          </w:p>
        </w:tc>
        <w:tc>
          <w:tcPr>
            <w:tcW w:type="dxa" w:w="1728"/>
          </w:tcPr>
          <w:p>
            <w:r>
              <w:t>0.5 month / ay</w:t>
            </w:r>
          </w:p>
        </w:tc>
        <w:tc>
          <w:tcPr>
            <w:tcW w:type="dxa" w:w="1728"/>
          </w:tcPr>
          <w:p>
            <w:r>
              <w:t>3.7%</w:t>
            </w:r>
          </w:p>
        </w:tc>
        <w:tc>
          <w:tcPr>
            <w:tcW w:type="dxa" w:w="1728"/>
          </w:tcPr>
          <w:p>
            <w:r>
              <w:t>18,323</w:t>
            </w:r>
          </w:p>
        </w:tc>
      </w:tr>
      <w:tr>
        <w:tc>
          <w:tcPr>
            <w:tcW w:type="dxa" w:w="1728"/>
          </w:tcPr>
          <w:p>
            <w:r>
              <w:t>Installation</w:t>
            </w:r>
          </w:p>
        </w:tc>
        <w:tc>
          <w:tcPr>
            <w:tcW w:type="dxa" w:w="1728"/>
          </w:tcPr>
          <w:p>
            <w:r>
              <w:t>Assembly / Montaj</w:t>
            </w:r>
          </w:p>
        </w:tc>
        <w:tc>
          <w:tcPr>
            <w:tcW w:type="dxa" w:w="1728"/>
          </w:tcPr>
          <w:p>
            <w:r>
              <w:t>1.5 months / ay</w:t>
            </w:r>
          </w:p>
        </w:tc>
        <w:tc>
          <w:tcPr>
            <w:tcW w:type="dxa" w:w="1728"/>
          </w:tcPr>
          <w:p>
            <w:r>
              <w:t>21.5%</w:t>
            </w:r>
          </w:p>
        </w:tc>
        <w:tc>
          <w:tcPr>
            <w:tcW w:type="dxa" w:w="1728"/>
          </w:tcPr>
          <w:p>
            <w:r>
              <w:t>106,476</w:t>
            </w:r>
          </w:p>
        </w:tc>
      </w:tr>
      <w:tr>
        <w:tc>
          <w:tcPr>
            <w:tcW w:type="dxa" w:w="1728"/>
          </w:tcPr>
          <w:p>
            <w:r>
              <w:t>Commissioning</w:t>
            </w:r>
          </w:p>
        </w:tc>
        <w:tc>
          <w:tcPr>
            <w:tcW w:type="dxa" w:w="1728"/>
          </w:tcPr>
          <w:p>
            <w:r>
              <w:t>Testing / Devreye alma</w:t>
            </w:r>
          </w:p>
        </w:tc>
        <w:tc>
          <w:tcPr>
            <w:tcW w:type="dxa" w:w="1728"/>
          </w:tcPr>
          <w:p>
            <w:r>
              <w:t>1 month / ay</w:t>
            </w:r>
          </w:p>
        </w:tc>
        <w:tc>
          <w:tcPr>
            <w:tcW w:type="dxa" w:w="1728"/>
          </w:tcPr>
          <w:p>
            <w:r>
              <w:t>4%</w:t>
            </w:r>
          </w:p>
        </w:tc>
        <w:tc>
          <w:tcPr>
            <w:tcW w:type="dxa" w:w="1728"/>
          </w:tcPr>
          <w:p>
            <w:r>
              <w:t>19,809</w:t>
            </w:r>
          </w:p>
        </w:tc>
      </w:tr>
    </w:tbl>
    <w:p>
      <w:pPr>
        <w:pStyle w:val="Heading1"/>
      </w:pPr>
      <w:r>
        <w:t>Detailed Explanation / Detaylı Açıklama</w:t>
      </w:r>
    </w:p>
    <w:p>
      <w:r>
        <w:t>Not all historical costs are transferable into market value. Engineering and logistics have limited resale value, while installation has partial recoverability. Therefore, valuation must be based on transferable market value.</w:t>
        <w:br/>
        <w:br/>
        <w:t>Tüm geçmiş maliyetler piyasa değerine yansımaz. Mühendislik ve lojistik düşük geri kazanıma sahiptir, montaj ise kısmen geri kazanılabilir. Bu nedenle değerleme, toplam maliyet yerine piyasa transfer değerine dayanmalıdır.</w:t>
      </w:r>
    </w:p>
    <w:p>
      <w:pPr>
        <w:pStyle w:val="Heading1"/>
      </w:pPr>
      <w:r>
        <w:t>Conclusion / Sonuç</w:t>
      </w:r>
    </w:p>
    <w:p>
      <w:r>
        <w:t>Fair acquisition range: 400,000€ – 450,000€.</w:t>
        <w:br/>
        <w:br/>
        <w:t>Makul satın alma aralığı: 400.000€ – 450.000€.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