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30E66" w14:textId="77777777" w:rsidR="00AB7BA5" w:rsidRDefault="007E764E">
      <w:pPr>
        <w:jc w:val="center"/>
      </w:pPr>
      <w:r>
        <w:rPr>
          <w:noProof/>
        </w:rPr>
        <w:drawing>
          <wp:inline distT="0" distB="0" distL="0" distR="0" wp14:anchorId="06217B7B" wp14:editId="4D8AE11E">
            <wp:extent cx="3200400" cy="1800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s-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4747" w14:textId="77777777" w:rsidR="00AB7BA5" w:rsidRDefault="007E764E">
      <w:pPr>
        <w:jc w:val="center"/>
      </w:pPr>
      <w:r>
        <w:rPr>
          <w:b/>
          <w:sz w:val="36"/>
        </w:rPr>
        <w:t>ARS METAL INDUSTRIES d.o.o.</w:t>
      </w:r>
    </w:p>
    <w:p w14:paraId="4EE76208" w14:textId="77777777" w:rsidR="00AB7BA5" w:rsidRDefault="007E764E">
      <w:pPr>
        <w:jc w:val="center"/>
      </w:pPr>
      <w:r>
        <w:rPr>
          <w:i/>
          <w:sz w:val="24"/>
        </w:rPr>
        <w:t>Corporate Governance Charter</w:t>
      </w:r>
    </w:p>
    <w:p w14:paraId="1DA8B4AF" w14:textId="77777777" w:rsidR="00AB7BA5" w:rsidRDefault="00AB7BA5"/>
    <w:p w14:paraId="6C286700" w14:textId="77777777" w:rsidR="00AB7BA5" w:rsidRDefault="007E764E">
      <w:pPr>
        <w:pStyle w:val="Heading1"/>
      </w:pPr>
      <w:r>
        <w:t>Purpose</w:t>
      </w:r>
    </w:p>
    <w:p w14:paraId="65046B80" w14:textId="77777777" w:rsidR="00AB7BA5" w:rsidRDefault="007E764E">
      <w:r>
        <w:t>This document defines the corporate governance framework of ARS Metal Industries d.o.o. It establishes principles, roles and responsibilities ensuring transparent, responsible and efficient company management.</w:t>
      </w:r>
    </w:p>
    <w:p w14:paraId="759CFB1E" w14:textId="77777777" w:rsidR="00AB7BA5" w:rsidRDefault="007E764E">
      <w:pPr>
        <w:pStyle w:val="Heading1"/>
      </w:pPr>
      <w:r>
        <w:t>Governance Principles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AB7BA5" w14:paraId="5E616DD4" w14:textId="77777777">
        <w:trPr>
          <w:jc w:val="center"/>
        </w:trPr>
        <w:tc>
          <w:tcPr>
            <w:tcW w:w="4824" w:type="dxa"/>
          </w:tcPr>
          <w:p w14:paraId="225AA423" w14:textId="77777777" w:rsidR="00AB7BA5" w:rsidRDefault="007E764E">
            <w:r>
              <w:t>Principle</w:t>
            </w:r>
          </w:p>
        </w:tc>
        <w:tc>
          <w:tcPr>
            <w:tcW w:w="4824" w:type="dxa"/>
          </w:tcPr>
          <w:p w14:paraId="0A579E52" w14:textId="77777777" w:rsidR="00AB7BA5" w:rsidRDefault="007E764E">
            <w:r>
              <w:t>Description</w:t>
            </w:r>
          </w:p>
        </w:tc>
      </w:tr>
      <w:tr w:rsidR="00AB7BA5" w14:paraId="15B57885" w14:textId="77777777">
        <w:trPr>
          <w:jc w:val="center"/>
        </w:trPr>
        <w:tc>
          <w:tcPr>
            <w:tcW w:w="4824" w:type="dxa"/>
          </w:tcPr>
          <w:p w14:paraId="5ABF4724" w14:textId="77777777" w:rsidR="00AB7BA5" w:rsidRDefault="007E764E">
            <w:r>
              <w:t>Transparency</w:t>
            </w:r>
          </w:p>
        </w:tc>
        <w:tc>
          <w:tcPr>
            <w:tcW w:w="4824" w:type="dxa"/>
          </w:tcPr>
          <w:p w14:paraId="771903D8" w14:textId="77777777" w:rsidR="00AB7BA5" w:rsidRDefault="007E764E">
            <w:r>
              <w:t>Open and transparent communication with shareholders, investors and partners.</w:t>
            </w:r>
          </w:p>
        </w:tc>
      </w:tr>
      <w:tr w:rsidR="00AB7BA5" w14:paraId="7F05398D" w14:textId="77777777">
        <w:trPr>
          <w:jc w:val="center"/>
        </w:trPr>
        <w:tc>
          <w:tcPr>
            <w:tcW w:w="4824" w:type="dxa"/>
          </w:tcPr>
          <w:p w14:paraId="6DDD5450" w14:textId="77777777" w:rsidR="00AB7BA5" w:rsidRDefault="007E764E">
            <w:r>
              <w:t>Accountability</w:t>
            </w:r>
          </w:p>
        </w:tc>
        <w:tc>
          <w:tcPr>
            <w:tcW w:w="4824" w:type="dxa"/>
          </w:tcPr>
          <w:p w14:paraId="5EF884A3" w14:textId="77777777" w:rsidR="00AB7BA5" w:rsidRDefault="007E764E">
            <w:r>
              <w:t>Management is responsible for operational performance and strategy execution.</w:t>
            </w:r>
          </w:p>
        </w:tc>
      </w:tr>
      <w:tr w:rsidR="00AB7BA5" w14:paraId="79FE0ED1" w14:textId="77777777">
        <w:trPr>
          <w:jc w:val="center"/>
        </w:trPr>
        <w:tc>
          <w:tcPr>
            <w:tcW w:w="4824" w:type="dxa"/>
          </w:tcPr>
          <w:p w14:paraId="067DDC59" w14:textId="77777777" w:rsidR="00AB7BA5" w:rsidRDefault="007E764E">
            <w:r>
              <w:t>Efficiency</w:t>
            </w:r>
          </w:p>
        </w:tc>
        <w:tc>
          <w:tcPr>
            <w:tcW w:w="4824" w:type="dxa"/>
          </w:tcPr>
          <w:p w14:paraId="257AFB0E" w14:textId="77777777" w:rsidR="00AB7BA5" w:rsidRDefault="007E764E">
            <w:r>
              <w:t>Organizational structure supports fast and effective decision-making.</w:t>
            </w:r>
          </w:p>
        </w:tc>
      </w:tr>
      <w:tr w:rsidR="00AB7BA5" w14:paraId="0BFB0966" w14:textId="77777777">
        <w:trPr>
          <w:jc w:val="center"/>
        </w:trPr>
        <w:tc>
          <w:tcPr>
            <w:tcW w:w="4824" w:type="dxa"/>
          </w:tcPr>
          <w:p w14:paraId="228B53C0" w14:textId="77777777" w:rsidR="00AB7BA5" w:rsidRDefault="007E764E">
            <w:r>
              <w:t>Risk Control</w:t>
            </w:r>
          </w:p>
        </w:tc>
        <w:tc>
          <w:tcPr>
            <w:tcW w:w="4824" w:type="dxa"/>
          </w:tcPr>
          <w:p w14:paraId="5618AEE9" w14:textId="77777777" w:rsidR="00AB7BA5" w:rsidRDefault="007E764E">
            <w:r>
              <w:t>Implementation of internal control systems and risk management processes.</w:t>
            </w:r>
          </w:p>
        </w:tc>
      </w:tr>
    </w:tbl>
    <w:p w14:paraId="38A43EFC" w14:textId="77777777" w:rsidR="00AB7BA5" w:rsidRDefault="00AB7BA5"/>
    <w:p w14:paraId="1011147A" w14:textId="77777777" w:rsidR="00AB7BA5" w:rsidRDefault="007E764E">
      <w:pPr>
        <w:pStyle w:val="Heading1"/>
      </w:pPr>
      <w:r>
        <w:t>Governance Structure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AB7BA5" w14:paraId="486EEC2F" w14:textId="77777777">
        <w:trPr>
          <w:jc w:val="center"/>
        </w:trPr>
        <w:tc>
          <w:tcPr>
            <w:tcW w:w="4824" w:type="dxa"/>
          </w:tcPr>
          <w:p w14:paraId="7A4B585F" w14:textId="77777777" w:rsidR="00AB7BA5" w:rsidRDefault="007E764E">
            <w:r>
              <w:t>Governance Level</w:t>
            </w:r>
          </w:p>
        </w:tc>
        <w:tc>
          <w:tcPr>
            <w:tcW w:w="4824" w:type="dxa"/>
          </w:tcPr>
          <w:p w14:paraId="378A1C5D" w14:textId="77777777" w:rsidR="00AB7BA5" w:rsidRDefault="007E764E">
            <w:r>
              <w:t>Responsibility</w:t>
            </w:r>
          </w:p>
        </w:tc>
      </w:tr>
      <w:tr w:rsidR="00AB7BA5" w14:paraId="438D8E2D" w14:textId="77777777">
        <w:trPr>
          <w:jc w:val="center"/>
        </w:trPr>
        <w:tc>
          <w:tcPr>
            <w:tcW w:w="4824" w:type="dxa"/>
          </w:tcPr>
          <w:p w14:paraId="62679D17" w14:textId="77777777" w:rsidR="00AB7BA5" w:rsidRDefault="007E764E">
            <w:r>
              <w:t>Shareholders</w:t>
            </w:r>
          </w:p>
        </w:tc>
        <w:tc>
          <w:tcPr>
            <w:tcW w:w="4824" w:type="dxa"/>
          </w:tcPr>
          <w:p w14:paraId="3C026947" w14:textId="77777777" w:rsidR="00AB7BA5" w:rsidRDefault="007E764E">
            <w:r>
              <w:t>Define strategic direction, investment objectives and capital structure.</w:t>
            </w:r>
          </w:p>
        </w:tc>
      </w:tr>
      <w:tr w:rsidR="00AB7BA5" w14:paraId="6E247168" w14:textId="77777777">
        <w:trPr>
          <w:jc w:val="center"/>
        </w:trPr>
        <w:tc>
          <w:tcPr>
            <w:tcW w:w="4824" w:type="dxa"/>
          </w:tcPr>
          <w:p w14:paraId="289435D5" w14:textId="77777777" w:rsidR="00AB7BA5" w:rsidRDefault="007E764E">
            <w:r>
              <w:t>Managing Director / CEO</w:t>
            </w:r>
          </w:p>
        </w:tc>
        <w:tc>
          <w:tcPr>
            <w:tcW w:w="4824" w:type="dxa"/>
          </w:tcPr>
          <w:p w14:paraId="58E1EBEB" w14:textId="77777777" w:rsidR="00AB7BA5" w:rsidRDefault="007E764E">
            <w:r>
              <w:t xml:space="preserve">Responsible for overall company management </w:t>
            </w:r>
            <w:r>
              <w:lastRenderedPageBreak/>
              <w:t>and strategy execution.</w:t>
            </w:r>
          </w:p>
        </w:tc>
      </w:tr>
      <w:tr w:rsidR="00AB7BA5" w14:paraId="2DD49FE7" w14:textId="77777777">
        <w:trPr>
          <w:jc w:val="center"/>
        </w:trPr>
        <w:tc>
          <w:tcPr>
            <w:tcW w:w="4824" w:type="dxa"/>
          </w:tcPr>
          <w:p w14:paraId="071F9739" w14:textId="77777777" w:rsidR="00AB7BA5" w:rsidRDefault="007E764E">
            <w:r>
              <w:lastRenderedPageBreak/>
              <w:t>Finance (CFO)</w:t>
            </w:r>
          </w:p>
        </w:tc>
        <w:tc>
          <w:tcPr>
            <w:tcW w:w="4824" w:type="dxa"/>
          </w:tcPr>
          <w:p w14:paraId="61F92385" w14:textId="77777777" w:rsidR="00AB7BA5" w:rsidRDefault="007E764E">
            <w:r>
              <w:t>Financial planning, budgeting and cost control.</w:t>
            </w:r>
          </w:p>
        </w:tc>
      </w:tr>
      <w:tr w:rsidR="00AB7BA5" w14:paraId="0DE7DFFE" w14:textId="77777777">
        <w:trPr>
          <w:jc w:val="center"/>
        </w:trPr>
        <w:tc>
          <w:tcPr>
            <w:tcW w:w="4824" w:type="dxa"/>
          </w:tcPr>
          <w:p w14:paraId="51071AB0" w14:textId="77777777" w:rsidR="00AB7BA5" w:rsidRDefault="007E764E">
            <w:r>
              <w:t>Operations (COO)</w:t>
            </w:r>
          </w:p>
        </w:tc>
        <w:tc>
          <w:tcPr>
            <w:tcW w:w="4824" w:type="dxa"/>
          </w:tcPr>
          <w:p w14:paraId="1897AD81" w14:textId="77777777" w:rsidR="00AB7BA5" w:rsidRDefault="007E764E">
            <w:r>
              <w:t>Production management, logistics and operational efficiency.</w:t>
            </w:r>
          </w:p>
        </w:tc>
      </w:tr>
      <w:tr w:rsidR="00AB7BA5" w14:paraId="5717F6A6" w14:textId="77777777">
        <w:trPr>
          <w:jc w:val="center"/>
        </w:trPr>
        <w:tc>
          <w:tcPr>
            <w:tcW w:w="4824" w:type="dxa"/>
          </w:tcPr>
          <w:p w14:paraId="1388DA9C" w14:textId="77777777" w:rsidR="00AB7BA5" w:rsidRDefault="007E764E">
            <w:r>
              <w:t>Commercial</w:t>
            </w:r>
          </w:p>
        </w:tc>
        <w:tc>
          <w:tcPr>
            <w:tcW w:w="4824" w:type="dxa"/>
          </w:tcPr>
          <w:p w14:paraId="04374328" w14:textId="77777777" w:rsidR="00AB7BA5" w:rsidRDefault="007E764E">
            <w:r>
              <w:t>Sales, marketing and market development.</w:t>
            </w:r>
          </w:p>
        </w:tc>
      </w:tr>
    </w:tbl>
    <w:p w14:paraId="4D5E2315" w14:textId="77777777" w:rsidR="00AB7BA5" w:rsidRDefault="00AB7BA5"/>
    <w:p w14:paraId="2F74C23C" w14:textId="77777777" w:rsidR="00AB7BA5" w:rsidRDefault="007E764E">
      <w:pPr>
        <w:pStyle w:val="Heading1"/>
      </w:pPr>
      <w:r>
        <w:t>Decision-Making Framework</w:t>
      </w:r>
    </w:p>
    <w:p w14:paraId="2D4C36F7" w14:textId="77777777" w:rsidR="00AB7BA5" w:rsidRDefault="007E764E">
      <w:r>
        <w:t>• Analysis of operational and financial implications</w:t>
      </w:r>
    </w:p>
    <w:p w14:paraId="5FE559ED" w14:textId="77777777" w:rsidR="00AB7BA5" w:rsidRDefault="007E764E">
      <w:r>
        <w:t>• Consultation between relevant management functions</w:t>
      </w:r>
    </w:p>
    <w:p w14:paraId="7CB7BBC6" w14:textId="77777777" w:rsidR="00AB7BA5" w:rsidRDefault="007E764E">
      <w:r>
        <w:t>• Formal approval by management or shareholders depending on decision level</w:t>
      </w:r>
    </w:p>
    <w:p w14:paraId="2FABA39A" w14:textId="77777777" w:rsidR="00AB7BA5" w:rsidRDefault="007E764E">
      <w:pPr>
        <w:pStyle w:val="Heading1"/>
      </w:pPr>
      <w:r>
        <w:t>Internal Control System</w:t>
      </w:r>
    </w:p>
    <w:p w14:paraId="66B00A68" w14:textId="77777777" w:rsidR="00AB7BA5" w:rsidRDefault="007E764E">
      <w:r>
        <w:t>• Budget and cost control</w:t>
      </w:r>
    </w:p>
    <w:p w14:paraId="0A8C3238" w14:textId="77777777" w:rsidR="00AB7BA5" w:rsidRDefault="007E764E">
      <w:r>
        <w:t>• Financial reporting procedures</w:t>
      </w:r>
    </w:p>
    <w:p w14:paraId="3F6F3A2D" w14:textId="77777777" w:rsidR="00AB7BA5" w:rsidRDefault="007E764E">
      <w:r>
        <w:t>• Operational risk management</w:t>
      </w:r>
    </w:p>
    <w:p w14:paraId="2917B427" w14:textId="77777777" w:rsidR="00AB7BA5" w:rsidRDefault="007E764E">
      <w:pPr>
        <w:pStyle w:val="Heading1"/>
      </w:pPr>
      <w:r>
        <w:t>Compliance and Ethics</w:t>
      </w:r>
    </w:p>
    <w:p w14:paraId="0D6713EA" w14:textId="77777777" w:rsidR="00AB7BA5" w:rsidRDefault="007E764E">
      <w:r>
        <w:t>The company operates in compliance with Montenegrin legislation, international business ethics standards and principles of responsible corporate conduct.</w:t>
      </w:r>
    </w:p>
    <w:p w14:paraId="4673A005" w14:textId="77777777" w:rsidR="00AB7BA5" w:rsidRDefault="007E764E">
      <w:pPr>
        <w:pStyle w:val="Heading1"/>
      </w:pPr>
      <w:r>
        <w:t>Governance Monitoring</w:t>
      </w:r>
    </w:p>
    <w:p w14:paraId="5CCEB981" w14:textId="77777777" w:rsidR="00AB7BA5" w:rsidRDefault="007E764E">
      <w:r>
        <w:t>The governance framework is periodically reviewed through internal controls, financial reporting and operational process evaluations.</w:t>
      </w:r>
    </w:p>
    <w:p w14:paraId="01AF73F7" w14:textId="77777777" w:rsidR="00AB7BA5" w:rsidRDefault="007E764E">
      <w:pPr>
        <w:pStyle w:val="Heading1"/>
      </w:pPr>
      <w:r>
        <w:t>Strategic Importance</w:t>
      </w:r>
    </w:p>
    <w:p w14:paraId="43008600" w14:textId="77777777" w:rsidR="00AB7BA5" w:rsidRDefault="007E764E">
      <w:r>
        <w:t>A clear governance structure increases investor confidence, improves decision-making efficiency and strengthens risk management within the company.</w:t>
      </w:r>
    </w:p>
    <w:sectPr w:rsidR="00AB7BA5" w:rsidSect="00034616">
      <w:footerReference w:type="default" r:id="rId9"/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3A626" w14:textId="77777777" w:rsidR="007E764E" w:rsidRDefault="007E764E">
      <w:pPr>
        <w:spacing w:after="0" w:line="240" w:lineRule="auto"/>
      </w:pPr>
      <w:r>
        <w:separator/>
      </w:r>
    </w:p>
  </w:endnote>
  <w:endnote w:type="continuationSeparator" w:id="0">
    <w:p w14:paraId="465F1A26" w14:textId="77777777" w:rsidR="007E764E" w:rsidRDefault="007E7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E0DF7" w14:textId="77777777" w:rsidR="00AB7BA5" w:rsidRDefault="007E764E">
    <w:pPr>
      <w:pStyle w:val="Footer"/>
      <w:jc w:val="center"/>
    </w:pPr>
    <w:r>
      <w:t>ARS Metal Industries d.o.o. | Tuzi, Montenegro |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B25C7" w14:textId="77777777" w:rsidR="007E764E" w:rsidRDefault="007E764E">
      <w:pPr>
        <w:spacing w:after="0" w:line="240" w:lineRule="auto"/>
      </w:pPr>
      <w:r>
        <w:separator/>
      </w:r>
    </w:p>
  </w:footnote>
  <w:footnote w:type="continuationSeparator" w:id="0">
    <w:p w14:paraId="5E43C1C4" w14:textId="77777777" w:rsidR="007E764E" w:rsidRDefault="007E76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9839629">
    <w:abstractNumId w:val="8"/>
  </w:num>
  <w:num w:numId="2" w16cid:durableId="362052356">
    <w:abstractNumId w:val="6"/>
  </w:num>
  <w:num w:numId="3" w16cid:durableId="165823189">
    <w:abstractNumId w:val="5"/>
  </w:num>
  <w:num w:numId="4" w16cid:durableId="762608255">
    <w:abstractNumId w:val="4"/>
  </w:num>
  <w:num w:numId="5" w16cid:durableId="628780685">
    <w:abstractNumId w:val="7"/>
  </w:num>
  <w:num w:numId="6" w16cid:durableId="1102841115">
    <w:abstractNumId w:val="3"/>
  </w:num>
  <w:num w:numId="7" w16cid:durableId="679894766">
    <w:abstractNumId w:val="2"/>
  </w:num>
  <w:num w:numId="8" w16cid:durableId="2005009199">
    <w:abstractNumId w:val="1"/>
  </w:num>
  <w:num w:numId="9" w16cid:durableId="400104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70C"/>
    <w:rsid w:val="0015074B"/>
    <w:rsid w:val="0029639D"/>
    <w:rsid w:val="00326F90"/>
    <w:rsid w:val="007E764E"/>
    <w:rsid w:val="00AA1D8D"/>
    <w:rsid w:val="00AB7BA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358B919"/>
  <w14:defaultImageDpi w14:val="300"/>
  <w15:docId w15:val="{EC30D0E3-3455-6D4F-AC29-8971562F9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Danijela Đurović</cp:lastModifiedBy>
  <cp:revision>2</cp:revision>
  <dcterms:created xsi:type="dcterms:W3CDTF">2026-05-05T02:03:00Z</dcterms:created>
  <dcterms:modified xsi:type="dcterms:W3CDTF">2026-05-05T02:03:00Z</dcterms:modified>
  <cp:category/>
</cp:coreProperties>
</file>